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AFCC49C">
      <w:pPr>
        <w:spacing w:line="360" w:lineRule="auto"/>
        <w:jc w:val="center"/>
        <w:rPr>
          <w:rFonts w:hint="eastAsia" w:eastAsia="宋体"/>
          <w:b/>
          <w:color w:val="000000" w:themeColor="text1"/>
          <w:sz w:val="32"/>
          <w:lang w:eastAsia="zh-CN"/>
          <w14:textFill>
            <w14:solidFill>
              <w14:schemeClr w14:val="tx1"/>
            </w14:solidFill>
          </w14:textFill>
        </w:rPr>
      </w:pPr>
      <w:r>
        <w:rPr>
          <w:rFonts w:hint="eastAsia" w:eastAsia="宋体"/>
          <w:b/>
          <w:color w:val="000000" w:themeColor="text1"/>
          <w:sz w:val="32"/>
          <w:lang w:eastAsia="zh-CN"/>
          <w14:textFill>
            <w14:solidFill>
              <w14:schemeClr w14:val="tx1"/>
            </w14:solidFill>
          </w14:textFill>
        </w:rPr>
        <w:drawing>
          <wp:inline distT="0" distB="0" distL="114300" distR="114300">
            <wp:extent cx="5536565" cy="7872730"/>
            <wp:effectExtent l="0" t="0" r="6985" b="13970"/>
            <wp:docPr id="18" name="图片 18" descr="专项封面盖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专项封面盖章"/>
                    <pic:cNvPicPr>
                      <a:picLocks noChangeAspect="1"/>
                    </pic:cNvPicPr>
                  </pic:nvPicPr>
                  <pic:blipFill>
                    <a:blip r:embed="rId9"/>
                    <a:stretch>
                      <a:fillRect/>
                    </a:stretch>
                  </pic:blipFill>
                  <pic:spPr>
                    <a:xfrm>
                      <a:off x="0" y="0"/>
                      <a:ext cx="5536565" cy="7872730"/>
                    </a:xfrm>
                    <a:prstGeom prst="rect">
                      <a:avLst/>
                    </a:prstGeom>
                  </pic:spPr>
                </pic:pic>
              </a:graphicData>
            </a:graphic>
          </wp:inline>
        </w:drawing>
      </w:r>
    </w:p>
    <w:p w14:paraId="3E0F4B72">
      <w:pPr>
        <w:spacing w:line="360" w:lineRule="auto"/>
        <w:jc w:val="center"/>
        <w:rPr>
          <w:b/>
          <w:color w:val="000000" w:themeColor="text1"/>
          <w:sz w:val="32"/>
          <w14:textFill>
            <w14:solidFill>
              <w14:schemeClr w14:val="tx1"/>
            </w14:solidFill>
          </w14:textFill>
        </w:rPr>
      </w:pPr>
    </w:p>
    <w:p w14:paraId="356686A9">
      <w:pPr>
        <w:spacing w:before="156" w:beforeLines="50" w:after="156" w:afterLines="50" w:line="480" w:lineRule="auto"/>
        <w:jc w:val="center"/>
        <w:rPr>
          <w:b/>
          <w:color w:val="000000" w:themeColor="text1"/>
          <w:sz w:val="52"/>
          <w:szCs w:val="52"/>
          <w14:textFill>
            <w14:solidFill>
              <w14:schemeClr w14:val="tx1"/>
            </w14:solidFill>
          </w14:textFill>
        </w:rPr>
      </w:pPr>
    </w:p>
    <w:p w14:paraId="4D471D57">
      <w:pPr>
        <w:spacing w:before="156" w:beforeLines="50" w:after="156" w:afterLines="50" w:line="480" w:lineRule="auto"/>
        <w:jc w:val="center"/>
        <w:rPr>
          <w:color w:val="000000" w:themeColor="text1"/>
          <w:sz w:val="52"/>
          <w:szCs w:val="52"/>
          <w14:textFill>
            <w14:solidFill>
              <w14:schemeClr w14:val="tx1"/>
            </w14:solidFill>
          </w14:textFill>
        </w:rPr>
      </w:pPr>
    </w:p>
    <w:p w14:paraId="3C3D63D4">
      <w:pPr>
        <w:spacing w:line="360" w:lineRule="auto"/>
        <w:ind w:firstLine="480" w:firstLineChars="200"/>
        <w:rPr>
          <w:color w:val="000000" w:themeColor="text1"/>
          <w:sz w:val="24"/>
          <w14:textFill>
            <w14:solidFill>
              <w14:schemeClr w14:val="tx1"/>
            </w14:solidFill>
          </w14:textFill>
        </w:rPr>
      </w:pPr>
    </w:p>
    <w:p w14:paraId="1A2B91F6">
      <w:pPr>
        <w:spacing w:line="360" w:lineRule="auto"/>
        <w:ind w:firstLine="480" w:firstLineChars="200"/>
        <w:rPr>
          <w:color w:val="000000" w:themeColor="text1"/>
          <w:sz w:val="24"/>
          <w14:textFill>
            <w14:solidFill>
              <w14:schemeClr w14:val="tx1"/>
            </w14:solidFill>
          </w14:textFill>
        </w:rPr>
      </w:pPr>
    </w:p>
    <w:p w14:paraId="148B4AF5">
      <w:pPr>
        <w:spacing w:line="360" w:lineRule="auto"/>
        <w:ind w:firstLine="480" w:firstLineChars="200"/>
        <w:rPr>
          <w:color w:val="000000" w:themeColor="text1"/>
          <w:sz w:val="24"/>
          <w14:textFill>
            <w14:solidFill>
              <w14:schemeClr w14:val="tx1"/>
            </w14:solidFill>
          </w14:textFill>
        </w:rPr>
      </w:pPr>
    </w:p>
    <w:p w14:paraId="3EC76282">
      <w:pPr>
        <w:spacing w:line="360" w:lineRule="auto"/>
        <w:ind w:firstLine="480" w:firstLineChars="200"/>
        <w:rPr>
          <w:color w:val="000000" w:themeColor="text1"/>
          <w:sz w:val="24"/>
          <w14:textFill>
            <w14:solidFill>
              <w14:schemeClr w14:val="tx1"/>
            </w14:solidFill>
          </w14:textFill>
        </w:rPr>
      </w:pPr>
    </w:p>
    <w:p w14:paraId="021AF656">
      <w:pPr>
        <w:spacing w:line="360" w:lineRule="auto"/>
        <w:ind w:firstLine="480" w:firstLineChars="200"/>
        <w:rPr>
          <w:color w:val="000000" w:themeColor="text1"/>
          <w:sz w:val="24"/>
          <w14:textFill>
            <w14:solidFill>
              <w14:schemeClr w14:val="tx1"/>
            </w14:solidFill>
          </w14:textFill>
        </w:rPr>
      </w:pPr>
    </w:p>
    <w:p w14:paraId="4B2441C8">
      <w:pPr>
        <w:widowControl/>
        <w:jc w:val="left"/>
        <w:rPr>
          <w:b/>
          <w:bCs/>
          <w:color w:val="000000" w:themeColor="text1"/>
          <w:sz w:val="36"/>
          <w:szCs w:val="36"/>
          <w14:textFill>
            <w14:solidFill>
              <w14:schemeClr w14:val="tx1"/>
            </w14:solidFill>
          </w14:textFill>
        </w:rPr>
      </w:pPr>
      <w:r>
        <w:rPr>
          <w:caps/>
          <w:color w:val="000000" w:themeColor="text1"/>
          <w:sz w:val="36"/>
          <w:szCs w:val="36"/>
          <w14:textFill>
            <w14:solidFill>
              <w14:schemeClr w14:val="tx1"/>
            </w14:solidFill>
          </w14:textFill>
        </w:rPr>
        <w:br w:type="page"/>
      </w:r>
    </w:p>
    <w:p w14:paraId="3A79BEF5">
      <w:pPr>
        <w:pStyle w:val="6"/>
        <w:rPr>
          <w:caps w:val="0"/>
          <w:color w:val="000000" w:themeColor="text1"/>
          <w:sz w:val="36"/>
          <w:szCs w:val="36"/>
          <w14:textFill>
            <w14:solidFill>
              <w14:schemeClr w14:val="tx1"/>
            </w14:solidFill>
          </w14:textFill>
        </w:rPr>
      </w:pPr>
      <w:r>
        <w:rPr>
          <w:caps w:val="0"/>
          <w:color w:val="000000" w:themeColor="text1"/>
          <w:sz w:val="36"/>
          <w:szCs w:val="36"/>
          <w14:textFill>
            <w14:solidFill>
              <w14:schemeClr w14:val="tx1"/>
            </w14:solidFill>
          </w14:textFill>
        </w:rPr>
        <w:t>目  录</w:t>
      </w:r>
    </w:p>
    <w:p w14:paraId="4CAC2BB0">
      <w:pPr>
        <w:pStyle w:val="6"/>
        <w:tabs>
          <w:tab w:val="right" w:leader="dot" w:pos="8730"/>
          <w:tab w:val="clear" w:pos="8720"/>
        </w:tabs>
        <w:adjustRightInd w:val="0"/>
        <w:snapToGrid w:val="0"/>
        <w:rPr>
          <w:color w:val="000000" w:themeColor="text1"/>
          <w:szCs w:val="24"/>
          <w14:textFill>
            <w14:solidFill>
              <w14:schemeClr w14:val="tx1"/>
            </w14:solidFill>
          </w14:textFill>
        </w:rPr>
      </w:pPr>
      <w:r>
        <w:rPr>
          <w:caps w:val="0"/>
          <w:color w:val="000000" w:themeColor="text1"/>
          <w:szCs w:val="24"/>
          <w14:textFill>
            <w14:solidFill>
              <w14:schemeClr w14:val="tx1"/>
            </w14:solidFill>
          </w14:textFill>
        </w:rPr>
        <w:fldChar w:fldCharType="begin"/>
      </w:r>
      <w:r>
        <w:rPr>
          <w:caps w:val="0"/>
          <w:color w:val="000000" w:themeColor="text1"/>
          <w:szCs w:val="24"/>
          <w14:textFill>
            <w14:solidFill>
              <w14:schemeClr w14:val="tx1"/>
            </w14:solidFill>
          </w14:textFill>
        </w:rPr>
        <w:instrText xml:space="preserve"> TOC \o "1-2" \h \z \u </w:instrText>
      </w:r>
      <w:r>
        <w:rPr>
          <w:caps w:val="0"/>
          <w:color w:val="000000" w:themeColor="text1"/>
          <w:szCs w:val="24"/>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"_Toc12263" </w:instrText>
      </w:r>
      <w:r>
        <w:rPr>
          <w:color w:val="000000" w:themeColor="text1"/>
          <w14:textFill>
            <w14:solidFill>
              <w14:schemeClr w14:val="tx1"/>
            </w14:solidFill>
          </w14:textFill>
        </w:rPr>
        <w:fldChar w:fldCharType="separate"/>
      </w:r>
      <w:r>
        <w:rPr>
          <w:color w:val="000000" w:themeColor="text1"/>
          <w:szCs w:val="24"/>
          <w14:textFill>
            <w14:solidFill>
              <w14:schemeClr w14:val="tx1"/>
            </w14:solidFill>
          </w14:textFill>
        </w:rPr>
        <w:t>1总则</w:t>
      </w:r>
      <w:r>
        <w:rPr>
          <w:color w:val="000000" w:themeColor="text1"/>
          <w:szCs w:val="24"/>
          <w14:textFill>
            <w14:solidFill>
              <w14:schemeClr w14:val="tx1"/>
            </w14:solidFill>
          </w14:textFill>
        </w:rPr>
        <w:tab/>
      </w:r>
      <w:r>
        <w:rPr>
          <w:color w:val="000000" w:themeColor="text1"/>
          <w:szCs w:val="24"/>
          <w14:textFill>
            <w14:solidFill>
              <w14:schemeClr w14:val="tx1"/>
            </w14:solidFill>
          </w14:textFill>
        </w:rPr>
        <w:fldChar w:fldCharType="begin"/>
      </w:r>
      <w:r>
        <w:rPr>
          <w:color w:val="000000" w:themeColor="text1"/>
          <w:szCs w:val="24"/>
          <w14:textFill>
            <w14:solidFill>
              <w14:schemeClr w14:val="tx1"/>
            </w14:solidFill>
          </w14:textFill>
        </w:rPr>
        <w:instrText xml:space="preserve"> PAGEREF _Toc12263 \h </w:instrText>
      </w:r>
      <w:r>
        <w:rPr>
          <w:color w:val="000000" w:themeColor="text1"/>
          <w:szCs w:val="24"/>
          <w14:textFill>
            <w14:solidFill>
              <w14:schemeClr w14:val="tx1"/>
            </w14:solidFill>
          </w14:textFill>
        </w:rPr>
        <w:fldChar w:fldCharType="separate"/>
      </w:r>
      <w:r>
        <w:rPr>
          <w:color w:val="000000" w:themeColor="text1"/>
          <w:szCs w:val="24"/>
          <w14:textFill>
            <w14:solidFill>
              <w14:schemeClr w14:val="tx1"/>
            </w14:solidFill>
          </w14:textFill>
        </w:rPr>
        <w:t>1</w:t>
      </w:r>
      <w:r>
        <w:rPr>
          <w:color w:val="000000" w:themeColor="text1"/>
          <w:szCs w:val="24"/>
          <w14:textFill>
            <w14:solidFill>
              <w14:schemeClr w14:val="tx1"/>
            </w14:solidFill>
          </w14:textFill>
        </w:rPr>
        <w:fldChar w:fldCharType="end"/>
      </w:r>
      <w:r>
        <w:rPr>
          <w:color w:val="000000" w:themeColor="text1"/>
          <w:szCs w:val="24"/>
          <w14:textFill>
            <w14:solidFill>
              <w14:schemeClr w14:val="tx1"/>
            </w14:solidFill>
          </w14:textFill>
        </w:rPr>
        <w:fldChar w:fldCharType="end"/>
      </w:r>
    </w:p>
    <w:p w14:paraId="5A68E599">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"_Toc12183" </w:instrText>
      </w:r>
      <w:r>
        <w:rPr>
          <w:color w:val="000000" w:themeColor="text1"/>
          <w14:textFill>
            <w14:solidFill>
              <w14:schemeClr w14:val="tx1"/>
            </w14:solidFill>
          </w14:textFill>
        </w:rPr>
        <w:fldChar w:fldCharType="separate"/>
      </w:r>
      <w:r>
        <w:rPr>
          <w:color w:val="000000" w:themeColor="text1"/>
          <w:sz w:val="24"/>
          <w14:textFill>
            <w14:solidFill>
              <w14:schemeClr w14:val="tx1"/>
            </w14:solidFill>
          </w14:textFill>
        </w:rPr>
        <w:t>1.1评价目的</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_Toc12183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1</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10694ABE">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"_Toc8527" </w:instrText>
      </w:r>
      <w:r>
        <w:rPr>
          <w:color w:val="000000" w:themeColor="text1"/>
          <w14:textFill>
            <w14:solidFill>
              <w14:schemeClr w14:val="tx1"/>
            </w14:solidFill>
          </w14:textFill>
        </w:rPr>
        <w:fldChar w:fldCharType="separate"/>
      </w:r>
      <w:r>
        <w:rPr>
          <w:color w:val="000000" w:themeColor="text1"/>
          <w:sz w:val="24"/>
          <w14:textFill>
            <w14:solidFill>
              <w14:schemeClr w14:val="tx1"/>
            </w14:solidFill>
          </w14:textFill>
        </w:rPr>
        <w:t>1.2编制依据</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_Toc8527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1</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148AC7E4">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"_Toc26686" </w:instrText>
      </w:r>
      <w:r>
        <w:rPr>
          <w:color w:val="000000" w:themeColor="text1"/>
          <w14:textFill>
            <w14:solidFill>
              <w14:schemeClr w14:val="tx1"/>
            </w14:solidFill>
          </w14:textFill>
        </w:rPr>
        <w:fldChar w:fldCharType="separate"/>
      </w:r>
      <w:r>
        <w:rPr>
          <w:color w:val="000000" w:themeColor="text1"/>
          <w:sz w:val="24"/>
          <w14:textFill>
            <w14:solidFill>
              <w14:schemeClr w14:val="tx1"/>
            </w14:solidFill>
          </w14:textFill>
        </w:rPr>
        <w:t>1.3评价等级及范围</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_Toc26686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2</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1545A605">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"_Toc13279" </w:instrText>
      </w:r>
      <w:r>
        <w:rPr>
          <w:color w:val="000000" w:themeColor="text1"/>
          <w14:textFill>
            <w14:solidFill>
              <w14:schemeClr w14:val="tx1"/>
            </w14:solidFill>
          </w14:textFill>
        </w:rPr>
        <w:fldChar w:fldCharType="separate"/>
      </w:r>
      <w:r>
        <w:rPr>
          <w:color w:val="000000" w:themeColor="text1"/>
          <w:sz w:val="24"/>
          <w14:textFill>
            <w14:solidFill>
              <w14:schemeClr w14:val="tx1"/>
            </w14:solidFill>
          </w14:textFill>
        </w:rPr>
        <w:t>1.4</w:t>
      </w:r>
      <w:r>
        <w:rPr>
          <w:rFonts w:hint="eastAsia"/>
          <w:color w:val="000000" w:themeColor="text1"/>
          <w:sz w:val="24"/>
          <w14:textFill>
            <w14:solidFill>
              <w14:schemeClr w14:val="tx1"/>
            </w14:solidFill>
          </w14:textFill>
        </w:rPr>
        <w:t>环境风险</w:t>
      </w:r>
      <w:r>
        <w:rPr>
          <w:color w:val="000000" w:themeColor="text1"/>
          <w:sz w:val="24"/>
          <w14:textFill>
            <w14:solidFill>
              <w14:schemeClr w14:val="tx1"/>
            </w14:solidFill>
          </w14:textFill>
        </w:rPr>
        <w:t>评价</w:t>
      </w:r>
      <w:r>
        <w:rPr>
          <w:rFonts w:hint="eastAsia"/>
          <w:color w:val="000000" w:themeColor="text1"/>
          <w:sz w:val="24"/>
          <w14:textFill>
            <w14:solidFill>
              <w14:schemeClr w14:val="tx1"/>
            </w14:solidFill>
          </w14:textFill>
        </w:rPr>
        <w:t>等级</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_Toc13279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11</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372151F6">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"_Toc20892" </w:instrText>
      </w:r>
      <w:r>
        <w:rPr>
          <w:color w:val="000000" w:themeColor="text1"/>
          <w14:textFill>
            <w14:solidFill>
              <w14:schemeClr w14:val="tx1"/>
            </w14:solidFill>
          </w14:textFill>
        </w:rPr>
        <w:fldChar w:fldCharType="separate"/>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评价范围</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_Toc20892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11</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71F356CB">
      <w:pPr>
        <w:pStyle w:val="6"/>
        <w:tabs>
          <w:tab w:val="right" w:leader="dot" w:pos="8730"/>
          <w:tab w:val="clear" w:pos="8720"/>
        </w:tabs>
        <w:adjustRightInd w:val="0"/>
        <w:snapToGrid w:val="0"/>
        <w:rPr>
          <w:color w:val="000000" w:themeColor="text1"/>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"_Toc4275" </w:instrText>
      </w:r>
      <w:r>
        <w:rPr>
          <w:color w:val="000000" w:themeColor="text1"/>
          <w14:textFill>
            <w14:solidFill>
              <w14:schemeClr w14:val="tx1"/>
            </w14:solidFill>
          </w14:textFill>
        </w:rPr>
        <w:fldChar w:fldCharType="separate"/>
      </w:r>
      <w:r>
        <w:rPr>
          <w:rFonts w:hint="eastAsia"/>
          <w:color w:val="000000" w:themeColor="text1"/>
          <w:szCs w:val="24"/>
          <w14:textFill>
            <w14:solidFill>
              <w14:schemeClr w14:val="tx1"/>
            </w14:solidFill>
          </w14:textFill>
        </w:rPr>
        <w:t>2</w:t>
      </w:r>
      <w:r>
        <w:rPr>
          <w:color w:val="000000" w:themeColor="text1"/>
          <w:szCs w:val="24"/>
          <w14:textFill>
            <w14:solidFill>
              <w14:schemeClr w14:val="tx1"/>
            </w14:solidFill>
          </w14:textFill>
        </w:rPr>
        <w:t>风险识别</w:t>
      </w:r>
      <w:r>
        <w:rPr>
          <w:color w:val="000000" w:themeColor="text1"/>
          <w:szCs w:val="24"/>
          <w14:textFill>
            <w14:solidFill>
              <w14:schemeClr w14:val="tx1"/>
            </w14:solidFill>
          </w14:textFill>
        </w:rPr>
        <w:tab/>
      </w:r>
      <w:r>
        <w:rPr>
          <w:color w:val="000000" w:themeColor="text1"/>
          <w:szCs w:val="24"/>
          <w14:textFill>
            <w14:solidFill>
              <w14:schemeClr w14:val="tx1"/>
            </w14:solidFill>
          </w14:textFill>
        </w:rPr>
        <w:fldChar w:fldCharType="begin"/>
      </w:r>
      <w:r>
        <w:rPr>
          <w:color w:val="000000" w:themeColor="text1"/>
          <w:szCs w:val="24"/>
          <w14:textFill>
            <w14:solidFill>
              <w14:schemeClr w14:val="tx1"/>
            </w14:solidFill>
          </w14:textFill>
        </w:rPr>
        <w:instrText xml:space="preserve"> PAGEREF _Toc4275 \h </w:instrText>
      </w:r>
      <w:r>
        <w:rPr>
          <w:color w:val="000000" w:themeColor="text1"/>
          <w:szCs w:val="24"/>
          <w14:textFill>
            <w14:solidFill>
              <w14:schemeClr w14:val="tx1"/>
            </w14:solidFill>
          </w14:textFill>
        </w:rPr>
        <w:fldChar w:fldCharType="separate"/>
      </w:r>
      <w:r>
        <w:rPr>
          <w:color w:val="000000" w:themeColor="text1"/>
          <w:szCs w:val="24"/>
          <w14:textFill>
            <w14:solidFill>
              <w14:schemeClr w14:val="tx1"/>
            </w14:solidFill>
          </w14:textFill>
        </w:rPr>
        <w:t>11</w:t>
      </w:r>
      <w:r>
        <w:rPr>
          <w:color w:val="000000" w:themeColor="text1"/>
          <w:szCs w:val="24"/>
          <w14:textFill>
            <w14:solidFill>
              <w14:schemeClr w14:val="tx1"/>
            </w14:solidFill>
          </w14:textFill>
        </w:rPr>
        <w:fldChar w:fldCharType="end"/>
      </w:r>
      <w:r>
        <w:rPr>
          <w:color w:val="000000" w:themeColor="text1"/>
          <w:szCs w:val="24"/>
          <w14:textFill>
            <w14:solidFill>
              <w14:schemeClr w14:val="tx1"/>
            </w14:solidFill>
          </w14:textFill>
        </w:rPr>
        <w:fldChar w:fldCharType="end"/>
      </w:r>
    </w:p>
    <w:p w14:paraId="5F19F101">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"_Toc31735" </w:instrText>
      </w:r>
      <w:r>
        <w:rPr>
          <w:color w:val="000000" w:themeColor="text1"/>
          <w14:textFill>
            <w14:solidFill>
              <w14:schemeClr w14:val="tx1"/>
            </w14:solidFill>
          </w14:textFill>
        </w:rPr>
        <w:fldChar w:fldCharType="separate"/>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.1物质危险性识别</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_Toc31735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11</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52C6F36B">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"_Toc11332" </w:instrText>
      </w:r>
      <w:r>
        <w:rPr>
          <w:color w:val="000000" w:themeColor="text1"/>
          <w14:textFill>
            <w14:solidFill>
              <w14:schemeClr w14:val="tx1"/>
            </w14:solidFill>
          </w14:textFill>
        </w:rPr>
        <w:fldChar w:fldCharType="separate"/>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.2生产系统危险性识别</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_Toc11332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12</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62FEBA18">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"_Toc16893" </w:instrText>
      </w:r>
      <w:r>
        <w:rPr>
          <w:color w:val="000000" w:themeColor="text1"/>
          <w14:textFill>
            <w14:solidFill>
              <w14:schemeClr w14:val="tx1"/>
            </w14:solidFill>
          </w14:textFill>
        </w:rPr>
        <w:fldChar w:fldCharType="separate"/>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风险类型</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_Toc16893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13</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32483981">
      <w:pPr>
        <w:pStyle w:val="6"/>
        <w:tabs>
          <w:tab w:val="right" w:leader="dot" w:pos="8730"/>
          <w:tab w:val="clear" w:pos="8720"/>
        </w:tabs>
        <w:adjustRightInd w:val="0"/>
        <w:snapToGrid w:val="0"/>
        <w:rPr>
          <w:color w:val="000000" w:themeColor="text1"/>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"_Toc22049" </w:instrText>
      </w:r>
      <w:r>
        <w:rPr>
          <w:color w:val="000000" w:themeColor="text1"/>
          <w14:textFill>
            <w14:solidFill>
              <w14:schemeClr w14:val="tx1"/>
            </w14:solidFill>
          </w14:textFill>
        </w:rPr>
        <w:fldChar w:fldCharType="separate"/>
      </w:r>
      <w:r>
        <w:rPr>
          <w:rFonts w:hint="eastAsia"/>
          <w:color w:val="000000" w:themeColor="text1"/>
          <w:szCs w:val="24"/>
          <w14:textFill>
            <w14:solidFill>
              <w14:schemeClr w14:val="tx1"/>
            </w14:solidFill>
          </w14:textFill>
        </w:rPr>
        <w:t>3</w:t>
      </w:r>
      <w:r>
        <w:rPr>
          <w:color w:val="000000" w:themeColor="text1"/>
          <w:szCs w:val="24"/>
          <w14:textFill>
            <w14:solidFill>
              <w14:schemeClr w14:val="tx1"/>
            </w14:solidFill>
          </w14:textFill>
        </w:rPr>
        <w:t>风险事故情形分析</w:t>
      </w:r>
      <w:r>
        <w:rPr>
          <w:color w:val="000000" w:themeColor="text1"/>
          <w:szCs w:val="24"/>
          <w14:textFill>
            <w14:solidFill>
              <w14:schemeClr w14:val="tx1"/>
            </w14:solidFill>
          </w14:textFill>
        </w:rPr>
        <w:tab/>
      </w:r>
      <w:r>
        <w:rPr>
          <w:color w:val="000000" w:themeColor="text1"/>
          <w:szCs w:val="24"/>
          <w14:textFill>
            <w14:solidFill>
              <w14:schemeClr w14:val="tx1"/>
            </w14:solidFill>
          </w14:textFill>
        </w:rPr>
        <w:fldChar w:fldCharType="begin"/>
      </w:r>
      <w:r>
        <w:rPr>
          <w:color w:val="000000" w:themeColor="text1"/>
          <w:szCs w:val="24"/>
          <w14:textFill>
            <w14:solidFill>
              <w14:schemeClr w14:val="tx1"/>
            </w14:solidFill>
          </w14:textFill>
        </w:rPr>
        <w:instrText xml:space="preserve"> PAGEREF _Toc22049 \h </w:instrText>
      </w:r>
      <w:r>
        <w:rPr>
          <w:color w:val="000000" w:themeColor="text1"/>
          <w:szCs w:val="24"/>
          <w14:textFill>
            <w14:solidFill>
              <w14:schemeClr w14:val="tx1"/>
            </w14:solidFill>
          </w14:textFill>
        </w:rPr>
        <w:fldChar w:fldCharType="separate"/>
      </w:r>
      <w:r>
        <w:rPr>
          <w:color w:val="000000" w:themeColor="text1"/>
          <w:szCs w:val="24"/>
          <w14:textFill>
            <w14:solidFill>
              <w14:schemeClr w14:val="tx1"/>
            </w14:solidFill>
          </w14:textFill>
        </w:rPr>
        <w:t>14</w:t>
      </w:r>
      <w:r>
        <w:rPr>
          <w:color w:val="000000" w:themeColor="text1"/>
          <w:szCs w:val="24"/>
          <w14:textFill>
            <w14:solidFill>
              <w14:schemeClr w14:val="tx1"/>
            </w14:solidFill>
          </w14:textFill>
        </w:rPr>
        <w:fldChar w:fldCharType="end"/>
      </w:r>
      <w:r>
        <w:rPr>
          <w:color w:val="000000" w:themeColor="text1"/>
          <w:szCs w:val="24"/>
          <w14:textFill>
            <w14:solidFill>
              <w14:schemeClr w14:val="tx1"/>
            </w14:solidFill>
          </w14:textFill>
        </w:rPr>
        <w:fldChar w:fldCharType="end"/>
      </w:r>
    </w:p>
    <w:p w14:paraId="366AEA45">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"_Toc32315" </w:instrText>
      </w:r>
      <w:r>
        <w:rPr>
          <w:color w:val="000000" w:themeColor="text1"/>
          <w14:textFill>
            <w14:solidFill>
              <w14:schemeClr w14:val="tx1"/>
            </w14:solidFill>
          </w14:textFill>
        </w:rPr>
        <w:fldChar w:fldCharType="separate"/>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.1风险事故情形设定</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_Toc32315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14</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78FEE530">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"_Toc27406" </w:instrText>
      </w:r>
      <w:r>
        <w:rPr>
          <w:color w:val="000000" w:themeColor="text1"/>
          <w14:textFill>
            <w14:solidFill>
              <w14:schemeClr w14:val="tx1"/>
            </w14:solidFill>
          </w14:textFill>
        </w:rPr>
        <w:fldChar w:fldCharType="separate"/>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.2源项分析</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_Toc27406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15</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6A225776">
      <w:pPr>
        <w:pStyle w:val="6"/>
        <w:tabs>
          <w:tab w:val="right" w:leader="dot" w:pos="8730"/>
          <w:tab w:val="clear" w:pos="8720"/>
        </w:tabs>
        <w:adjustRightInd w:val="0"/>
        <w:snapToGrid w:val="0"/>
        <w:rPr>
          <w:color w:val="000000" w:themeColor="text1"/>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"_Toc32033" </w:instrText>
      </w:r>
      <w:r>
        <w:rPr>
          <w:color w:val="000000" w:themeColor="text1"/>
          <w14:textFill>
            <w14:solidFill>
              <w14:schemeClr w14:val="tx1"/>
            </w14:solidFill>
          </w14:textFill>
        </w:rPr>
        <w:fldChar w:fldCharType="separate"/>
      </w:r>
      <w:r>
        <w:rPr>
          <w:rFonts w:hint="eastAsia"/>
          <w:color w:val="000000" w:themeColor="text1"/>
          <w:szCs w:val="24"/>
          <w14:textFill>
            <w14:solidFill>
              <w14:schemeClr w14:val="tx1"/>
            </w14:solidFill>
          </w14:textFill>
        </w:rPr>
        <w:t>4</w:t>
      </w:r>
      <w:r>
        <w:rPr>
          <w:color w:val="000000" w:themeColor="text1"/>
          <w:szCs w:val="24"/>
          <w14:textFill>
            <w14:solidFill>
              <w14:schemeClr w14:val="tx1"/>
            </w14:solidFill>
          </w14:textFill>
        </w:rPr>
        <w:t>风险预测与评价</w:t>
      </w:r>
      <w:r>
        <w:rPr>
          <w:color w:val="000000" w:themeColor="text1"/>
          <w:szCs w:val="24"/>
          <w14:textFill>
            <w14:solidFill>
              <w14:schemeClr w14:val="tx1"/>
            </w14:solidFill>
          </w14:textFill>
        </w:rPr>
        <w:tab/>
      </w:r>
      <w:r>
        <w:rPr>
          <w:color w:val="000000" w:themeColor="text1"/>
          <w:szCs w:val="24"/>
          <w14:textFill>
            <w14:solidFill>
              <w14:schemeClr w14:val="tx1"/>
            </w14:solidFill>
          </w14:textFill>
        </w:rPr>
        <w:fldChar w:fldCharType="begin"/>
      </w:r>
      <w:r>
        <w:rPr>
          <w:color w:val="000000" w:themeColor="text1"/>
          <w:szCs w:val="24"/>
          <w14:textFill>
            <w14:solidFill>
              <w14:schemeClr w14:val="tx1"/>
            </w14:solidFill>
          </w14:textFill>
        </w:rPr>
        <w:instrText xml:space="preserve"> PAGEREF _Toc32033 \h </w:instrText>
      </w:r>
      <w:r>
        <w:rPr>
          <w:color w:val="000000" w:themeColor="text1"/>
          <w:szCs w:val="24"/>
          <w14:textFill>
            <w14:solidFill>
              <w14:schemeClr w14:val="tx1"/>
            </w14:solidFill>
          </w14:textFill>
        </w:rPr>
        <w:fldChar w:fldCharType="separate"/>
      </w:r>
      <w:r>
        <w:rPr>
          <w:color w:val="000000" w:themeColor="text1"/>
          <w:szCs w:val="24"/>
          <w14:textFill>
            <w14:solidFill>
              <w14:schemeClr w14:val="tx1"/>
            </w14:solidFill>
          </w14:textFill>
        </w:rPr>
        <w:t>17</w:t>
      </w:r>
      <w:r>
        <w:rPr>
          <w:color w:val="000000" w:themeColor="text1"/>
          <w:szCs w:val="24"/>
          <w14:textFill>
            <w14:solidFill>
              <w14:schemeClr w14:val="tx1"/>
            </w14:solidFill>
          </w14:textFill>
        </w:rPr>
        <w:fldChar w:fldCharType="end"/>
      </w:r>
      <w:r>
        <w:rPr>
          <w:color w:val="000000" w:themeColor="text1"/>
          <w:szCs w:val="24"/>
          <w14:textFill>
            <w14:solidFill>
              <w14:schemeClr w14:val="tx1"/>
            </w14:solidFill>
          </w14:textFill>
        </w:rPr>
        <w:fldChar w:fldCharType="end"/>
      </w:r>
    </w:p>
    <w:p w14:paraId="10C243EC">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"_Toc25972" </w:instrText>
      </w:r>
      <w:r>
        <w:rPr>
          <w:color w:val="000000" w:themeColor="text1"/>
          <w14:textFill>
            <w14:solidFill>
              <w14:schemeClr w14:val="tx1"/>
            </w14:solidFill>
          </w14:textFill>
        </w:rPr>
        <w:fldChar w:fldCharType="separate"/>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大气环境</w:t>
      </w:r>
      <w:r>
        <w:rPr>
          <w:color w:val="000000" w:themeColor="text1"/>
          <w:sz w:val="24"/>
          <w14:textFill>
            <w14:solidFill>
              <w14:schemeClr w14:val="tx1"/>
            </w14:solidFill>
          </w14:textFill>
        </w:rPr>
        <w:t>影响分析</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_Toc25972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17</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4059FA29">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"_Toc6217" </w:instrText>
      </w:r>
      <w:r>
        <w:rPr>
          <w:color w:val="000000" w:themeColor="text1"/>
          <w14:textFill>
            <w14:solidFill>
              <w14:schemeClr w14:val="tx1"/>
            </w14:solidFill>
          </w14:textFill>
        </w:rPr>
        <w:fldChar w:fldCharType="separate"/>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.2火灾爆炸事故影响分析</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_Toc6217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21</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7966070B">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"_Toc9743" </w:instrText>
      </w:r>
      <w:r>
        <w:rPr>
          <w:color w:val="000000" w:themeColor="text1"/>
          <w14:textFill>
            <w14:solidFill>
              <w14:schemeClr w14:val="tx1"/>
            </w14:solidFill>
          </w14:textFill>
        </w:rPr>
        <w:fldChar w:fldCharType="separate"/>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.3事故伴生/次生污染分析</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_Toc9743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22</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6D45744B">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"_Toc3295" </w:instrText>
      </w:r>
      <w:r>
        <w:rPr>
          <w:color w:val="000000" w:themeColor="text1"/>
          <w14:textFill>
            <w14:solidFill>
              <w14:schemeClr w14:val="tx1"/>
            </w14:solidFill>
          </w14:textFill>
        </w:rPr>
        <w:fldChar w:fldCharType="separate"/>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地表水环境风险分析</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_Toc3295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22</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7A527BE4">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"_Toc24372" </w:instrText>
      </w:r>
      <w:r>
        <w:rPr>
          <w:color w:val="000000" w:themeColor="text1"/>
          <w14:textFill>
            <w14:solidFill>
              <w14:schemeClr w14:val="tx1"/>
            </w14:solidFill>
          </w14:textFill>
        </w:rPr>
        <w:fldChar w:fldCharType="separate"/>
      </w:r>
      <w:r>
        <w:rPr>
          <w:rFonts w:hint="eastAsia"/>
          <w:bCs/>
          <w:color w:val="000000" w:themeColor="text1"/>
          <w:sz w:val="24"/>
          <w14:textFill>
            <w14:solidFill>
              <w14:schemeClr w14:val="tx1"/>
            </w14:solidFill>
          </w14:textFill>
        </w:rPr>
        <w:t>4</w:t>
      </w:r>
      <w:r>
        <w:rPr>
          <w:bCs/>
          <w:color w:val="000000" w:themeColor="text1"/>
          <w:sz w:val="24"/>
          <w14:textFill>
            <w14:solidFill>
              <w14:schemeClr w14:val="tx1"/>
            </w14:solidFill>
          </w14:textFill>
        </w:rPr>
        <w:t>.5</w:t>
      </w:r>
      <w:r>
        <w:rPr>
          <w:rFonts w:hint="eastAsia"/>
          <w:bCs/>
          <w:color w:val="000000" w:themeColor="text1"/>
          <w:sz w:val="24"/>
          <w14:textFill>
            <w14:solidFill>
              <w14:schemeClr w14:val="tx1"/>
            </w14:solidFill>
          </w14:textFill>
        </w:rPr>
        <w:t>地下水环境风险分析</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_Toc24372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23</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28BB5721">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"_Toc28250" </w:instrText>
      </w:r>
      <w:r>
        <w:rPr>
          <w:color w:val="000000" w:themeColor="text1"/>
          <w14:textFill>
            <w14:solidFill>
              <w14:schemeClr w14:val="tx1"/>
            </w14:solidFill>
          </w14:textFill>
        </w:rPr>
        <w:fldChar w:fldCharType="separate"/>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.6事故连锁效应分析</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_Toc28250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27</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6025755E">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"_Toc7977" </w:instrText>
      </w:r>
      <w:r>
        <w:rPr>
          <w:color w:val="000000" w:themeColor="text1"/>
          <w14:textFill>
            <w14:solidFill>
              <w14:schemeClr w14:val="tx1"/>
            </w14:solidFill>
          </w14:textFill>
        </w:rPr>
        <w:fldChar w:fldCharType="separate"/>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.7废气事故工况排放影响分析</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_Toc7977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27</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45C5F524">
      <w:pPr>
        <w:pStyle w:val="6"/>
        <w:tabs>
          <w:tab w:val="right" w:leader="dot" w:pos="8730"/>
          <w:tab w:val="clear" w:pos="8720"/>
        </w:tabs>
        <w:adjustRightInd w:val="0"/>
        <w:snapToGrid w:val="0"/>
        <w:rPr>
          <w:color w:val="000000" w:themeColor="text1"/>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"_Toc24550" </w:instrText>
      </w:r>
      <w:r>
        <w:rPr>
          <w:color w:val="000000" w:themeColor="text1"/>
          <w14:textFill>
            <w14:solidFill>
              <w14:schemeClr w14:val="tx1"/>
            </w14:solidFill>
          </w14:textFill>
        </w:rPr>
        <w:fldChar w:fldCharType="separate"/>
      </w:r>
      <w:r>
        <w:rPr>
          <w:rFonts w:hint="eastAsia"/>
          <w:color w:val="000000" w:themeColor="text1"/>
          <w:szCs w:val="24"/>
          <w14:textFill>
            <w14:solidFill>
              <w14:schemeClr w14:val="tx1"/>
            </w14:solidFill>
          </w14:textFill>
        </w:rPr>
        <w:t>5</w:t>
      </w:r>
      <w:r>
        <w:rPr>
          <w:color w:val="000000" w:themeColor="text1"/>
          <w:szCs w:val="24"/>
          <w14:textFill>
            <w14:solidFill>
              <w14:schemeClr w14:val="tx1"/>
            </w14:solidFill>
          </w14:textFill>
        </w:rPr>
        <w:t>环境风险管理</w:t>
      </w:r>
      <w:r>
        <w:rPr>
          <w:color w:val="000000" w:themeColor="text1"/>
          <w:szCs w:val="24"/>
          <w14:textFill>
            <w14:solidFill>
              <w14:schemeClr w14:val="tx1"/>
            </w14:solidFill>
          </w14:textFill>
        </w:rPr>
        <w:tab/>
      </w:r>
      <w:r>
        <w:rPr>
          <w:color w:val="000000" w:themeColor="text1"/>
          <w:szCs w:val="24"/>
          <w14:textFill>
            <w14:solidFill>
              <w14:schemeClr w14:val="tx1"/>
            </w14:solidFill>
          </w14:textFill>
        </w:rPr>
        <w:fldChar w:fldCharType="begin"/>
      </w:r>
      <w:r>
        <w:rPr>
          <w:color w:val="000000" w:themeColor="text1"/>
          <w:szCs w:val="24"/>
          <w14:textFill>
            <w14:solidFill>
              <w14:schemeClr w14:val="tx1"/>
            </w14:solidFill>
          </w14:textFill>
        </w:rPr>
        <w:instrText xml:space="preserve"> PAGEREF _Toc24550 \h </w:instrText>
      </w:r>
      <w:r>
        <w:rPr>
          <w:color w:val="000000" w:themeColor="text1"/>
          <w:szCs w:val="24"/>
          <w14:textFill>
            <w14:solidFill>
              <w14:schemeClr w14:val="tx1"/>
            </w14:solidFill>
          </w14:textFill>
        </w:rPr>
        <w:fldChar w:fldCharType="separate"/>
      </w:r>
      <w:r>
        <w:rPr>
          <w:color w:val="000000" w:themeColor="text1"/>
          <w:szCs w:val="24"/>
          <w14:textFill>
            <w14:solidFill>
              <w14:schemeClr w14:val="tx1"/>
            </w14:solidFill>
          </w14:textFill>
        </w:rPr>
        <w:t>28</w:t>
      </w:r>
      <w:r>
        <w:rPr>
          <w:color w:val="000000" w:themeColor="text1"/>
          <w:szCs w:val="24"/>
          <w14:textFill>
            <w14:solidFill>
              <w14:schemeClr w14:val="tx1"/>
            </w14:solidFill>
          </w14:textFill>
        </w:rPr>
        <w:fldChar w:fldCharType="end"/>
      </w:r>
      <w:r>
        <w:rPr>
          <w:color w:val="000000" w:themeColor="text1"/>
          <w:szCs w:val="24"/>
          <w14:textFill>
            <w14:solidFill>
              <w14:schemeClr w14:val="tx1"/>
            </w14:solidFill>
          </w14:textFill>
        </w:rPr>
        <w:fldChar w:fldCharType="end"/>
      </w:r>
    </w:p>
    <w:p w14:paraId="3157526A">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"_Toc6759" </w:instrText>
      </w:r>
      <w:r>
        <w:rPr>
          <w:color w:val="000000" w:themeColor="text1"/>
          <w14:textFill>
            <w14:solidFill>
              <w14:schemeClr w14:val="tx1"/>
            </w14:solidFill>
          </w14:textFill>
        </w:rPr>
        <w:fldChar w:fldCharType="separate"/>
      </w:r>
      <w:r>
        <w:rPr>
          <w:rFonts w:hint="eastAsia"/>
          <w:bCs/>
          <w:color w:val="000000" w:themeColor="text1"/>
          <w:sz w:val="24"/>
          <w14:textFill>
            <w14:solidFill>
              <w14:schemeClr w14:val="tx1"/>
            </w14:solidFill>
          </w14:textFill>
        </w:rPr>
        <w:t>5</w:t>
      </w: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环境风险防范措</w:t>
      </w:r>
      <w:r>
        <w:rPr>
          <w:bCs/>
          <w:color w:val="000000" w:themeColor="text1"/>
          <w:sz w:val="24"/>
          <w14:textFill>
            <w14:solidFill>
              <w14:schemeClr w14:val="tx1"/>
            </w14:solidFill>
          </w14:textFill>
        </w:rPr>
        <w:t>施</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_Toc6759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28</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25DEDA12">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"_Toc21034" </w:instrText>
      </w:r>
      <w:r>
        <w:rPr>
          <w:color w:val="000000" w:themeColor="text1"/>
          <w14:textFill>
            <w14:solidFill>
              <w14:schemeClr w14:val="tx1"/>
            </w14:solidFill>
          </w14:textFill>
        </w:rPr>
        <w:fldChar w:fldCharType="separate"/>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.2事故应急对策</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_Toc21034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36</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02BF6178">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"_Toc7357" </w:instrText>
      </w:r>
      <w:r>
        <w:rPr>
          <w:color w:val="000000" w:themeColor="text1"/>
          <w14:textFill>
            <w14:solidFill>
              <w14:schemeClr w14:val="tx1"/>
            </w14:solidFill>
          </w14:textFill>
        </w:rPr>
        <w:fldChar w:fldCharType="separate"/>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.3应急预案</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_Toc7357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37</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285D4B76">
      <w:pPr>
        <w:pStyle w:val="6"/>
        <w:tabs>
          <w:tab w:val="right" w:leader="dot" w:pos="8730"/>
          <w:tab w:val="clear" w:pos="8720"/>
        </w:tabs>
        <w:adjustRightInd w:val="0"/>
        <w:snapToGrid w:val="0"/>
        <w:rPr>
          <w:color w:val="000000" w:themeColor="text1"/>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"_Toc12380" </w:instrText>
      </w:r>
      <w:r>
        <w:rPr>
          <w:color w:val="000000" w:themeColor="text1"/>
          <w14:textFill>
            <w14:solidFill>
              <w14:schemeClr w14:val="tx1"/>
            </w14:solidFill>
          </w14:textFill>
        </w:rPr>
        <w:fldChar w:fldCharType="separate"/>
      </w:r>
      <w:r>
        <w:rPr>
          <w:rFonts w:hint="eastAsia"/>
          <w:color w:val="000000" w:themeColor="text1"/>
          <w:szCs w:val="24"/>
          <w14:textFill>
            <w14:solidFill>
              <w14:schemeClr w14:val="tx1"/>
            </w14:solidFill>
          </w14:textFill>
        </w:rPr>
        <w:t>6</w:t>
      </w:r>
      <w:r>
        <w:rPr>
          <w:color w:val="000000" w:themeColor="text1"/>
          <w:szCs w:val="24"/>
          <w14:textFill>
            <w14:solidFill>
              <w14:schemeClr w14:val="tx1"/>
            </w14:solidFill>
          </w14:textFill>
        </w:rPr>
        <w:t>环境风险评价结论</w:t>
      </w:r>
      <w:r>
        <w:rPr>
          <w:color w:val="000000" w:themeColor="text1"/>
          <w:szCs w:val="24"/>
          <w14:textFill>
            <w14:solidFill>
              <w14:schemeClr w14:val="tx1"/>
            </w14:solidFill>
          </w14:textFill>
        </w:rPr>
        <w:tab/>
      </w:r>
      <w:r>
        <w:rPr>
          <w:color w:val="000000" w:themeColor="text1"/>
          <w:szCs w:val="24"/>
          <w14:textFill>
            <w14:solidFill>
              <w14:schemeClr w14:val="tx1"/>
            </w14:solidFill>
          </w14:textFill>
        </w:rPr>
        <w:fldChar w:fldCharType="begin"/>
      </w:r>
      <w:r>
        <w:rPr>
          <w:color w:val="000000" w:themeColor="text1"/>
          <w:szCs w:val="24"/>
          <w14:textFill>
            <w14:solidFill>
              <w14:schemeClr w14:val="tx1"/>
            </w14:solidFill>
          </w14:textFill>
        </w:rPr>
        <w:instrText xml:space="preserve"> PAGEREF _Toc12380 \h </w:instrText>
      </w:r>
      <w:r>
        <w:rPr>
          <w:color w:val="000000" w:themeColor="text1"/>
          <w:szCs w:val="24"/>
          <w14:textFill>
            <w14:solidFill>
              <w14:schemeClr w14:val="tx1"/>
            </w14:solidFill>
          </w14:textFill>
        </w:rPr>
        <w:fldChar w:fldCharType="separate"/>
      </w:r>
      <w:r>
        <w:rPr>
          <w:color w:val="000000" w:themeColor="text1"/>
          <w:szCs w:val="24"/>
          <w14:textFill>
            <w14:solidFill>
              <w14:schemeClr w14:val="tx1"/>
            </w14:solidFill>
          </w14:textFill>
        </w:rPr>
        <w:t>46</w:t>
      </w:r>
      <w:r>
        <w:rPr>
          <w:color w:val="000000" w:themeColor="text1"/>
          <w:szCs w:val="24"/>
          <w14:textFill>
            <w14:solidFill>
              <w14:schemeClr w14:val="tx1"/>
            </w14:solidFill>
          </w14:textFill>
        </w:rPr>
        <w:fldChar w:fldCharType="end"/>
      </w:r>
      <w:r>
        <w:rPr>
          <w:color w:val="000000" w:themeColor="text1"/>
          <w:szCs w:val="24"/>
          <w14:textFill>
            <w14:solidFill>
              <w14:schemeClr w14:val="tx1"/>
            </w14:solidFill>
          </w14:textFill>
        </w:rPr>
        <w:fldChar w:fldCharType="end"/>
      </w:r>
    </w:p>
    <w:p w14:paraId="549C6282">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"_Toc169" </w:instrText>
      </w:r>
      <w:r>
        <w:rPr>
          <w:color w:val="000000" w:themeColor="text1"/>
          <w14:textFill>
            <w14:solidFill>
              <w14:schemeClr w14:val="tx1"/>
            </w14:solidFill>
          </w14:textFill>
        </w:rPr>
        <w:fldChar w:fldCharType="separate"/>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.1项目危险因素</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_Toc169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46</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12FE01F8">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"_Toc32437" </w:instrText>
      </w:r>
      <w:r>
        <w:rPr>
          <w:color w:val="000000" w:themeColor="text1"/>
          <w14:textFill>
            <w14:solidFill>
              <w14:schemeClr w14:val="tx1"/>
            </w14:solidFill>
          </w14:textFill>
        </w:rPr>
        <w:fldChar w:fldCharType="separate"/>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.2环境敏感性及事故环境影响</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_Toc32437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46</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3C5C3A79">
      <w:pPr>
        <w:pStyle w:val="19"/>
        <w:tabs>
          <w:tab w:val="right" w:leader="dot" w:pos="8730"/>
          <w:tab w:val="clear" w:pos="8720"/>
        </w:tabs>
        <w:adjustRightInd w:val="0"/>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"_Toc18022" </w:instrText>
      </w:r>
      <w:r>
        <w:rPr>
          <w:color w:val="000000" w:themeColor="text1"/>
          <w14:textFill>
            <w14:solidFill>
              <w14:schemeClr w14:val="tx1"/>
            </w14:solidFill>
          </w14:textFill>
        </w:rPr>
        <w:fldChar w:fldCharType="separate"/>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.3环境风险防范措施和应急预案</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_Toc18022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47</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246F3621">
      <w:pPr>
        <w:pStyle w:val="19"/>
        <w:tabs>
          <w:tab w:val="right" w:leader="dot" w:pos="8730"/>
          <w:tab w:val="clear" w:pos="8720"/>
        </w:tabs>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"_Toc15813" </w:instrText>
      </w:r>
      <w:r>
        <w:rPr>
          <w:color w:val="000000" w:themeColor="text1"/>
          <w14:textFill>
            <w14:solidFill>
              <w14:schemeClr w14:val="tx1"/>
            </w14:solidFill>
          </w14:textFill>
        </w:rPr>
        <w:fldChar w:fldCharType="separate"/>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.4环境风险评价结论与建议</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_Toc15813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47</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7ACE1DBE">
      <w:pPr>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end"/>
      </w:r>
    </w:p>
    <w:p w14:paraId="50580991">
      <w:pPr>
        <w:spacing w:line="360" w:lineRule="auto"/>
        <w:rPr>
          <w:bCs/>
          <w:color w:val="000000" w:themeColor="text1"/>
          <w:sz w:val="24"/>
          <w14:textFill>
            <w14:solidFill>
              <w14:schemeClr w14:val="tx1"/>
            </w14:solidFill>
          </w14:textFill>
        </w:rPr>
      </w:pPr>
      <w:r>
        <w:rPr>
          <w:bCs/>
          <w:color w:val="000000" w:themeColor="text1"/>
          <w:kern w:val="0"/>
          <w:sz w:val="24"/>
          <w:lang w:bidi="ar"/>
          <w14:textFill>
            <w14:solidFill>
              <w14:schemeClr w14:val="tx1"/>
            </w14:solidFill>
          </w14:textFill>
        </w:rPr>
        <w:t>附表</w:t>
      </w:r>
      <w:r>
        <w:rPr>
          <w:rFonts w:hint="eastAsia"/>
          <w:bCs/>
          <w:color w:val="000000" w:themeColor="text1"/>
          <w:kern w:val="0"/>
          <w:sz w:val="24"/>
          <w:lang w:bidi="ar"/>
          <w14:textFill>
            <w14:solidFill>
              <w14:schemeClr w14:val="tx1"/>
            </w14:solidFill>
          </w14:textFill>
        </w:rPr>
        <w:t>：</w:t>
      </w:r>
      <w:r>
        <w:rPr>
          <w:bCs/>
          <w:color w:val="000000" w:themeColor="text1"/>
          <w:kern w:val="0"/>
          <w:sz w:val="24"/>
          <w:lang w:bidi="ar"/>
          <w14:textFill>
            <w14:solidFill>
              <w14:schemeClr w14:val="tx1"/>
            </w14:solidFill>
          </w14:textFill>
        </w:rPr>
        <w:t>建设项目环境风险评价自查表</w:t>
      </w:r>
    </w:p>
    <w:p w14:paraId="1247E437">
      <w:pPr>
        <w:pStyle w:val="23"/>
        <w:ind w:left="0" w:leftChars="0" w:firstLine="0" w:firstLineChars="0"/>
        <w:rPr>
          <w:rFonts w:eastAsia="宋体"/>
          <w:color w:val="000000" w:themeColor="text1"/>
          <w14:textFill>
            <w14:solidFill>
              <w14:schemeClr w14:val="tx1"/>
            </w14:solidFill>
          </w14:textFill>
        </w:rPr>
        <w:sectPr>
          <w:footerReference r:id="rId5" w:type="first"/>
          <w:headerReference r:id="rId3" w:type="default"/>
          <w:footerReference r:id="rId4" w:type="default"/>
          <w:pgSz w:w="11906" w:h="16838"/>
          <w:pgMar w:top="1440" w:right="1588" w:bottom="1440" w:left="1588" w:header="851" w:footer="992" w:gutter="0"/>
          <w:pgNumType w:fmt="decimal" w:start="1"/>
          <w:cols w:space="720" w:num="1"/>
          <w:docGrid w:type="lines" w:linePitch="312" w:charSpace="0"/>
        </w:sectPr>
      </w:pPr>
    </w:p>
    <w:p w14:paraId="0232386B">
      <w:pPr>
        <w:pStyle w:val="2"/>
        <w:rPr>
          <w:color w:val="000000" w:themeColor="text1"/>
          <w14:textFill>
            <w14:solidFill>
              <w14:schemeClr w14:val="tx1"/>
            </w14:solidFill>
          </w14:textFill>
        </w:rPr>
      </w:pPr>
      <w:bookmarkStart w:id="0" w:name="_Toc398324646"/>
      <w:bookmarkStart w:id="1" w:name="_Toc285699458"/>
      <w:bookmarkStart w:id="2" w:name="_Toc316219166"/>
      <w:bookmarkStart w:id="3" w:name="_Toc12263"/>
      <w:r>
        <w:rPr>
          <w:color w:val="000000" w:themeColor="text1"/>
          <w14:textFill>
            <w14:solidFill>
              <w14:schemeClr w14:val="tx1"/>
            </w14:solidFill>
          </w14:textFill>
        </w:rPr>
        <w:t>1</w:t>
      </w:r>
      <w:bookmarkEnd w:id="0"/>
      <w:bookmarkEnd w:id="1"/>
      <w:bookmarkEnd w:id="2"/>
      <w:r>
        <w:rPr>
          <w:color w:val="000000" w:themeColor="text1"/>
          <w14:textFill>
            <w14:solidFill>
              <w14:schemeClr w14:val="tx1"/>
            </w14:solidFill>
          </w14:textFill>
        </w:rPr>
        <w:t>总则</w:t>
      </w:r>
      <w:bookmarkEnd w:id="3"/>
    </w:p>
    <w:p w14:paraId="5BAB10E6">
      <w:pPr>
        <w:pStyle w:val="3"/>
        <w:spacing w:before="0" w:after="0" w:line="360" w:lineRule="auto"/>
        <w:rPr>
          <w:rFonts w:ascii="Times New Roman" w:hAnsi="Times New Roman" w:eastAsia="宋体"/>
          <w:color w:val="000000" w:themeColor="text1"/>
          <w14:textFill>
            <w14:solidFill>
              <w14:schemeClr w14:val="tx1"/>
            </w14:solidFill>
          </w14:textFill>
        </w:rPr>
      </w:pPr>
      <w:bookmarkStart w:id="4" w:name="_Toc12183"/>
      <w:bookmarkStart w:id="5" w:name="_Hlk22765064"/>
      <w:r>
        <w:rPr>
          <w:rFonts w:ascii="Times New Roman" w:hAnsi="Times New Roman" w:eastAsia="宋体"/>
          <w:color w:val="000000" w:themeColor="text1"/>
          <w14:textFill>
            <w14:solidFill>
              <w14:schemeClr w14:val="tx1"/>
            </w14:solidFill>
          </w14:textFill>
        </w:rPr>
        <w:t>1.1评价目的</w:t>
      </w:r>
      <w:bookmarkEnd w:id="4"/>
    </w:p>
    <w:p w14:paraId="4CB431F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本环境风险评价专项的编制，旨在进一步分析说明</w:t>
      </w:r>
      <w:r>
        <w:rPr>
          <w:rFonts w:hint="eastAsia"/>
          <w:color w:val="000000" w:themeColor="text1"/>
          <w:sz w:val="24"/>
          <w14:textFill>
            <w14:solidFill>
              <w14:schemeClr w14:val="tx1"/>
            </w14:solidFill>
          </w14:textFill>
        </w:rPr>
        <w:t>绿色农业科技全供应链项目</w:t>
      </w:r>
      <w:r>
        <w:rPr>
          <w:color w:val="000000" w:themeColor="text1"/>
          <w:sz w:val="24"/>
          <w14:textFill>
            <w14:solidFill>
              <w14:schemeClr w14:val="tx1"/>
            </w14:solidFill>
          </w14:textFill>
        </w:rPr>
        <w:t>环境影响报告表中所不能详尽说明的环境风险影响，为生态环境行政主管部门的决策提供科学依据。</w:t>
      </w:r>
    </w:p>
    <w:bookmarkEnd w:id="5"/>
    <w:p w14:paraId="37ED4BC9">
      <w:pPr>
        <w:pStyle w:val="3"/>
        <w:spacing w:before="0" w:after="0" w:line="360" w:lineRule="auto"/>
        <w:rPr>
          <w:rFonts w:ascii="Times New Roman" w:hAnsi="Times New Roman" w:eastAsia="宋体"/>
          <w:color w:val="000000" w:themeColor="text1"/>
          <w14:textFill>
            <w14:solidFill>
              <w14:schemeClr w14:val="tx1"/>
            </w14:solidFill>
          </w14:textFill>
        </w:rPr>
      </w:pPr>
      <w:bookmarkStart w:id="6" w:name="_Toc8527"/>
      <w:r>
        <w:rPr>
          <w:rFonts w:ascii="Times New Roman" w:hAnsi="Times New Roman" w:eastAsia="宋体"/>
          <w:color w:val="000000" w:themeColor="text1"/>
          <w14:textFill>
            <w14:solidFill>
              <w14:schemeClr w14:val="tx1"/>
            </w14:solidFill>
          </w14:textFill>
        </w:rPr>
        <w:t>1.2编制依据</w:t>
      </w:r>
      <w:bookmarkEnd w:id="6"/>
    </w:p>
    <w:p w14:paraId="2581384F">
      <w:pPr>
        <w:spacing w:line="360" w:lineRule="auto"/>
        <w:ind w:firstLine="480" w:firstLineChars="200"/>
        <w:rPr>
          <w:color w:val="000000" w:themeColor="text1"/>
          <w:sz w:val="24"/>
          <w14:textFill>
            <w14:solidFill>
              <w14:schemeClr w14:val="tx1"/>
            </w14:solidFill>
          </w14:textFill>
        </w:rPr>
      </w:pPr>
      <w:bookmarkStart w:id="7" w:name="_Toc317495248"/>
      <w:bookmarkStart w:id="8" w:name="_Toc305410183"/>
      <w:bookmarkStart w:id="9" w:name="_Toc314587887"/>
      <w:r>
        <w:rPr>
          <w:color w:val="000000" w:themeColor="text1"/>
          <w:sz w:val="24"/>
          <w14:textFill>
            <w14:solidFill>
              <w14:schemeClr w14:val="tx1"/>
            </w14:solidFill>
          </w14:textFill>
        </w:rPr>
        <w:t>（1）《中华人民共和国环境保护法》（2015年1月1日施行）；</w:t>
      </w:r>
    </w:p>
    <w:p w14:paraId="695A03D1">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（2）《中华人民共和国环境影响评价法》（2018</w:t>
      </w:r>
      <w:r>
        <w:rPr>
          <w:rFonts w:hint="eastAsia"/>
          <w:color w:val="000000" w:themeColor="text1"/>
          <w:sz w:val="24"/>
          <w14:textFill>
            <w14:solidFill>
              <w14:schemeClr w14:val="tx1"/>
            </w14:solidFill>
          </w14:textFill>
        </w:rPr>
        <w:t>年12月29日修正并施行</w:t>
      </w:r>
      <w:r>
        <w:rPr>
          <w:color w:val="000000" w:themeColor="text1"/>
          <w:sz w:val="24"/>
          <w14:textFill>
            <w14:solidFill>
              <w14:schemeClr w14:val="tx1"/>
            </w14:solidFill>
          </w14:textFill>
        </w:rPr>
        <w:t>）；</w:t>
      </w:r>
    </w:p>
    <w:p w14:paraId="3D514FF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（3）《中华人民共和国安全生产法》（2014年12月1日施行）；</w:t>
      </w:r>
    </w:p>
    <w:p w14:paraId="7375141C">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（4）《危险化学品安全管理条例》（2013年12月7日施行）；</w:t>
      </w:r>
    </w:p>
    <w:p w14:paraId="6D917985">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（5）《建设项目环境保护管理条例》（</w:t>
      </w:r>
      <w:r>
        <w:rPr>
          <w:rFonts w:hint="eastAsia"/>
          <w:color w:val="000000" w:themeColor="text1"/>
          <w:sz w:val="24"/>
          <w14:textFill>
            <w14:solidFill>
              <w14:schemeClr w14:val="tx1"/>
            </w14:solidFill>
          </w14:textFill>
        </w:rPr>
        <w:t>2017</w:t>
      </w:r>
      <w:r>
        <w:rPr>
          <w:color w:val="000000" w:themeColor="text1"/>
          <w:sz w:val="24"/>
          <w14:textFill>
            <w14:solidFill>
              <w14:schemeClr w14:val="tx1"/>
            </w14:solidFill>
          </w14:textFill>
        </w:rPr>
        <w:t>年1</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日</w:t>
      </w:r>
      <w:r>
        <w:rPr>
          <w:rFonts w:hint="eastAsia"/>
          <w:color w:val="000000" w:themeColor="text1"/>
          <w:sz w:val="24"/>
          <w14:textFill>
            <w14:solidFill>
              <w14:schemeClr w14:val="tx1"/>
            </w14:solidFill>
          </w14:textFill>
        </w:rPr>
        <w:t>修订并施行</w:t>
      </w:r>
      <w:r>
        <w:rPr>
          <w:color w:val="000000" w:themeColor="text1"/>
          <w:sz w:val="24"/>
          <w14:textFill>
            <w14:solidFill>
              <w14:schemeClr w14:val="tx1"/>
            </w14:solidFill>
          </w14:textFill>
        </w:rPr>
        <w:t>）；</w:t>
      </w:r>
    </w:p>
    <w:p w14:paraId="00EFCD3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（6）《危险化学品</w:t>
      </w:r>
      <w:r>
        <w:rPr>
          <w:rFonts w:hint="eastAsia"/>
          <w:color w:val="000000" w:themeColor="text1"/>
          <w:sz w:val="24"/>
          <w14:textFill>
            <w14:solidFill>
              <w14:schemeClr w14:val="tx1"/>
            </w14:solidFill>
          </w14:textFill>
        </w:rPr>
        <w:t>目</w:t>
      </w:r>
      <w:r>
        <w:rPr>
          <w:color w:val="000000" w:themeColor="text1"/>
          <w:sz w:val="24"/>
          <w14:textFill>
            <w14:solidFill>
              <w14:schemeClr w14:val="tx1"/>
            </w14:solidFill>
          </w14:textFill>
        </w:rPr>
        <w:t>录》（20</w:t>
      </w:r>
      <w:r>
        <w:rPr>
          <w:rFonts w:hint="eastAsia"/>
          <w:color w:val="000000" w:themeColor="text1"/>
          <w:sz w:val="24"/>
          <w14:textFill>
            <w14:solidFill>
              <w14:schemeClr w14:val="tx1"/>
            </w14:solidFill>
          </w14:textFill>
        </w:rPr>
        <w:t>22</w:t>
      </w:r>
      <w:r>
        <w:rPr>
          <w:color w:val="000000" w:themeColor="text1"/>
          <w:sz w:val="24"/>
          <w14:textFill>
            <w14:solidFill>
              <w14:schemeClr w14:val="tx1"/>
            </w14:solidFill>
          </w14:textFill>
        </w:rPr>
        <w:t>年版）；</w:t>
      </w:r>
    </w:p>
    <w:p w14:paraId="0A9F9D9B">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（7）《国家</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"http://baike.so.com/doc/6615129.html" \t "http://baike.so.com/doc/_blank" </w:instrText>
      </w:r>
      <w:r>
        <w:rPr>
          <w:color w:val="000000" w:themeColor="text1"/>
          <w14:textFill>
            <w14:solidFill>
              <w14:schemeClr w14:val="tx1"/>
            </w14:solidFill>
          </w14:textFill>
        </w:rPr>
        <w:fldChar w:fldCharType="separate"/>
      </w:r>
      <w:r>
        <w:rPr>
          <w:color w:val="000000" w:themeColor="text1"/>
          <w:sz w:val="24"/>
          <w14:textFill>
            <w14:solidFill>
              <w14:schemeClr w14:val="tx1"/>
            </w14:solidFill>
          </w14:textFill>
        </w:rPr>
        <w:t>危险废物</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名录》（202</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年版）；</w:t>
      </w:r>
    </w:p>
    <w:bookmarkEnd w:id="7"/>
    <w:bookmarkEnd w:id="8"/>
    <w:bookmarkEnd w:id="9"/>
    <w:p w14:paraId="286DFDC1">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（8）《建设项目环境风险评价技术导则 总纲》（HJ2.1-2016）；</w:t>
      </w:r>
    </w:p>
    <w:p w14:paraId="1EACAE2B">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（9）《建设项目环境风险评价技术导则》（HJ169-2018）；</w:t>
      </w:r>
    </w:p>
    <w:p w14:paraId="61A269AB">
      <w:pPr>
        <w:pStyle w:val="5"/>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（10）</w:t>
      </w:r>
      <w:r>
        <w:rPr>
          <w:rFonts w:hint="eastAsia"/>
          <w:color w:val="000000" w:themeColor="text1"/>
          <w:sz w:val="24"/>
          <w14:textFill>
            <w14:solidFill>
              <w14:schemeClr w14:val="tx1"/>
            </w14:solidFill>
          </w14:textFill>
        </w:rPr>
        <w:t>《环境影响评价技术导则 地表水环境》（HJ2.3-2018）；</w:t>
      </w:r>
    </w:p>
    <w:p w14:paraId="2EBCB69A">
      <w:pPr>
        <w:pStyle w:val="5"/>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（11）《环境影响评价技术导则 大气环境》（HJ2.2-2018）；</w:t>
      </w:r>
    </w:p>
    <w:p w14:paraId="18B5FC47">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（12）</w:t>
      </w:r>
      <w:r>
        <w:rPr>
          <w:color w:val="000000" w:themeColor="text1"/>
          <w:sz w:val="24"/>
          <w14:textFill>
            <w14:solidFill>
              <w14:schemeClr w14:val="tx1"/>
            </w14:solidFill>
          </w14:textFill>
        </w:rPr>
        <w:t>《危险废物鉴别标准</w:t>
      </w:r>
      <w:r>
        <w:rPr>
          <w:rFonts w:hint="eastAsia"/>
          <w:color w:val="000000" w:themeColor="text1"/>
          <w:sz w:val="24"/>
          <w14:textFill>
            <w14:solidFill>
              <w14:schemeClr w14:val="tx1"/>
            </w14:solidFill>
          </w14:textFill>
        </w:rPr>
        <w:t xml:space="preserve"> 通则</w:t>
      </w:r>
      <w:r>
        <w:rPr>
          <w:color w:val="000000" w:themeColor="text1"/>
          <w:sz w:val="24"/>
          <w14:textFill>
            <w14:solidFill>
              <w14:schemeClr w14:val="tx1"/>
            </w14:solidFill>
          </w14:textFill>
        </w:rPr>
        <w:t>》（GB5085</w:t>
      </w: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-20</w:t>
      </w:r>
      <w:r>
        <w:rPr>
          <w:rFonts w:hint="eastAsia"/>
          <w:color w:val="000000" w:themeColor="text1"/>
          <w:sz w:val="24"/>
          <w14:textFill>
            <w14:solidFill>
              <w14:schemeClr w14:val="tx1"/>
            </w14:solidFill>
          </w14:textFill>
        </w:rPr>
        <w:t>19</w:t>
      </w:r>
      <w:r>
        <w:rPr>
          <w:color w:val="000000" w:themeColor="text1"/>
          <w:sz w:val="24"/>
          <w14:textFill>
            <w14:solidFill>
              <w14:schemeClr w14:val="tx1"/>
            </w14:solidFill>
          </w14:textFill>
        </w:rPr>
        <w:t>）；</w:t>
      </w:r>
    </w:p>
    <w:p w14:paraId="189BEA77">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w:t>
      </w:r>
      <w:r>
        <w:rPr>
          <w:color w:val="000000" w:themeColor="text1"/>
          <w:sz w:val="24"/>
          <w14:textFill>
            <w14:solidFill>
              <w14:schemeClr w14:val="tx1"/>
            </w14:solidFill>
          </w14:textFill>
        </w:rPr>
        <w:t>《常用化学危险品贮存通则》（GB15603-1995）；</w:t>
      </w:r>
    </w:p>
    <w:p w14:paraId="307E9353">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（14）</w:t>
      </w:r>
      <w:r>
        <w:rPr>
          <w:color w:val="000000" w:themeColor="text1"/>
          <w:sz w:val="24"/>
          <w14:textFill>
            <w14:solidFill>
              <w14:schemeClr w14:val="tx1"/>
            </w14:solidFill>
          </w14:textFill>
        </w:rPr>
        <w:t>《危险化学品重大危险源辨识》（GB18218-2</w:t>
      </w:r>
      <w:r>
        <w:rPr>
          <w:rFonts w:hint="eastAsia"/>
          <w:color w:val="000000" w:themeColor="text1"/>
          <w:sz w:val="24"/>
          <w14:textFill>
            <w14:solidFill>
              <w14:schemeClr w14:val="tx1"/>
            </w14:solidFill>
          </w14:textFill>
        </w:rPr>
        <w:t>018</w:t>
      </w:r>
      <w:r>
        <w:rPr>
          <w:color w:val="000000" w:themeColor="text1"/>
          <w:sz w:val="24"/>
          <w14:textFill>
            <w14:solidFill>
              <w14:schemeClr w14:val="tx1"/>
            </w14:solidFill>
          </w14:textFill>
        </w:rPr>
        <w:t>）；</w:t>
      </w:r>
    </w:p>
    <w:p w14:paraId="02E6A48F">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（15）</w:t>
      </w:r>
      <w:r>
        <w:rPr>
          <w:color w:val="000000" w:themeColor="text1"/>
          <w:sz w:val="24"/>
          <w14:textFill>
            <w14:solidFill>
              <w14:schemeClr w14:val="tx1"/>
            </w14:solidFill>
          </w14:textFill>
        </w:rPr>
        <w:t>《危险废物鉴别技术规范》（HJT298-20</w:t>
      </w:r>
      <w:r>
        <w:rPr>
          <w:rFonts w:hint="eastAsia"/>
          <w:color w:val="000000" w:themeColor="text1"/>
          <w:sz w:val="24"/>
          <w14:textFill>
            <w14:solidFill>
              <w14:schemeClr w14:val="tx1"/>
            </w14:solidFill>
          </w14:textFill>
        </w:rPr>
        <w:t>19</w:t>
      </w:r>
      <w:r>
        <w:rPr>
          <w:color w:val="000000" w:themeColor="text1"/>
          <w:sz w:val="24"/>
          <w14:textFill>
            <w14:solidFill>
              <w14:schemeClr w14:val="tx1"/>
            </w14:solidFill>
          </w14:textFill>
        </w:rPr>
        <w:t>）；</w:t>
      </w:r>
    </w:p>
    <w:p w14:paraId="6543A769">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（16）</w:t>
      </w:r>
      <w:r>
        <w:rPr>
          <w:color w:val="000000" w:themeColor="text1"/>
          <w:sz w:val="24"/>
          <w14:textFill>
            <w14:solidFill>
              <w14:schemeClr w14:val="tx1"/>
            </w14:solidFill>
          </w14:textFill>
        </w:rPr>
        <w:t>《建设项目危险废物环境影响评价指南》（公告 2017年 第43号） ；</w:t>
      </w:r>
    </w:p>
    <w:p w14:paraId="6F7A6074">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（17）</w:t>
      </w:r>
      <w:r>
        <w:rPr>
          <w:color w:val="000000" w:themeColor="text1"/>
          <w:sz w:val="24"/>
          <w14:textFill>
            <w14:solidFill>
              <w14:schemeClr w14:val="tx1"/>
            </w14:solidFill>
          </w14:textFill>
        </w:rPr>
        <w:t>《关于进一步加强环境影响评价管理防范环境风险的通知》（环发﹝2012﹞77号）；</w:t>
      </w:r>
    </w:p>
    <w:p w14:paraId="44D335E8">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（18）</w:t>
      </w:r>
      <w:r>
        <w:rPr>
          <w:color w:val="000000" w:themeColor="text1"/>
          <w:sz w:val="24"/>
          <w14:textFill>
            <w14:solidFill>
              <w14:schemeClr w14:val="tx1"/>
            </w14:solidFill>
          </w14:textFill>
        </w:rPr>
        <w:t>《关于切实加强风险防范严格环境影响评价管理的通知》（环发﹝2012﹞98号）</w:t>
      </w:r>
      <w:r>
        <w:rPr>
          <w:rFonts w:hint="eastAsia"/>
          <w:color w:val="000000" w:themeColor="text1"/>
          <w:sz w:val="24"/>
          <w14:textFill>
            <w14:solidFill>
              <w14:schemeClr w14:val="tx1"/>
            </w14:solidFill>
          </w14:textFill>
        </w:rPr>
        <w:t>；</w:t>
      </w:r>
    </w:p>
    <w:p w14:paraId="75C7D12E">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（19）</w:t>
      </w:r>
      <w:r>
        <w:rPr>
          <w:color w:val="000000" w:themeColor="text1"/>
          <w:sz w:val="24"/>
          <w14:textFill>
            <w14:solidFill>
              <w14:schemeClr w14:val="tx1"/>
            </w14:solidFill>
          </w14:textFill>
        </w:rPr>
        <w:t>《突发事件应急预案管理办法》（国办</w:t>
      </w:r>
      <w:r>
        <w:rPr>
          <w:rFonts w:hint="eastAsia"/>
          <w:color w:val="000000" w:themeColor="text1"/>
          <w:sz w:val="24"/>
          <w14:textFill>
            <w14:solidFill>
              <w14:schemeClr w14:val="tx1"/>
            </w14:solidFill>
          </w14:textFill>
        </w:rPr>
        <w:t>发</w:t>
      </w:r>
      <w:r>
        <w:rPr>
          <w:rFonts w:hint="eastAsia" w:ascii="宋体"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2013</w:t>
      </w:r>
      <w:r>
        <w:rPr>
          <w:rFonts w:hint="eastAsia" w:ascii="宋体"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101号）；</w:t>
      </w:r>
    </w:p>
    <w:p w14:paraId="0DB0D1FE">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w:t>
      </w:r>
      <w:r>
        <w:rPr>
          <w:color w:val="000000" w:themeColor="text1"/>
          <w:sz w:val="24"/>
          <w14:textFill>
            <w14:solidFill>
              <w14:schemeClr w14:val="tx1"/>
            </w14:solidFill>
          </w14:textFill>
        </w:rPr>
        <w:t>《突发环境事件信息报告办法》（</w:t>
      </w:r>
      <w:r>
        <w:rPr>
          <w:rFonts w:hint="eastAsia"/>
          <w:color w:val="000000" w:themeColor="text1"/>
          <w:sz w:val="24"/>
          <w:lang w:eastAsia="zh-CN"/>
          <w14:textFill>
            <w14:solidFill>
              <w14:schemeClr w14:val="tx1"/>
            </w14:solidFill>
          </w14:textFill>
        </w:rPr>
        <w:t>生态环境部</w:t>
      </w:r>
      <w:r>
        <w:rPr>
          <w:color w:val="000000" w:themeColor="text1"/>
          <w:sz w:val="24"/>
          <w14:textFill>
            <w14:solidFill>
              <w14:schemeClr w14:val="tx1"/>
            </w14:solidFill>
          </w14:textFill>
        </w:rPr>
        <w:t>令第17号）；</w:t>
      </w:r>
    </w:p>
    <w:p w14:paraId="5374AF8D">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（21）</w:t>
      </w:r>
      <w:r>
        <w:rPr>
          <w:color w:val="000000" w:themeColor="text1"/>
          <w:sz w:val="24"/>
          <w14:textFill>
            <w14:solidFill>
              <w14:schemeClr w14:val="tx1"/>
            </w14:solidFill>
          </w14:textFill>
        </w:rPr>
        <w:t>《突发环境事件应急管理办法》（</w:t>
      </w:r>
      <w:r>
        <w:rPr>
          <w:rFonts w:hint="eastAsia"/>
          <w:color w:val="000000" w:themeColor="text1"/>
          <w:sz w:val="24"/>
          <w:lang w:eastAsia="zh-CN"/>
          <w14:textFill>
            <w14:solidFill>
              <w14:schemeClr w14:val="tx1"/>
            </w14:solidFill>
          </w14:textFill>
        </w:rPr>
        <w:t>生态环境部</w:t>
      </w:r>
      <w:r>
        <w:rPr>
          <w:color w:val="000000" w:themeColor="text1"/>
          <w:sz w:val="24"/>
          <w14:textFill>
            <w14:solidFill>
              <w14:schemeClr w14:val="tx1"/>
            </w14:solidFill>
          </w14:textFill>
        </w:rPr>
        <w:t>令第34号）；</w:t>
      </w:r>
    </w:p>
    <w:p w14:paraId="3E7F897E">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（22）</w:t>
      </w:r>
      <w:r>
        <w:rPr>
          <w:color w:val="000000" w:themeColor="text1"/>
          <w:sz w:val="24"/>
          <w14:textFill>
            <w14:solidFill>
              <w14:schemeClr w14:val="tx1"/>
            </w14:solidFill>
          </w14:textFill>
        </w:rPr>
        <w:t>《企业事业单位突发环境事件应急预案备案管理办法（试行）》（环发</w:t>
      </w:r>
      <w:r>
        <w:rPr>
          <w:rFonts w:hint="eastAsia" w:ascii="宋体"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2015</w:t>
      </w:r>
      <w:r>
        <w:rPr>
          <w:rFonts w:hint="eastAsia" w:ascii="宋体"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4号）；</w:t>
      </w:r>
    </w:p>
    <w:p w14:paraId="3DCA756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（23）</w:t>
      </w:r>
      <w:r>
        <w:rPr>
          <w:color w:val="000000" w:themeColor="text1"/>
          <w:sz w:val="24"/>
          <w14:textFill>
            <w14:solidFill>
              <w14:schemeClr w14:val="tx1"/>
            </w14:solidFill>
          </w14:textFill>
        </w:rPr>
        <w:t>《企业突发环境事件隐患排查和治理工作指南（试行）》（</w:t>
      </w:r>
      <w:r>
        <w:rPr>
          <w:rFonts w:hint="eastAsia"/>
          <w:color w:val="000000" w:themeColor="text1"/>
          <w:sz w:val="24"/>
          <w:lang w:eastAsia="zh-CN"/>
          <w14:textFill>
            <w14:solidFill>
              <w14:schemeClr w14:val="tx1"/>
            </w14:solidFill>
          </w14:textFill>
        </w:rPr>
        <w:t>生态环境部</w:t>
      </w:r>
      <w:r>
        <w:rPr>
          <w:color w:val="000000" w:themeColor="text1"/>
          <w:sz w:val="24"/>
          <w14:textFill>
            <w14:solidFill>
              <w14:schemeClr w14:val="tx1"/>
            </w14:solidFill>
          </w14:textFill>
        </w:rPr>
        <w:t>公告2016年74号）；</w:t>
      </w:r>
    </w:p>
    <w:p w14:paraId="1B05AC1C">
      <w:pPr>
        <w:spacing w:line="360" w:lineRule="auto"/>
        <w:ind w:firstLine="480" w:firstLineChars="200"/>
        <w:rPr>
          <w:color w:val="000000" w:themeColor="text1"/>
          <w:sz w:val="24"/>
          <w14:textFill>
            <w14:solidFill>
              <w14:schemeClr w14:val="tx1"/>
            </w14:solidFill>
          </w14:textFill>
        </w:rPr>
      </w:pPr>
      <w:bookmarkStart w:id="188" w:name="_GoBack"/>
      <w:r>
        <w:rPr>
          <w:rFonts w:hint="eastAsia"/>
          <w:color w:val="000000" w:themeColor="text1"/>
          <w:sz w:val="24"/>
          <w14:textFill>
            <w14:solidFill>
              <w14:schemeClr w14:val="tx1"/>
            </w14:solidFill>
          </w14:textFill>
        </w:rPr>
        <w:t>（24）</w:t>
      </w:r>
      <w:r>
        <w:rPr>
          <w:color w:val="000000" w:themeColor="text1"/>
          <w:sz w:val="24"/>
          <w14:textFill>
            <w14:solidFill>
              <w14:schemeClr w14:val="tx1"/>
            </w14:solidFill>
          </w14:textFill>
        </w:rPr>
        <w:t>《广西壮族自治区突发环境事件应急预案》（2019</w:t>
      </w:r>
      <w:r>
        <w:rPr>
          <w:rFonts w:hint="eastAsia"/>
          <w:color w:val="000000" w:themeColor="text1"/>
          <w:sz w:val="24"/>
          <w:lang w:eastAsia="zh-CN"/>
          <w14:textFill>
            <w14:solidFill>
              <w14:schemeClr w14:val="tx1"/>
            </w14:solidFill>
          </w14:textFill>
        </w:rPr>
        <w:t>年修订稿</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p>
    <w:bookmarkEnd w:id="188"/>
    <w:p w14:paraId="2FD42E78">
      <w:pPr>
        <w:pStyle w:val="23"/>
        <w:spacing w:after="0" w:line="360" w:lineRule="auto"/>
        <w:ind w:left="0" w:leftChars="0" w:firstLine="480"/>
        <w:rPr>
          <w:rFonts w:eastAsia="宋体"/>
          <w:color w:val="000000" w:themeColor="text1"/>
          <w:sz w:val="24"/>
          <w14:textFill>
            <w14:solidFill>
              <w14:schemeClr w14:val="tx1"/>
            </w14:solidFill>
          </w14:textFill>
        </w:rPr>
      </w:pPr>
      <w:r>
        <w:rPr>
          <w:rFonts w:hint="eastAsia" w:eastAsia="宋体"/>
          <w:color w:val="000000" w:themeColor="text1"/>
          <w:sz w:val="24"/>
          <w14:textFill>
            <w14:solidFill>
              <w14:schemeClr w14:val="tx1"/>
            </w14:solidFill>
          </w14:textFill>
        </w:rPr>
        <w:t>（25）</w:t>
      </w:r>
      <w:r>
        <w:rPr>
          <w:rFonts w:eastAsia="宋体"/>
          <w:color w:val="000000" w:themeColor="text1"/>
          <w:sz w:val="24"/>
          <w14:textFill>
            <w14:solidFill>
              <w14:schemeClr w14:val="tx1"/>
            </w14:solidFill>
          </w14:textFill>
        </w:rPr>
        <w:t>《建筑设计防火规范》（GB50016-2014）</w:t>
      </w:r>
      <w:r>
        <w:rPr>
          <w:rFonts w:hint="eastAsia" w:eastAsia="宋体"/>
          <w:color w:val="000000" w:themeColor="text1"/>
          <w:sz w:val="24"/>
          <w14:textFill>
            <w14:solidFill>
              <w14:schemeClr w14:val="tx1"/>
            </w14:solidFill>
          </w14:textFill>
        </w:rPr>
        <w:t>；</w:t>
      </w:r>
    </w:p>
    <w:p w14:paraId="2E4C6841">
      <w:pPr>
        <w:pStyle w:val="23"/>
        <w:spacing w:after="0" w:line="360" w:lineRule="auto"/>
        <w:ind w:left="0" w:leftChars="0" w:firstLine="48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（26）</w:t>
      </w:r>
      <w:r>
        <w:rPr>
          <w:rFonts w:hint="eastAsia" w:ascii="宋体" w:hAnsi="宋体" w:eastAsia="宋体"/>
          <w:color w:val="000000" w:themeColor="text1"/>
          <w:sz w:val="24"/>
          <w14:textFill>
            <w14:solidFill>
              <w14:schemeClr w14:val="tx1"/>
            </w14:solidFill>
          </w14:textFill>
        </w:rPr>
        <w:t>《消</w:t>
      </w:r>
      <w:r>
        <w:rPr>
          <w:rFonts w:hint="eastAsia" w:eastAsia="宋体"/>
          <w:color w:val="000000" w:themeColor="text1"/>
          <w:sz w:val="24"/>
          <w14:textFill>
            <w14:solidFill>
              <w14:schemeClr w14:val="tx1"/>
            </w14:solidFill>
          </w14:textFill>
        </w:rPr>
        <w:t>防给水及消火栓系统技术规范》（</w:t>
      </w:r>
      <w:r>
        <w:rPr>
          <w:rFonts w:eastAsia="宋体"/>
          <w:color w:val="000000" w:themeColor="text1"/>
          <w:sz w:val="24"/>
          <w14:textFill>
            <w14:solidFill>
              <w14:schemeClr w14:val="tx1"/>
            </w14:solidFill>
          </w14:textFill>
        </w:rPr>
        <w:t>GB50974-2014</w:t>
      </w:r>
      <w:r>
        <w:rPr>
          <w:rFonts w:hint="eastAsia" w:eastAsia="宋体"/>
          <w:color w:val="000000" w:themeColor="text1"/>
          <w:sz w:val="24"/>
          <w14:textFill>
            <w14:solidFill>
              <w14:schemeClr w14:val="tx1"/>
            </w14:solidFill>
          </w14:textFill>
        </w:rPr>
        <w:t>）</w:t>
      </w:r>
      <w:r>
        <w:rPr>
          <w:rFonts w:eastAsia="宋体"/>
          <w:color w:val="000000" w:themeColor="text1"/>
          <w:sz w:val="24"/>
          <w14:textFill>
            <w14:solidFill>
              <w14:schemeClr w14:val="tx1"/>
            </w14:solidFill>
          </w14:textFill>
        </w:rPr>
        <w:t>；</w:t>
      </w:r>
    </w:p>
    <w:p w14:paraId="44484886">
      <w:pPr>
        <w:pStyle w:val="3"/>
        <w:spacing w:before="0" w:after="0" w:line="360" w:lineRule="auto"/>
        <w:rPr>
          <w:rFonts w:ascii="Times New Roman" w:hAnsi="Times New Roman" w:eastAsia="宋体"/>
          <w:color w:val="000000" w:themeColor="text1"/>
          <w14:textFill>
            <w14:solidFill>
              <w14:schemeClr w14:val="tx1"/>
            </w14:solidFill>
          </w14:textFill>
        </w:rPr>
      </w:pPr>
      <w:bookmarkStart w:id="10" w:name="_Toc26686"/>
      <w:r>
        <w:rPr>
          <w:rFonts w:ascii="Times New Roman" w:hAnsi="Times New Roman" w:eastAsia="宋体"/>
          <w:color w:val="000000" w:themeColor="text1"/>
          <w14:textFill>
            <w14:solidFill>
              <w14:schemeClr w14:val="tx1"/>
            </w14:solidFill>
          </w14:textFill>
        </w:rPr>
        <w:t>1.3评价等级及范围</w:t>
      </w:r>
      <w:bookmarkEnd w:id="10"/>
    </w:p>
    <w:p w14:paraId="48507D22">
      <w:pPr>
        <w:adjustRightInd w:val="0"/>
        <w:snapToGrid w:val="0"/>
        <w:spacing w:line="360" w:lineRule="auto"/>
        <w:ind w:firstLine="482" w:firstLineChars="200"/>
        <w:outlineLvl w:val="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1.3.1风险源调查</w:t>
      </w:r>
    </w:p>
    <w:p w14:paraId="5C237035">
      <w:pPr>
        <w:spacing w:line="500" w:lineRule="exact"/>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危险物质数量和分布情况</w:t>
      </w:r>
    </w:p>
    <w:p w14:paraId="6C79B766">
      <w:pPr>
        <w:spacing w:line="50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根据项目工程分析，项目</w:t>
      </w:r>
      <w:r>
        <w:rPr>
          <w:rFonts w:hint="eastAsia"/>
          <w:color w:val="000000" w:themeColor="text1"/>
          <w:sz w:val="24"/>
          <w14:textFill>
            <w14:solidFill>
              <w14:schemeClr w14:val="tx1"/>
            </w14:solidFill>
          </w14:textFill>
        </w:rPr>
        <w:t>涉及</w:t>
      </w:r>
      <w:r>
        <w:rPr>
          <w:color w:val="000000" w:themeColor="text1"/>
          <w:sz w:val="24"/>
          <w14:textFill>
            <w14:solidFill>
              <w14:schemeClr w14:val="tx1"/>
            </w14:solidFill>
          </w14:textFill>
        </w:rPr>
        <w:t>的</w:t>
      </w:r>
      <w:r>
        <w:rPr>
          <w:rFonts w:hint="eastAsia"/>
          <w:color w:val="000000" w:themeColor="text1"/>
          <w:sz w:val="24"/>
          <w14:textFill>
            <w14:solidFill>
              <w14:schemeClr w14:val="tx1"/>
            </w14:solidFill>
          </w14:textFill>
        </w:rPr>
        <w:t>危险</w:t>
      </w:r>
      <w:r>
        <w:rPr>
          <w:color w:val="000000" w:themeColor="text1"/>
          <w:sz w:val="24"/>
          <w14:textFill>
            <w14:solidFill>
              <w14:schemeClr w14:val="tx1"/>
            </w14:solidFill>
          </w14:textFill>
        </w:rPr>
        <w:t>物质主要包括：</w:t>
      </w:r>
      <w:r>
        <w:rPr>
          <w:rFonts w:hint="eastAsia"/>
          <w:color w:val="000000" w:themeColor="text1"/>
          <w:sz w:val="24"/>
          <w14:textFill>
            <w14:solidFill>
              <w14:schemeClr w14:val="tx1"/>
            </w14:solidFill>
          </w14:textFill>
        </w:rPr>
        <w:t>硫酸铵、废机油</w:t>
      </w:r>
      <w:r>
        <w:rPr>
          <w:color w:val="000000" w:themeColor="text1"/>
          <w:sz w:val="24"/>
          <w14:textFill>
            <w14:solidFill>
              <w14:schemeClr w14:val="tx1"/>
            </w14:solidFill>
          </w14:textFill>
        </w:rPr>
        <w:t>。</w:t>
      </w:r>
    </w:p>
    <w:p w14:paraId="3ADD74E3">
      <w:pPr>
        <w:spacing w:line="50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对照《建设项目环境风险评价技术导则》（HJ169-2018）（以下简称“风险导则”）及《</w:t>
      </w:r>
      <w:r>
        <w:rPr>
          <w:rFonts w:hint="eastAsia"/>
          <w:color w:val="000000" w:themeColor="text1"/>
          <w:sz w:val="24"/>
          <w14:textFill>
            <w14:solidFill>
              <w14:schemeClr w14:val="tx1"/>
            </w14:solidFill>
          </w14:textFill>
        </w:rPr>
        <w:t>危险化学品目录（2022年版）</w:t>
      </w:r>
      <w:r>
        <w:rPr>
          <w:color w:val="000000" w:themeColor="text1"/>
          <w:sz w:val="24"/>
          <w14:textFill>
            <w14:solidFill>
              <w14:schemeClr w14:val="tx1"/>
            </w14:solidFill>
          </w14:textFill>
        </w:rPr>
        <w:t>》，属于危险物质的包括：</w:t>
      </w:r>
      <w:r>
        <w:rPr>
          <w:rFonts w:hint="eastAsia"/>
          <w:color w:val="000000" w:themeColor="text1"/>
          <w:sz w:val="24"/>
          <w14:textFill>
            <w14:solidFill>
              <w14:schemeClr w14:val="tx1"/>
            </w14:solidFill>
          </w14:textFill>
        </w:rPr>
        <w:t>硫酸铵</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废机油</w:t>
      </w:r>
      <w:r>
        <w:rPr>
          <w:color w:val="000000" w:themeColor="text1"/>
          <w:sz w:val="24"/>
          <w14:textFill>
            <w14:solidFill>
              <w14:schemeClr w14:val="tx1"/>
            </w14:solidFill>
          </w14:textFill>
        </w:rPr>
        <w:t>。</w:t>
      </w:r>
    </w:p>
    <w:p w14:paraId="7F85A39D">
      <w:pPr>
        <w:spacing w:line="50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危险物质数量以及分布情况见表1.</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-1。</w:t>
      </w:r>
    </w:p>
    <w:p w14:paraId="45137BDE">
      <w:pPr>
        <w:keepNext/>
        <w:keepLines/>
        <w:tabs>
          <w:tab w:val="left" w:pos="795"/>
        </w:tabs>
        <w:spacing w:line="500" w:lineRule="exact"/>
        <w:ind w:left="794"/>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w:t>
      </w:r>
      <w:r>
        <w:rPr>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3</w:t>
      </w:r>
      <w:r>
        <w:rPr>
          <w:b/>
          <w:color w:val="000000" w:themeColor="text1"/>
          <w:sz w:val="24"/>
          <w14:textFill>
            <w14:solidFill>
              <w14:schemeClr w14:val="tx1"/>
            </w14:solidFill>
          </w14:textFill>
        </w:rPr>
        <w:t>-1  危险物质分布情况表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973"/>
        <w:gridCol w:w="3102"/>
        <w:gridCol w:w="3060"/>
      </w:tblGrid>
      <w:tr w14:paraId="14C8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3" w:type="pct"/>
            <w:tcBorders>
              <w:top w:val="single" w:color="auto" w:sz="4" w:space="0"/>
              <w:left w:val="single" w:color="auto" w:sz="4" w:space="0"/>
              <w:bottom w:val="single" w:color="auto" w:sz="4" w:space="0"/>
              <w:right w:val="single" w:color="auto" w:sz="4" w:space="0"/>
            </w:tcBorders>
            <w:vAlign w:val="center"/>
          </w:tcPr>
          <w:p w14:paraId="40FB5BD3">
            <w:pPr>
              <w:adjustRightInd w:val="0"/>
              <w:snapToGrid w:val="0"/>
              <w:jc w:val="center"/>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序号</w:t>
            </w:r>
          </w:p>
        </w:tc>
        <w:tc>
          <w:tcPr>
            <w:tcW w:w="1102" w:type="pct"/>
            <w:tcBorders>
              <w:top w:val="single" w:color="auto" w:sz="4" w:space="0"/>
              <w:left w:val="nil"/>
              <w:bottom w:val="single" w:color="auto" w:sz="4" w:space="0"/>
              <w:right w:val="single" w:color="auto" w:sz="4" w:space="0"/>
            </w:tcBorders>
            <w:vAlign w:val="center"/>
          </w:tcPr>
          <w:p w14:paraId="70B41305">
            <w:pPr>
              <w:adjustRightInd w:val="0"/>
              <w:snapToGrid w:val="0"/>
              <w:jc w:val="center"/>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危险物质名称</w:t>
            </w:r>
          </w:p>
        </w:tc>
        <w:tc>
          <w:tcPr>
            <w:tcW w:w="1733" w:type="pct"/>
            <w:tcBorders>
              <w:top w:val="single" w:color="auto" w:sz="4" w:space="0"/>
              <w:left w:val="nil"/>
              <w:bottom w:val="single" w:color="auto" w:sz="4" w:space="0"/>
              <w:right w:val="single" w:color="auto" w:sz="4" w:space="0"/>
            </w:tcBorders>
            <w:vAlign w:val="center"/>
          </w:tcPr>
          <w:p w14:paraId="7D87AE04">
            <w:pPr>
              <w:adjustRightInd w:val="0"/>
              <w:snapToGrid w:val="0"/>
              <w:jc w:val="center"/>
              <w:rPr>
                <w:rFonts w:hint="eastAsia" w:eastAsia="宋体"/>
                <w:color w:val="000000" w:themeColor="text1"/>
                <w:szCs w:val="21"/>
                <w:u w:val="single"/>
                <w:lang w:eastAsia="zh-CN"/>
                <w14:textFill>
                  <w14:solidFill>
                    <w14:schemeClr w14:val="tx1"/>
                  </w14:solidFill>
                </w14:textFill>
              </w:rPr>
            </w:pPr>
            <w:r>
              <w:rPr>
                <w:color w:val="000000" w:themeColor="text1"/>
                <w:szCs w:val="21"/>
                <w:u w:val="single"/>
                <w14:textFill>
                  <w14:solidFill>
                    <w14:schemeClr w14:val="tx1"/>
                  </w14:solidFill>
                </w14:textFill>
              </w:rPr>
              <w:t>分布</w:t>
            </w:r>
            <w:r>
              <w:rPr>
                <w:rFonts w:hint="eastAsia"/>
                <w:color w:val="000000" w:themeColor="text1"/>
                <w:szCs w:val="21"/>
                <w:u w:val="single"/>
                <w:lang w:val="en-US" w:eastAsia="zh-CN"/>
                <w14:textFill>
                  <w14:solidFill>
                    <w14:schemeClr w14:val="tx1"/>
                  </w14:solidFill>
                </w14:textFill>
              </w:rPr>
              <w:t>区域</w:t>
            </w:r>
          </w:p>
        </w:tc>
        <w:tc>
          <w:tcPr>
            <w:tcW w:w="1709" w:type="pct"/>
            <w:tcBorders>
              <w:top w:val="single" w:color="auto" w:sz="4" w:space="0"/>
              <w:left w:val="nil"/>
              <w:bottom w:val="single" w:color="auto" w:sz="4" w:space="0"/>
              <w:right w:val="single" w:color="auto" w:sz="4" w:space="0"/>
            </w:tcBorders>
            <w:vAlign w:val="center"/>
          </w:tcPr>
          <w:p w14:paraId="328BA672">
            <w:pPr>
              <w:adjustRightInd w:val="0"/>
              <w:snapToGrid w:val="0"/>
              <w:jc w:val="center"/>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最大存放量（t）</w:t>
            </w:r>
          </w:p>
        </w:tc>
      </w:tr>
      <w:tr w14:paraId="2CF9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pct"/>
            <w:tcBorders>
              <w:top w:val="nil"/>
              <w:left w:val="single" w:color="auto" w:sz="4" w:space="0"/>
              <w:bottom w:val="single" w:color="auto" w:sz="4" w:space="0"/>
              <w:right w:val="single" w:color="auto" w:sz="4" w:space="0"/>
            </w:tcBorders>
            <w:vAlign w:val="center"/>
          </w:tcPr>
          <w:p w14:paraId="0D3AC317">
            <w:pPr>
              <w:adjustRightInd w:val="0"/>
              <w:snapToGrid w:val="0"/>
              <w:jc w:val="center"/>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1</w:t>
            </w:r>
          </w:p>
        </w:tc>
        <w:tc>
          <w:tcPr>
            <w:tcW w:w="1102" w:type="pct"/>
            <w:tcBorders>
              <w:top w:val="nil"/>
              <w:left w:val="nil"/>
              <w:right w:val="single" w:color="auto" w:sz="4" w:space="0"/>
            </w:tcBorders>
            <w:vAlign w:val="center"/>
          </w:tcPr>
          <w:p w14:paraId="3CA167F4">
            <w:pPr>
              <w:adjustRightInd w:val="0"/>
              <w:snapToGrid w:val="0"/>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硫酸铵</w:t>
            </w:r>
          </w:p>
        </w:tc>
        <w:tc>
          <w:tcPr>
            <w:tcW w:w="1733" w:type="pct"/>
            <w:tcBorders>
              <w:top w:val="single" w:color="auto" w:sz="4" w:space="0"/>
              <w:left w:val="nil"/>
              <w:bottom w:val="single" w:color="auto" w:sz="4" w:space="0"/>
              <w:right w:val="single" w:color="auto" w:sz="4" w:space="0"/>
            </w:tcBorders>
            <w:vAlign w:val="center"/>
          </w:tcPr>
          <w:p w14:paraId="2154A9BB">
            <w:pPr>
              <w:autoSpaceDE w:val="0"/>
              <w:autoSpaceDN w:val="0"/>
              <w:adjustRightInd w:val="0"/>
              <w:spacing w:line="261" w:lineRule="exact"/>
              <w:ind w:left="102" w:right="-20"/>
              <w:jc w:val="center"/>
              <w:rPr>
                <w:rFonts w:hint="default" w:eastAsia="宋体"/>
                <w:color w:val="000000" w:themeColor="text1"/>
                <w:u w:val="single"/>
                <w:lang w:val="en-US" w:eastAsia="zh-CN"/>
                <w14:textFill>
                  <w14:solidFill>
                    <w14:schemeClr w14:val="tx1"/>
                  </w14:solidFill>
                </w14:textFill>
              </w:rPr>
            </w:pPr>
            <w:r>
              <w:rPr>
                <w:rFonts w:hint="eastAsia"/>
                <w:color w:val="000000" w:themeColor="text1"/>
                <w:szCs w:val="21"/>
                <w:u w:val="single"/>
                <w14:textFill>
                  <w14:solidFill>
                    <w14:schemeClr w14:val="tx1"/>
                  </w14:solidFill>
                </w14:textFill>
              </w:rPr>
              <w:t>原料</w:t>
            </w:r>
            <w:r>
              <w:rPr>
                <w:rFonts w:hint="eastAsia"/>
                <w:color w:val="000000" w:themeColor="text1"/>
                <w:u w:val="single"/>
                <w14:textFill>
                  <w14:solidFill>
                    <w14:schemeClr w14:val="tx1"/>
                  </w14:solidFill>
                </w14:textFill>
              </w:rPr>
              <w:t>库</w:t>
            </w:r>
            <w:r>
              <w:rPr>
                <w:rFonts w:hint="eastAsia"/>
                <w:color w:val="000000" w:themeColor="text1"/>
                <w:u w:val="single"/>
                <w:lang w:eastAsia="zh-CN"/>
                <w14:textFill>
                  <w14:solidFill>
                    <w14:schemeClr w14:val="tx1"/>
                  </w14:solidFill>
                </w14:textFill>
              </w:rPr>
              <w:t>、</w:t>
            </w:r>
            <w:r>
              <w:rPr>
                <w:rFonts w:hint="eastAsia"/>
                <w:color w:val="000000" w:themeColor="text1"/>
                <w:u w:val="single"/>
                <w:lang w:val="en-US" w:eastAsia="zh-CN"/>
                <w14:textFill>
                  <w14:solidFill>
                    <w14:schemeClr w14:val="tx1"/>
                  </w14:solidFill>
                </w14:textFill>
              </w:rPr>
              <w:t>生产车间、成品库</w:t>
            </w:r>
          </w:p>
        </w:tc>
        <w:tc>
          <w:tcPr>
            <w:tcW w:w="1709" w:type="pct"/>
            <w:tcBorders>
              <w:top w:val="single" w:color="auto" w:sz="4" w:space="0"/>
              <w:left w:val="nil"/>
              <w:bottom w:val="single" w:color="auto" w:sz="4" w:space="0"/>
              <w:right w:val="single" w:color="auto" w:sz="4" w:space="0"/>
            </w:tcBorders>
            <w:vAlign w:val="center"/>
          </w:tcPr>
          <w:p w14:paraId="1EEB73F4">
            <w:pPr>
              <w:autoSpaceDE w:val="0"/>
              <w:autoSpaceDN w:val="0"/>
              <w:adjustRightInd w:val="0"/>
              <w:spacing w:line="261" w:lineRule="exact"/>
              <w:ind w:left="102" w:right="-20"/>
              <w:jc w:val="center"/>
              <w:rPr>
                <w:rFonts w:hint="default"/>
                <w:color w:val="000000" w:themeColor="text1"/>
                <w:szCs w:val="21"/>
                <w:u w:val="single"/>
                <w:lang w:val="en-US"/>
                <w14:textFill>
                  <w14:solidFill>
                    <w14:schemeClr w14:val="tx1"/>
                  </w14:solidFill>
                </w14:textFill>
              </w:rPr>
            </w:pPr>
            <w:r>
              <w:rPr>
                <w:rFonts w:hint="eastAsia"/>
                <w:color w:val="000000" w:themeColor="text1"/>
                <w:szCs w:val="21"/>
                <w:u w:val="single"/>
                <w14:textFill>
                  <w14:solidFill>
                    <w14:schemeClr w14:val="tx1"/>
                  </w14:solidFill>
                </w14:textFill>
              </w:rPr>
              <w:t>1</w:t>
            </w:r>
            <w:r>
              <w:rPr>
                <w:rFonts w:hint="eastAsia"/>
                <w:color w:val="000000" w:themeColor="text1"/>
                <w:szCs w:val="21"/>
                <w:u w:val="single"/>
                <w:lang w:val="en-US" w:eastAsia="zh-CN"/>
                <w14:textFill>
                  <w14:solidFill>
                    <w14:schemeClr w14:val="tx1"/>
                  </w14:solidFill>
                </w14:textFill>
              </w:rPr>
              <w:t>0</w:t>
            </w:r>
            <w:r>
              <w:rPr>
                <w:rFonts w:hint="eastAsia"/>
                <w:color w:val="000000" w:themeColor="text1"/>
                <w:szCs w:val="21"/>
                <w:u w:val="single"/>
                <w14:textFill>
                  <w14:solidFill>
                    <w14:schemeClr w14:val="tx1"/>
                  </w14:solidFill>
                </w14:textFill>
              </w:rPr>
              <w:t>000</w:t>
            </w:r>
            <w:r>
              <w:rPr>
                <w:rFonts w:hint="eastAsia"/>
                <w:color w:val="000000" w:themeColor="text1"/>
                <w:u w:val="single"/>
                <w:lang w:val="en-US" w:eastAsia="zh-CN"/>
                <w14:textFill>
                  <w14:solidFill>
                    <w14:schemeClr w14:val="tx1"/>
                  </w14:solidFill>
                </w14:textFill>
              </w:rPr>
              <w:t>.2</w:t>
            </w:r>
          </w:p>
        </w:tc>
      </w:tr>
      <w:tr w14:paraId="382B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pct"/>
            <w:tcBorders>
              <w:top w:val="nil"/>
              <w:left w:val="single" w:color="auto" w:sz="4" w:space="0"/>
              <w:bottom w:val="single" w:color="auto" w:sz="4" w:space="0"/>
              <w:right w:val="single" w:color="auto" w:sz="4" w:space="0"/>
            </w:tcBorders>
            <w:vAlign w:val="center"/>
          </w:tcPr>
          <w:p w14:paraId="2E260928">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1102" w:type="pct"/>
            <w:tcBorders>
              <w:top w:val="nil"/>
              <w:left w:val="nil"/>
              <w:bottom w:val="single" w:color="auto" w:sz="4" w:space="0"/>
              <w:right w:val="single" w:color="auto" w:sz="4" w:space="0"/>
            </w:tcBorders>
            <w:vAlign w:val="center"/>
          </w:tcPr>
          <w:p w14:paraId="19192CB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w:t>
            </w:r>
          </w:p>
        </w:tc>
        <w:tc>
          <w:tcPr>
            <w:tcW w:w="1733" w:type="pct"/>
            <w:tcBorders>
              <w:top w:val="single" w:color="auto" w:sz="4" w:space="0"/>
              <w:left w:val="nil"/>
              <w:bottom w:val="single" w:color="auto" w:sz="4" w:space="0"/>
              <w:right w:val="single" w:color="auto" w:sz="4" w:space="0"/>
            </w:tcBorders>
            <w:vAlign w:val="center"/>
          </w:tcPr>
          <w:p w14:paraId="5D84CC5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危废暂存间</w:t>
            </w:r>
          </w:p>
        </w:tc>
        <w:tc>
          <w:tcPr>
            <w:tcW w:w="1709" w:type="pct"/>
            <w:tcBorders>
              <w:top w:val="single" w:color="auto" w:sz="4" w:space="0"/>
              <w:left w:val="nil"/>
              <w:bottom w:val="single" w:color="auto" w:sz="4" w:space="0"/>
              <w:right w:val="single" w:color="auto" w:sz="4" w:space="0"/>
            </w:tcBorders>
            <w:vAlign w:val="center"/>
          </w:tcPr>
          <w:p w14:paraId="21BA7EF4">
            <w:pPr>
              <w:autoSpaceDE w:val="0"/>
              <w:autoSpaceDN w:val="0"/>
              <w:adjustRightInd w:val="0"/>
              <w:spacing w:line="261" w:lineRule="exact"/>
              <w:ind w:left="102" w:right="-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r>
    </w:tbl>
    <w:p w14:paraId="31D54FB3">
      <w:pPr>
        <w:adjustRightInd w:val="0"/>
        <w:snapToGrid w:val="0"/>
        <w:spacing w:line="360" w:lineRule="auto"/>
        <w:ind w:firstLine="420" w:firstLineChars="200"/>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注：根据建设单位经验和参考同类型项目，硫酸铵按每</w:t>
      </w:r>
      <w:r>
        <w:rPr>
          <w:rFonts w:hint="eastAsia"/>
          <w:color w:val="000000" w:themeColor="text1"/>
          <w:szCs w:val="21"/>
          <w:u w:val="single"/>
          <w:lang w:val="en-US" w:eastAsia="zh-CN"/>
          <w14:textFill>
            <w14:solidFill>
              <w14:schemeClr w14:val="tx1"/>
            </w14:solidFill>
          </w14:textFill>
        </w:rPr>
        <w:t>3天</w:t>
      </w:r>
      <w:r>
        <w:rPr>
          <w:rFonts w:hint="eastAsia"/>
          <w:color w:val="000000" w:themeColor="text1"/>
          <w:szCs w:val="21"/>
          <w:u w:val="single"/>
          <w14:textFill>
            <w14:solidFill>
              <w14:schemeClr w14:val="tx1"/>
            </w14:solidFill>
          </w14:textFill>
        </w:rPr>
        <w:t>进</w:t>
      </w:r>
      <w:r>
        <w:rPr>
          <w:rFonts w:hint="eastAsia"/>
          <w:color w:val="000000" w:themeColor="text1"/>
          <w:szCs w:val="21"/>
          <w:u w:val="single"/>
          <w:lang w:val="en-US" w:eastAsia="zh-CN"/>
          <w14:textFill>
            <w14:solidFill>
              <w14:schemeClr w14:val="tx1"/>
            </w14:solidFill>
          </w14:textFill>
        </w:rPr>
        <w:t>一</w:t>
      </w:r>
      <w:r>
        <w:rPr>
          <w:rFonts w:hint="eastAsia"/>
          <w:color w:val="000000" w:themeColor="text1"/>
          <w:szCs w:val="21"/>
          <w:u w:val="single"/>
          <w14:textFill>
            <w14:solidFill>
              <w14:schemeClr w14:val="tx1"/>
            </w14:solidFill>
          </w14:textFill>
        </w:rPr>
        <w:t>次原料计</w:t>
      </w:r>
      <w:r>
        <w:rPr>
          <w:rFonts w:hint="eastAsia"/>
          <w:color w:val="000000" w:themeColor="text1"/>
          <w:szCs w:val="21"/>
          <w:u w:val="single"/>
          <w:lang w:val="en-US" w:eastAsia="zh-CN"/>
          <w14:textFill>
            <w14:solidFill>
              <w14:schemeClr w14:val="tx1"/>
            </w14:solidFill>
          </w14:textFill>
        </w:rPr>
        <w:t>和每3天成品外运一次</w:t>
      </w:r>
      <w:r>
        <w:rPr>
          <w:rFonts w:hint="eastAsia"/>
          <w:color w:val="000000" w:themeColor="text1"/>
          <w:szCs w:val="21"/>
          <w:u w:val="single"/>
          <w14:textFill>
            <w14:solidFill>
              <w14:schemeClr w14:val="tx1"/>
            </w14:solidFill>
          </w14:textFill>
        </w:rPr>
        <w:t>，原料量</w:t>
      </w:r>
      <w:r>
        <w:rPr>
          <w:rFonts w:hint="eastAsia"/>
          <w:color w:val="000000" w:themeColor="text1"/>
          <w:szCs w:val="21"/>
          <w:u w:val="single"/>
          <w:lang w:val="en-US" w:eastAsia="zh-CN"/>
          <w14:textFill>
            <w14:solidFill>
              <w14:schemeClr w14:val="tx1"/>
            </w14:solidFill>
          </w14:textFill>
        </w:rPr>
        <w:t>和成品硫酸铵颗粒均</w:t>
      </w:r>
      <w:r>
        <w:rPr>
          <w:rFonts w:hint="eastAsia"/>
          <w:color w:val="000000" w:themeColor="text1"/>
          <w:szCs w:val="21"/>
          <w:u w:val="single"/>
          <w14:textFill>
            <w14:solidFill>
              <w14:schemeClr w14:val="tx1"/>
            </w14:solidFill>
          </w14:textFill>
        </w:rPr>
        <w:t>为50万t/a，则每</w:t>
      </w:r>
      <w:r>
        <w:rPr>
          <w:rFonts w:hint="eastAsia"/>
          <w:color w:val="000000" w:themeColor="text1"/>
          <w:szCs w:val="21"/>
          <w:u w:val="single"/>
          <w:lang w:val="en-US" w:eastAsia="zh-CN"/>
          <w14:textFill>
            <w14:solidFill>
              <w14:schemeClr w14:val="tx1"/>
            </w14:solidFill>
          </w14:textFill>
        </w:rPr>
        <w:t>天</w:t>
      </w:r>
      <w:r>
        <w:rPr>
          <w:rFonts w:hint="eastAsia"/>
          <w:color w:val="000000" w:themeColor="text1"/>
          <w:szCs w:val="21"/>
          <w:u w:val="single"/>
          <w14:textFill>
            <w14:solidFill>
              <w14:schemeClr w14:val="tx1"/>
            </w14:solidFill>
          </w14:textFill>
        </w:rPr>
        <w:t>约</w:t>
      </w:r>
      <w:r>
        <w:rPr>
          <w:rFonts w:hint="eastAsia"/>
          <w:color w:val="000000" w:themeColor="text1"/>
          <w:szCs w:val="21"/>
          <w:u w:val="single"/>
          <w:lang w:val="en-US" w:eastAsia="zh-CN"/>
          <w14:textFill>
            <w14:solidFill>
              <w14:schemeClr w14:val="tx1"/>
            </w14:solidFill>
          </w14:textFill>
        </w:rPr>
        <w:t>1666.7</w:t>
      </w:r>
      <w:r>
        <w:rPr>
          <w:rFonts w:hint="eastAsia"/>
          <w:color w:val="000000" w:themeColor="text1"/>
          <w:szCs w:val="21"/>
          <w:u w:val="single"/>
          <w14:textFill>
            <w14:solidFill>
              <w14:schemeClr w14:val="tx1"/>
            </w14:solidFill>
          </w14:textFill>
        </w:rPr>
        <w:t>t，</w:t>
      </w:r>
      <w:r>
        <w:rPr>
          <w:rFonts w:hint="eastAsia"/>
          <w:color w:val="000000" w:themeColor="text1"/>
          <w:szCs w:val="21"/>
          <w:u w:val="single"/>
          <w:lang w:val="en-US" w:eastAsia="zh-CN"/>
          <w14:textFill>
            <w14:solidFill>
              <w14:schemeClr w14:val="tx1"/>
            </w14:solidFill>
          </w14:textFill>
        </w:rPr>
        <w:t>则硫酸铵最大存量为10000.2t（生产车间中硫酸铵处于流动生产状态，因此在此不考虑其存放量）</w:t>
      </w:r>
      <w:r>
        <w:rPr>
          <w:rFonts w:hint="eastAsia"/>
          <w:color w:val="000000" w:themeColor="text1"/>
          <w:szCs w:val="21"/>
          <w:u w:val="single"/>
          <w:lang w:eastAsia="zh-CN"/>
          <w14:textFill>
            <w14:solidFill>
              <w14:schemeClr w14:val="tx1"/>
            </w14:solidFill>
          </w14:textFill>
        </w:rPr>
        <w:t>；</w:t>
      </w:r>
      <w:r>
        <w:rPr>
          <w:rFonts w:hint="eastAsia"/>
          <w:color w:val="000000" w:themeColor="text1"/>
          <w:szCs w:val="21"/>
          <w:u w:val="single"/>
          <w14:textFill>
            <w14:solidFill>
              <w14:schemeClr w14:val="tx1"/>
            </w14:solidFill>
          </w14:textFill>
        </w:rPr>
        <w:t>废机油约半年委托有资质单位清运处理，产量为1t/a，因此最大存量为0.5t。</w:t>
      </w:r>
    </w:p>
    <w:p w14:paraId="6150603D">
      <w:pPr>
        <w:pStyle w:val="58"/>
        <w:spacing w:line="50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生产工艺特点</w:t>
      </w:r>
    </w:p>
    <w:p w14:paraId="3459F349">
      <w:pPr>
        <w:pStyle w:val="58"/>
        <w:spacing w:line="50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国家安全监管总局关于公布首批重点监管的危险化工工艺目录的通知》（安监总管三〔2009〕116号）中附件1以及《国家安全监管总局关于公布第二批重点监管危险化工工艺目录和调整首批重点监管危险化工工艺中部分典型工艺的通知》（国家安监总管三〔2013〕3号），本项目不涉及重点监管的危险化工工艺。</w:t>
      </w:r>
    </w:p>
    <w:p w14:paraId="32F72ABA">
      <w:pPr>
        <w:pStyle w:val="58"/>
        <w:spacing w:line="500" w:lineRule="exac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危险物质安全技术说明书（MSDS）</w:t>
      </w:r>
    </w:p>
    <w:p w14:paraId="210398DE">
      <w:pPr>
        <w:rPr>
          <w:color w:val="000000" w:themeColor="text1"/>
          <w14:textFill>
            <w14:solidFill>
              <w14:schemeClr w14:val="tx1"/>
            </w14:solidFill>
          </w14:textFill>
        </w:rPr>
      </w:pPr>
    </w:p>
    <w:p w14:paraId="40B14974">
      <w:pPr>
        <w:keepNext/>
        <w:keepLines/>
        <w:tabs>
          <w:tab w:val="left" w:pos="795"/>
        </w:tabs>
        <w:spacing w:line="500" w:lineRule="exact"/>
        <w:ind w:left="794"/>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w:t>
      </w:r>
      <w:r>
        <w:rPr>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3-2</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硫酸铵</w:t>
      </w:r>
      <w:r>
        <w:rPr>
          <w:b/>
          <w:color w:val="000000" w:themeColor="text1"/>
          <w:sz w:val="24"/>
          <w14:textFill>
            <w14:solidFill>
              <w14:schemeClr w14:val="tx1"/>
            </w14:solidFill>
          </w14:textFill>
        </w:rPr>
        <w:t>安全技术说明书</w:t>
      </w:r>
    </w:p>
    <w:tbl>
      <w:tblPr>
        <w:tblStyle w:val="2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3"/>
        <w:gridCol w:w="1559"/>
        <w:gridCol w:w="1147"/>
        <w:gridCol w:w="775"/>
        <w:gridCol w:w="172"/>
        <w:gridCol w:w="2119"/>
        <w:gridCol w:w="184"/>
        <w:gridCol w:w="2087"/>
      </w:tblGrid>
      <w:tr w14:paraId="64413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Merge w:val="restart"/>
            <w:vAlign w:val="center"/>
          </w:tcPr>
          <w:p w14:paraId="4E07E8C5">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标识</w:t>
            </w:r>
          </w:p>
        </w:tc>
        <w:tc>
          <w:tcPr>
            <w:tcW w:w="4494" w:type="pct"/>
            <w:gridSpan w:val="7"/>
            <w:vAlign w:val="center"/>
          </w:tcPr>
          <w:p w14:paraId="0CAD0C16">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中文名：硫酸铵；硫铵</w:t>
            </w:r>
          </w:p>
        </w:tc>
      </w:tr>
      <w:tr w14:paraId="11888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Merge w:val="continue"/>
            <w:vAlign w:val="center"/>
          </w:tcPr>
          <w:p w14:paraId="0BAFF946">
            <w:pPr>
              <w:spacing w:line="320" w:lineRule="exact"/>
              <w:jc w:val="center"/>
              <w:rPr>
                <w:color w:val="000000" w:themeColor="text1"/>
                <w:szCs w:val="21"/>
                <w14:textFill>
                  <w14:solidFill>
                    <w14:schemeClr w14:val="tx1"/>
                  </w14:solidFill>
                </w14:textFill>
              </w:rPr>
            </w:pPr>
          </w:p>
        </w:tc>
        <w:tc>
          <w:tcPr>
            <w:tcW w:w="3328" w:type="pct"/>
            <w:gridSpan w:val="6"/>
            <w:vAlign w:val="center"/>
          </w:tcPr>
          <w:p w14:paraId="3E1A052C">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英文名：</w:t>
            </w:r>
            <w:r>
              <w:rPr>
                <w:color w:val="000000" w:themeColor="text1"/>
                <w:szCs w:val="21"/>
                <w14:textFill>
                  <w14:solidFill>
                    <w14:schemeClr w14:val="tx1"/>
                  </w14:solidFill>
                </w14:textFill>
              </w:rPr>
              <w:t>ammonium</w:t>
            </w:r>
            <w:r>
              <w:rPr>
                <w:rFonts w:hint="eastAsia"/>
                <w:color w:val="000000" w:themeColor="text1"/>
                <w:szCs w:val="21"/>
                <w:lang w:eastAsia="zh-CN"/>
                <w14:textFill>
                  <w14:solidFill>
                    <w14:schemeClr w14:val="tx1"/>
                  </w14:solidFill>
                </w14:textFill>
              </w:rPr>
              <w:t xml:space="preserve"> </w:t>
            </w:r>
            <w:r>
              <w:rPr>
                <w:color w:val="000000" w:themeColor="text1"/>
                <w:szCs w:val="21"/>
                <w14:textFill>
                  <w14:solidFill>
                    <w14:schemeClr w14:val="tx1"/>
                  </w14:solidFill>
                </w14:textFill>
              </w:rPr>
              <w:t>sulfate</w:t>
            </w:r>
          </w:p>
        </w:tc>
        <w:tc>
          <w:tcPr>
            <w:tcW w:w="1165" w:type="pct"/>
            <w:vAlign w:val="center"/>
          </w:tcPr>
          <w:p w14:paraId="1E28D0FD">
            <w:pPr>
              <w:spacing w:line="32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UN </w:t>
            </w:r>
            <w:r>
              <w:rPr>
                <w:rFonts w:hint="eastAsia"/>
                <w:color w:val="000000" w:themeColor="text1"/>
                <w:szCs w:val="21"/>
                <w14:textFill>
                  <w14:solidFill>
                    <w14:schemeClr w14:val="tx1"/>
                  </w14:solidFill>
                </w14:textFill>
              </w:rPr>
              <w:t>编号：</w:t>
            </w:r>
          </w:p>
        </w:tc>
      </w:tr>
      <w:tr w14:paraId="017E7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Merge w:val="continue"/>
            <w:vAlign w:val="center"/>
          </w:tcPr>
          <w:p w14:paraId="34CDF6AB">
            <w:pPr>
              <w:spacing w:line="320" w:lineRule="exact"/>
              <w:jc w:val="center"/>
              <w:rPr>
                <w:color w:val="000000" w:themeColor="text1"/>
                <w:szCs w:val="21"/>
                <w14:textFill>
                  <w14:solidFill>
                    <w14:schemeClr w14:val="tx1"/>
                  </w14:solidFill>
                </w14:textFill>
              </w:rPr>
            </w:pPr>
          </w:p>
        </w:tc>
        <w:tc>
          <w:tcPr>
            <w:tcW w:w="1512" w:type="pct"/>
            <w:gridSpan w:val="2"/>
            <w:vAlign w:val="center"/>
          </w:tcPr>
          <w:p w14:paraId="3FEEA932">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分子式：</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8</w:t>
            </w:r>
            <w:r>
              <w:rPr>
                <w:color w:val="000000" w:themeColor="text1"/>
                <w:szCs w:val="21"/>
                <w14:textFill>
                  <w14:solidFill>
                    <w14:schemeClr w14:val="tx1"/>
                  </w14:solidFill>
                </w14:textFill>
              </w:rPr>
              <w:t>N</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4</w:t>
            </w:r>
            <w:r>
              <w:rPr>
                <w:color w:val="000000" w:themeColor="text1"/>
                <w:szCs w:val="21"/>
                <w14:textFill>
                  <w14:solidFill>
                    <w14:schemeClr w14:val="tx1"/>
                  </w14:solidFill>
                </w14:textFill>
              </w:rPr>
              <w:t>S</w:t>
            </w:r>
          </w:p>
        </w:tc>
        <w:tc>
          <w:tcPr>
            <w:tcW w:w="1815" w:type="pct"/>
            <w:gridSpan w:val="4"/>
            <w:vAlign w:val="center"/>
          </w:tcPr>
          <w:p w14:paraId="13B42DB7">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分子量：</w:t>
            </w:r>
            <w:r>
              <w:rPr>
                <w:color w:val="000000" w:themeColor="text1"/>
                <w:szCs w:val="21"/>
                <w14:textFill>
                  <w14:solidFill>
                    <w14:schemeClr w14:val="tx1"/>
                  </w14:solidFill>
                </w14:textFill>
              </w:rPr>
              <w:t>132.13</w:t>
            </w:r>
          </w:p>
        </w:tc>
        <w:tc>
          <w:tcPr>
            <w:tcW w:w="1165" w:type="pct"/>
            <w:vAlign w:val="center"/>
          </w:tcPr>
          <w:p w14:paraId="4C84CFAF">
            <w:pPr>
              <w:spacing w:line="32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CAS</w:t>
            </w:r>
            <w:r>
              <w:rPr>
                <w:rFonts w:hint="eastAsia"/>
                <w:color w:val="000000" w:themeColor="text1"/>
                <w:szCs w:val="21"/>
                <w14:textFill>
                  <w14:solidFill>
                    <w14:schemeClr w14:val="tx1"/>
                  </w14:solidFill>
                </w14:textFill>
              </w:rPr>
              <w:t>号：</w:t>
            </w:r>
            <w:r>
              <w:rPr>
                <w:color w:val="000000" w:themeColor="text1"/>
                <w:szCs w:val="21"/>
                <w14:textFill>
                  <w14:solidFill>
                    <w14:schemeClr w14:val="tx1"/>
                  </w14:solidFill>
                </w14:textFill>
              </w:rPr>
              <w:t>7783-20-2</w:t>
            </w:r>
          </w:p>
        </w:tc>
      </w:tr>
      <w:tr w14:paraId="5371C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Merge w:val="restart"/>
            <w:vAlign w:val="center"/>
          </w:tcPr>
          <w:p w14:paraId="3CAEBACB">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理化</w:t>
            </w:r>
          </w:p>
          <w:p w14:paraId="28534D21">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性质</w:t>
            </w:r>
          </w:p>
        </w:tc>
        <w:tc>
          <w:tcPr>
            <w:tcW w:w="871" w:type="pct"/>
            <w:vAlign w:val="center"/>
          </w:tcPr>
          <w:p w14:paraId="69B113A4">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外观与性状</w:t>
            </w:r>
          </w:p>
        </w:tc>
        <w:tc>
          <w:tcPr>
            <w:tcW w:w="3622" w:type="pct"/>
            <w:gridSpan w:val="6"/>
            <w:vAlign w:val="center"/>
          </w:tcPr>
          <w:p w14:paraId="4D68E63C">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纯品为无色斜方晶体，工业品为白色至淡黄色结晶体。</w:t>
            </w:r>
          </w:p>
        </w:tc>
      </w:tr>
      <w:tr w14:paraId="36CB6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Merge w:val="continue"/>
            <w:vAlign w:val="center"/>
          </w:tcPr>
          <w:p w14:paraId="408CEB25">
            <w:pPr>
              <w:spacing w:line="320" w:lineRule="exact"/>
              <w:jc w:val="center"/>
              <w:rPr>
                <w:color w:val="000000" w:themeColor="text1"/>
                <w:szCs w:val="21"/>
                <w14:textFill>
                  <w14:solidFill>
                    <w14:schemeClr w14:val="tx1"/>
                  </w14:solidFill>
                </w14:textFill>
              </w:rPr>
            </w:pPr>
          </w:p>
        </w:tc>
        <w:tc>
          <w:tcPr>
            <w:tcW w:w="871" w:type="pct"/>
            <w:vAlign w:val="center"/>
          </w:tcPr>
          <w:p w14:paraId="62D85AFC">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熔点 (℃)</w:t>
            </w:r>
          </w:p>
        </w:tc>
        <w:tc>
          <w:tcPr>
            <w:tcW w:w="1170" w:type="pct"/>
            <w:gridSpan w:val="3"/>
            <w:vAlign w:val="center"/>
          </w:tcPr>
          <w:p w14:paraId="6EEEEBDD">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230~280</w:t>
            </w:r>
          </w:p>
        </w:tc>
        <w:tc>
          <w:tcPr>
            <w:tcW w:w="1286" w:type="pct"/>
            <w:gridSpan w:val="2"/>
            <w:vAlign w:val="center"/>
          </w:tcPr>
          <w:p w14:paraId="75ADF7C8">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相对密度</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水</w:t>
            </w:r>
            <w:r>
              <w:rPr>
                <w:color w:val="000000" w:themeColor="text1"/>
                <w:szCs w:val="21"/>
                <w14:textFill>
                  <w14:solidFill>
                    <w14:schemeClr w14:val="tx1"/>
                  </w14:solidFill>
                </w14:textFill>
              </w:rPr>
              <w:t>=1)</w:t>
            </w:r>
          </w:p>
        </w:tc>
        <w:tc>
          <w:tcPr>
            <w:tcW w:w="1165" w:type="pct"/>
            <w:vAlign w:val="center"/>
          </w:tcPr>
          <w:p w14:paraId="413D5E4C">
            <w:pPr>
              <w:spacing w:line="32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1.7</w:t>
            </w:r>
            <w:r>
              <w:rPr>
                <w:rFonts w:hint="eastAsia"/>
                <w:color w:val="000000" w:themeColor="text1"/>
                <w:szCs w:val="21"/>
                <w14:textFill>
                  <w14:solidFill>
                    <w14:schemeClr w14:val="tx1"/>
                  </w14:solidFill>
                </w14:textFill>
              </w:rPr>
              <w:t>7</w:t>
            </w:r>
          </w:p>
        </w:tc>
      </w:tr>
      <w:tr w14:paraId="323F1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Merge w:val="continue"/>
            <w:vAlign w:val="center"/>
          </w:tcPr>
          <w:p w14:paraId="6130C08F">
            <w:pPr>
              <w:spacing w:line="320" w:lineRule="exact"/>
              <w:jc w:val="center"/>
              <w:rPr>
                <w:color w:val="000000" w:themeColor="text1"/>
                <w:szCs w:val="21"/>
                <w14:textFill>
                  <w14:solidFill>
                    <w14:schemeClr w14:val="tx1"/>
                  </w14:solidFill>
                </w14:textFill>
              </w:rPr>
            </w:pPr>
          </w:p>
        </w:tc>
        <w:tc>
          <w:tcPr>
            <w:tcW w:w="871" w:type="pct"/>
            <w:vAlign w:val="center"/>
          </w:tcPr>
          <w:p w14:paraId="689D2DDA">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沸点 (℃)</w:t>
            </w:r>
          </w:p>
        </w:tc>
        <w:tc>
          <w:tcPr>
            <w:tcW w:w="1170" w:type="pct"/>
            <w:gridSpan w:val="3"/>
            <w:vAlign w:val="center"/>
          </w:tcPr>
          <w:p w14:paraId="23F11ABB">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286" w:type="pct"/>
            <w:gridSpan w:val="2"/>
            <w:vAlign w:val="center"/>
          </w:tcPr>
          <w:p w14:paraId="139B0747">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饱和蒸汽压（</w:t>
            </w:r>
            <w:r>
              <w:rPr>
                <w:color w:val="000000" w:themeColor="text1"/>
                <w:szCs w:val="21"/>
                <w14:textFill>
                  <w14:solidFill>
                    <w14:schemeClr w14:val="tx1"/>
                  </w14:solidFill>
                </w14:textFill>
              </w:rPr>
              <w:t>kPa</w:t>
            </w:r>
            <w:r>
              <w:rPr>
                <w:rFonts w:hint="eastAsia"/>
                <w:color w:val="000000" w:themeColor="text1"/>
                <w:szCs w:val="21"/>
                <w14:textFill>
                  <w14:solidFill>
                    <w14:schemeClr w14:val="tx1"/>
                  </w14:solidFill>
                </w14:textFill>
              </w:rPr>
              <w:t>）</w:t>
            </w:r>
          </w:p>
        </w:tc>
        <w:tc>
          <w:tcPr>
            <w:tcW w:w="1165" w:type="pct"/>
            <w:vAlign w:val="center"/>
          </w:tcPr>
          <w:p w14:paraId="746AC4E1">
            <w:pPr>
              <w:spacing w:line="32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31B1E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Merge w:val="continue"/>
            <w:vAlign w:val="center"/>
          </w:tcPr>
          <w:p w14:paraId="5C0CD094">
            <w:pPr>
              <w:spacing w:line="320" w:lineRule="exact"/>
              <w:jc w:val="center"/>
              <w:rPr>
                <w:color w:val="000000" w:themeColor="text1"/>
                <w:szCs w:val="21"/>
                <w14:textFill>
                  <w14:solidFill>
                    <w14:schemeClr w14:val="tx1"/>
                  </w14:solidFill>
                </w14:textFill>
              </w:rPr>
            </w:pPr>
          </w:p>
        </w:tc>
        <w:tc>
          <w:tcPr>
            <w:tcW w:w="871" w:type="pct"/>
            <w:vAlign w:val="center"/>
          </w:tcPr>
          <w:p w14:paraId="5DAA713E">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溶解性</w:t>
            </w:r>
          </w:p>
        </w:tc>
        <w:tc>
          <w:tcPr>
            <w:tcW w:w="3622" w:type="pct"/>
            <w:gridSpan w:val="6"/>
            <w:vAlign w:val="center"/>
          </w:tcPr>
          <w:p w14:paraId="6AA6350F">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易溶于水</w:t>
            </w:r>
          </w:p>
        </w:tc>
      </w:tr>
      <w:tr w14:paraId="538B0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Merge w:val="restart"/>
            <w:vAlign w:val="center"/>
          </w:tcPr>
          <w:p w14:paraId="20D8476F">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毒性及健康危害</w:t>
            </w:r>
          </w:p>
        </w:tc>
        <w:tc>
          <w:tcPr>
            <w:tcW w:w="871" w:type="pct"/>
            <w:vAlign w:val="center"/>
          </w:tcPr>
          <w:p w14:paraId="28BA7662">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侵入途径</w:t>
            </w:r>
          </w:p>
        </w:tc>
        <w:tc>
          <w:tcPr>
            <w:tcW w:w="3622" w:type="pct"/>
            <w:gridSpan w:val="6"/>
            <w:vAlign w:val="center"/>
          </w:tcPr>
          <w:p w14:paraId="2168C3E1">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吸入、食入、经皮吸收</w:t>
            </w:r>
          </w:p>
        </w:tc>
      </w:tr>
      <w:tr w14:paraId="42C1F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Merge w:val="continue"/>
            <w:vAlign w:val="center"/>
          </w:tcPr>
          <w:p w14:paraId="43D6D2F1">
            <w:pPr>
              <w:spacing w:line="320" w:lineRule="exact"/>
              <w:jc w:val="center"/>
              <w:rPr>
                <w:color w:val="000000" w:themeColor="text1"/>
                <w:szCs w:val="21"/>
                <w14:textFill>
                  <w14:solidFill>
                    <w14:schemeClr w14:val="tx1"/>
                  </w14:solidFill>
                </w14:textFill>
              </w:rPr>
            </w:pPr>
          </w:p>
        </w:tc>
        <w:tc>
          <w:tcPr>
            <w:tcW w:w="871" w:type="pct"/>
            <w:vAlign w:val="center"/>
          </w:tcPr>
          <w:p w14:paraId="70E78184">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w:t>
            </w:r>
          </w:p>
        </w:tc>
        <w:tc>
          <w:tcPr>
            <w:tcW w:w="3622" w:type="pct"/>
            <w:gridSpan w:val="6"/>
            <w:vAlign w:val="center"/>
          </w:tcPr>
          <w:p w14:paraId="1A2ABC1A">
            <w:pPr>
              <w:spacing w:line="32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LD</w:t>
            </w:r>
            <w:r>
              <w:rPr>
                <w:color w:val="000000" w:themeColor="text1"/>
                <w:szCs w:val="21"/>
                <w:vertAlign w:val="subscript"/>
                <w14:textFill>
                  <w14:solidFill>
                    <w14:schemeClr w14:val="tx1"/>
                  </w14:solidFill>
                </w14:textFill>
              </w:rPr>
              <w:t>50</w:t>
            </w:r>
            <w:r>
              <w:rPr>
                <w:rFonts w:hint="eastAsia"/>
                <w:color w:val="000000" w:themeColor="text1"/>
                <w:szCs w:val="21"/>
                <w:vertAlign w:val="subscript"/>
                <w14:textFill>
                  <w14:solidFill>
                    <w14:schemeClr w14:val="tx1"/>
                  </w14:solidFill>
                </w14:textFill>
              </w:rPr>
              <w:t>:</w:t>
            </w:r>
            <w:r>
              <w:rPr>
                <w:rFonts w:hint="eastAsia"/>
                <w:color w:val="000000" w:themeColor="text1"/>
                <w:szCs w:val="21"/>
                <w14:textFill>
                  <w14:solidFill>
                    <w14:schemeClr w14:val="tx1"/>
                  </w14:solidFill>
                </w14:textFill>
              </w:rPr>
              <w:t>3000mg/kg</w:t>
            </w:r>
          </w:p>
        </w:tc>
      </w:tr>
      <w:tr w14:paraId="6900B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Merge w:val="continue"/>
            <w:vAlign w:val="center"/>
          </w:tcPr>
          <w:p w14:paraId="17A35C65">
            <w:pPr>
              <w:spacing w:line="320" w:lineRule="exact"/>
              <w:jc w:val="center"/>
              <w:rPr>
                <w:color w:val="000000" w:themeColor="text1"/>
                <w:szCs w:val="21"/>
                <w14:textFill>
                  <w14:solidFill>
                    <w14:schemeClr w14:val="tx1"/>
                  </w14:solidFill>
                </w14:textFill>
              </w:rPr>
            </w:pPr>
          </w:p>
        </w:tc>
        <w:tc>
          <w:tcPr>
            <w:tcW w:w="871" w:type="pct"/>
            <w:vAlign w:val="center"/>
          </w:tcPr>
          <w:p w14:paraId="7A3E53D9">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健康危害</w:t>
            </w:r>
          </w:p>
        </w:tc>
        <w:tc>
          <w:tcPr>
            <w:tcW w:w="3622" w:type="pct"/>
            <w:gridSpan w:val="6"/>
            <w:vAlign w:val="center"/>
          </w:tcPr>
          <w:p w14:paraId="57F765D9">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对皮肤黏膜有刺激性和腐蚀性。吸入后引起鼻炎、喉炎、气短和咳嗽等。眼、皮肤接触可引起强烈刺激、疼痛甚至灼伤。口服引起腹痛、恶心和呕吐。长期皮肤接触可引起变应性皮炎。</w:t>
            </w:r>
          </w:p>
        </w:tc>
      </w:tr>
      <w:tr w14:paraId="377EC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Merge w:val="restart"/>
            <w:vAlign w:val="center"/>
          </w:tcPr>
          <w:p w14:paraId="25FFC214">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燃烧爆炸危险性</w:t>
            </w:r>
          </w:p>
        </w:tc>
        <w:tc>
          <w:tcPr>
            <w:tcW w:w="871" w:type="pct"/>
            <w:vAlign w:val="center"/>
          </w:tcPr>
          <w:p w14:paraId="64DDC570">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燃烧性</w:t>
            </w:r>
          </w:p>
        </w:tc>
        <w:tc>
          <w:tcPr>
            <w:tcW w:w="1074" w:type="pct"/>
            <w:gridSpan w:val="2"/>
            <w:vAlign w:val="center"/>
          </w:tcPr>
          <w:p w14:paraId="45105778">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不易燃</w:t>
            </w:r>
          </w:p>
        </w:tc>
        <w:tc>
          <w:tcPr>
            <w:tcW w:w="1280" w:type="pct"/>
            <w:gridSpan w:val="2"/>
            <w:vAlign w:val="center"/>
          </w:tcPr>
          <w:p w14:paraId="066B5484">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燃烧分解物</w:t>
            </w:r>
          </w:p>
        </w:tc>
        <w:tc>
          <w:tcPr>
            <w:tcW w:w="1267" w:type="pct"/>
            <w:gridSpan w:val="2"/>
            <w:vAlign w:val="center"/>
          </w:tcPr>
          <w:p w14:paraId="496931EC">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氮氧化物、硫化物</w:t>
            </w:r>
          </w:p>
        </w:tc>
      </w:tr>
      <w:tr w14:paraId="7223E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Merge w:val="continue"/>
            <w:vAlign w:val="center"/>
          </w:tcPr>
          <w:p w14:paraId="6FB064C4">
            <w:pPr>
              <w:spacing w:line="320" w:lineRule="exact"/>
              <w:jc w:val="center"/>
              <w:rPr>
                <w:color w:val="000000" w:themeColor="text1"/>
                <w:szCs w:val="21"/>
                <w14:textFill>
                  <w14:solidFill>
                    <w14:schemeClr w14:val="tx1"/>
                  </w14:solidFill>
                </w14:textFill>
              </w:rPr>
            </w:pPr>
          </w:p>
        </w:tc>
        <w:tc>
          <w:tcPr>
            <w:tcW w:w="871" w:type="pct"/>
            <w:vAlign w:val="center"/>
          </w:tcPr>
          <w:p w14:paraId="74A921FE">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闪点</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p>
        </w:tc>
        <w:tc>
          <w:tcPr>
            <w:tcW w:w="1074" w:type="pct"/>
            <w:gridSpan w:val="2"/>
            <w:vAlign w:val="center"/>
          </w:tcPr>
          <w:p w14:paraId="4FBE8BE9">
            <w:pPr>
              <w:spacing w:line="32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280" w:type="pct"/>
            <w:gridSpan w:val="2"/>
            <w:vAlign w:val="center"/>
          </w:tcPr>
          <w:p w14:paraId="41073109">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爆炸</w:t>
            </w:r>
            <w:r>
              <w:rPr>
                <w:rFonts w:hint="eastAsia"/>
                <w:color w:val="000000" w:themeColor="text1"/>
                <w:szCs w:val="21"/>
                <w:lang w:eastAsia="zh-CN"/>
                <w14:textFill>
                  <w14:solidFill>
                    <w14:schemeClr w14:val="tx1"/>
                  </w14:solidFill>
                </w14:textFill>
              </w:rPr>
              <w:t>上限</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v%</w:t>
            </w:r>
            <w:r>
              <w:rPr>
                <w:rFonts w:hint="eastAsia"/>
                <w:color w:val="000000" w:themeColor="text1"/>
                <w:szCs w:val="21"/>
                <w14:textFill>
                  <w14:solidFill>
                    <w14:schemeClr w14:val="tx1"/>
                  </w14:solidFill>
                </w14:textFill>
              </w:rPr>
              <w:t>）：</w:t>
            </w:r>
          </w:p>
        </w:tc>
        <w:tc>
          <w:tcPr>
            <w:tcW w:w="1267" w:type="pct"/>
            <w:gridSpan w:val="2"/>
            <w:vAlign w:val="center"/>
          </w:tcPr>
          <w:p w14:paraId="71FA52A1">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w:t>
            </w:r>
          </w:p>
        </w:tc>
      </w:tr>
      <w:tr w14:paraId="54DC2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Merge w:val="continue"/>
            <w:vAlign w:val="center"/>
          </w:tcPr>
          <w:p w14:paraId="55747D7C">
            <w:pPr>
              <w:spacing w:line="320" w:lineRule="exact"/>
              <w:jc w:val="center"/>
              <w:rPr>
                <w:color w:val="000000" w:themeColor="text1"/>
                <w:szCs w:val="21"/>
                <w14:textFill>
                  <w14:solidFill>
                    <w14:schemeClr w14:val="tx1"/>
                  </w14:solidFill>
                </w14:textFill>
              </w:rPr>
            </w:pPr>
          </w:p>
        </w:tc>
        <w:tc>
          <w:tcPr>
            <w:tcW w:w="871" w:type="pct"/>
            <w:vAlign w:val="center"/>
          </w:tcPr>
          <w:p w14:paraId="676C4C26">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自燃温度</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p>
        </w:tc>
        <w:tc>
          <w:tcPr>
            <w:tcW w:w="1074" w:type="pct"/>
            <w:gridSpan w:val="2"/>
            <w:vAlign w:val="center"/>
          </w:tcPr>
          <w:p w14:paraId="50F96C6D">
            <w:pPr>
              <w:spacing w:line="32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280" w:type="pct"/>
            <w:gridSpan w:val="2"/>
            <w:vAlign w:val="center"/>
          </w:tcPr>
          <w:p w14:paraId="08C7D80D">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爆炸</w:t>
            </w:r>
            <w:r>
              <w:rPr>
                <w:rFonts w:hint="eastAsia"/>
                <w:color w:val="000000" w:themeColor="text1"/>
                <w:szCs w:val="21"/>
                <w:lang w:eastAsia="zh-CN"/>
                <w14:textFill>
                  <w14:solidFill>
                    <w14:schemeClr w14:val="tx1"/>
                  </w14:solidFill>
                </w14:textFill>
              </w:rPr>
              <w:t>下限</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v%</w:t>
            </w:r>
            <w:r>
              <w:rPr>
                <w:rFonts w:hint="eastAsia"/>
                <w:color w:val="000000" w:themeColor="text1"/>
                <w:szCs w:val="21"/>
                <w14:textFill>
                  <w14:solidFill>
                    <w14:schemeClr w14:val="tx1"/>
                  </w14:solidFill>
                </w14:textFill>
              </w:rPr>
              <w:t>）：</w:t>
            </w:r>
          </w:p>
        </w:tc>
        <w:tc>
          <w:tcPr>
            <w:tcW w:w="1267" w:type="pct"/>
            <w:gridSpan w:val="2"/>
            <w:vAlign w:val="center"/>
          </w:tcPr>
          <w:p w14:paraId="13C252BF">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r>
      <w:tr w14:paraId="56B94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Merge w:val="continue"/>
            <w:vAlign w:val="center"/>
          </w:tcPr>
          <w:p w14:paraId="222CEDE6">
            <w:pPr>
              <w:spacing w:line="320" w:lineRule="exact"/>
              <w:jc w:val="center"/>
              <w:rPr>
                <w:color w:val="000000" w:themeColor="text1"/>
                <w:szCs w:val="21"/>
                <w14:textFill>
                  <w14:solidFill>
                    <w14:schemeClr w14:val="tx1"/>
                  </w14:solidFill>
                </w14:textFill>
              </w:rPr>
            </w:pPr>
          </w:p>
        </w:tc>
        <w:tc>
          <w:tcPr>
            <w:tcW w:w="871" w:type="pct"/>
            <w:vAlign w:val="center"/>
          </w:tcPr>
          <w:p w14:paraId="68AF6008">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危险特性</w:t>
            </w:r>
          </w:p>
        </w:tc>
        <w:tc>
          <w:tcPr>
            <w:tcW w:w="3622" w:type="pct"/>
            <w:gridSpan w:val="6"/>
            <w:vAlign w:val="center"/>
          </w:tcPr>
          <w:p w14:paraId="504AE32E">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本品不易燃，具刺激性，受热分解产生有毒的烟气。</w:t>
            </w:r>
          </w:p>
        </w:tc>
      </w:tr>
      <w:tr w14:paraId="0EDE9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Merge w:val="continue"/>
            <w:vAlign w:val="center"/>
          </w:tcPr>
          <w:p w14:paraId="132D29D8">
            <w:pPr>
              <w:spacing w:line="320" w:lineRule="exact"/>
              <w:jc w:val="center"/>
              <w:rPr>
                <w:color w:val="000000" w:themeColor="text1"/>
                <w:szCs w:val="21"/>
                <w14:textFill>
                  <w14:solidFill>
                    <w14:schemeClr w14:val="tx1"/>
                  </w14:solidFill>
                </w14:textFill>
              </w:rPr>
            </w:pPr>
          </w:p>
        </w:tc>
        <w:tc>
          <w:tcPr>
            <w:tcW w:w="871" w:type="pct"/>
            <w:vAlign w:val="center"/>
          </w:tcPr>
          <w:p w14:paraId="5519CDD8">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稳定性</w:t>
            </w:r>
          </w:p>
        </w:tc>
        <w:tc>
          <w:tcPr>
            <w:tcW w:w="1074" w:type="pct"/>
            <w:gridSpan w:val="2"/>
            <w:vAlign w:val="center"/>
          </w:tcPr>
          <w:p w14:paraId="1957E624">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稳定</w:t>
            </w:r>
          </w:p>
        </w:tc>
        <w:tc>
          <w:tcPr>
            <w:tcW w:w="1280" w:type="pct"/>
            <w:gridSpan w:val="2"/>
            <w:vAlign w:val="center"/>
          </w:tcPr>
          <w:p w14:paraId="62B6545F">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聚合危害</w:t>
            </w:r>
          </w:p>
        </w:tc>
        <w:tc>
          <w:tcPr>
            <w:tcW w:w="1267" w:type="pct"/>
            <w:gridSpan w:val="2"/>
            <w:vAlign w:val="center"/>
          </w:tcPr>
          <w:p w14:paraId="4DE9BE01">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不聚合</w:t>
            </w:r>
          </w:p>
        </w:tc>
      </w:tr>
      <w:tr w14:paraId="32504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Merge w:val="continue"/>
            <w:vAlign w:val="center"/>
          </w:tcPr>
          <w:p w14:paraId="1F2B40B4">
            <w:pPr>
              <w:spacing w:line="320" w:lineRule="exact"/>
              <w:jc w:val="center"/>
              <w:rPr>
                <w:color w:val="000000" w:themeColor="text1"/>
                <w:szCs w:val="21"/>
                <w14:textFill>
                  <w14:solidFill>
                    <w14:schemeClr w14:val="tx1"/>
                  </w14:solidFill>
                </w14:textFill>
              </w:rPr>
            </w:pPr>
          </w:p>
        </w:tc>
        <w:tc>
          <w:tcPr>
            <w:tcW w:w="871" w:type="pct"/>
            <w:vAlign w:val="center"/>
          </w:tcPr>
          <w:p w14:paraId="368721C3">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灭火方法</w:t>
            </w:r>
          </w:p>
        </w:tc>
        <w:tc>
          <w:tcPr>
            <w:tcW w:w="3622" w:type="pct"/>
            <w:gridSpan w:val="6"/>
            <w:vAlign w:val="center"/>
          </w:tcPr>
          <w:p w14:paraId="60A84DC9">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采用雾状水、泡沫、砂土灭火。</w:t>
            </w:r>
          </w:p>
        </w:tc>
      </w:tr>
      <w:tr w14:paraId="0E10E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Align w:val="center"/>
          </w:tcPr>
          <w:p w14:paraId="3120D96A">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急救</w:t>
            </w:r>
          </w:p>
          <w:p w14:paraId="278C9483">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措施</w:t>
            </w:r>
          </w:p>
        </w:tc>
        <w:tc>
          <w:tcPr>
            <w:tcW w:w="4494" w:type="pct"/>
            <w:gridSpan w:val="7"/>
            <w:vAlign w:val="center"/>
          </w:tcPr>
          <w:p w14:paraId="1C3B079F">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皮肤接触：脱去污染的衣着，用大量流动清水冲洗。</w:t>
            </w:r>
          </w:p>
          <w:p w14:paraId="3AA4310F">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眼睛接触：提起眼睑，用流动清水或生理盐水冲洗。就医。</w:t>
            </w:r>
          </w:p>
          <w:p w14:paraId="6EB7E24D">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吸入：脱离现场至空气新鲜处。如呼吸困难，给输氧、就医。</w:t>
            </w:r>
          </w:p>
          <w:p w14:paraId="7BAB6DDD">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食入：饮足量温水，催吐。就医。</w:t>
            </w:r>
          </w:p>
        </w:tc>
      </w:tr>
      <w:tr w14:paraId="451DF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Align w:val="center"/>
          </w:tcPr>
          <w:p w14:paraId="36582D7C">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泄漏</w:t>
            </w:r>
          </w:p>
          <w:p w14:paraId="0D9950E5">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处置</w:t>
            </w:r>
          </w:p>
        </w:tc>
        <w:tc>
          <w:tcPr>
            <w:tcW w:w="4494" w:type="pct"/>
            <w:gridSpan w:val="7"/>
            <w:vAlign w:val="center"/>
          </w:tcPr>
          <w:p w14:paraId="2A307711">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隔离泄漏污染区，限制出入。建议应急处理人员戴防尘面具</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全面式</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，穿防毒服。用洁净的铲子收集于干燥、洁净、有盖的容器中，转移至安全场所。若大量泄漏，收集回收或运至废物处理场所处置。</w:t>
            </w:r>
          </w:p>
        </w:tc>
      </w:tr>
      <w:tr w14:paraId="50301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Align w:val="center"/>
          </w:tcPr>
          <w:p w14:paraId="1E03815C">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储运</w:t>
            </w:r>
            <w:r>
              <w:rPr>
                <w:rFonts w:hint="eastAsia"/>
                <w:color w:val="000000" w:themeColor="text1"/>
                <w:szCs w:val="21"/>
                <w:lang w:eastAsia="zh-CN"/>
                <w14:textFill>
                  <w14:solidFill>
                    <w14:schemeClr w14:val="tx1"/>
                  </w14:solidFill>
                </w14:textFill>
              </w:rPr>
              <w:t>注意事项</w:t>
            </w:r>
          </w:p>
        </w:tc>
        <w:tc>
          <w:tcPr>
            <w:tcW w:w="4494" w:type="pct"/>
            <w:gridSpan w:val="7"/>
            <w:vAlign w:val="center"/>
          </w:tcPr>
          <w:p w14:paraId="040C5279">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起运时包装要完整，装载应稳妥。运输过程中要确保容器不泄漏、不倒塌、不坠落、不损坏。严禁与酸类、碱类、食用化学品等混装混运。运输途中应防暴晒、雨淋，防高温。车辆运输完毕应进行彻底清扫。</w:t>
            </w:r>
          </w:p>
        </w:tc>
      </w:tr>
    </w:tbl>
    <w:p w14:paraId="1EE9CCD4">
      <w:pPr>
        <w:keepNext/>
        <w:keepLines/>
        <w:tabs>
          <w:tab w:val="left" w:pos="795"/>
        </w:tabs>
        <w:adjustRightInd w:val="0"/>
        <w:snapToGrid w:val="0"/>
        <w:ind w:left="794"/>
        <w:jc w:val="center"/>
        <w:rPr>
          <w:b/>
          <w:color w:val="000000" w:themeColor="text1"/>
          <w:sz w:val="24"/>
          <w14:textFill>
            <w14:solidFill>
              <w14:schemeClr w14:val="tx1"/>
            </w14:solidFill>
          </w14:textFill>
        </w:rPr>
      </w:pPr>
    </w:p>
    <w:p w14:paraId="70082013">
      <w:pPr>
        <w:pageBreakBefore w:val="0"/>
        <w:widowControl w:val="0"/>
        <w:kinsoku/>
        <w:wordWrap/>
        <w:overflowPunct/>
        <w:topLinePunct w:val="0"/>
        <w:autoSpaceDE/>
        <w:autoSpaceDN/>
        <w:bidi w:val="0"/>
        <w:textAlignment w:val="auto"/>
        <w:outlineLvl w:val="9"/>
        <w:rPr>
          <w:color w:val="000000" w:themeColor="text1"/>
          <w14:textFill>
            <w14:solidFill>
              <w14:schemeClr w14:val="tx1"/>
            </w14:solidFill>
          </w14:textFill>
        </w:rPr>
      </w:pPr>
    </w:p>
    <w:p w14:paraId="7730B7F7">
      <w:pPr>
        <w:keepNext/>
        <w:keepLines/>
        <w:pageBreakBefore w:val="0"/>
        <w:widowControl w:val="0"/>
        <w:tabs>
          <w:tab w:val="left" w:pos="795"/>
        </w:tabs>
        <w:kinsoku/>
        <w:wordWrap/>
        <w:overflowPunct/>
        <w:topLinePunct w:val="0"/>
        <w:autoSpaceDE/>
        <w:autoSpaceDN/>
        <w:bidi w:val="0"/>
        <w:adjustRightInd w:val="0"/>
        <w:snapToGrid w:val="0"/>
        <w:jc w:val="center"/>
        <w:textAlignment w:val="auto"/>
        <w:outlineLvl w:val="9"/>
        <w:rPr>
          <w:b/>
          <w:color w:val="000000" w:themeColor="text1"/>
          <w:sz w:val="24"/>
          <w14:textFill>
            <w14:solidFill>
              <w14:schemeClr w14:val="tx1"/>
            </w14:solidFill>
          </w14:textFill>
        </w:rPr>
      </w:pPr>
    </w:p>
    <w:p w14:paraId="150F6EC1">
      <w:pPr>
        <w:pageBreakBefore w:val="0"/>
        <w:widowControl w:val="0"/>
        <w:kinsoku/>
        <w:wordWrap/>
        <w:overflowPunct/>
        <w:topLinePunct w:val="0"/>
        <w:autoSpaceDE/>
        <w:autoSpaceDN/>
        <w:bidi w:val="0"/>
        <w:textAlignment w:val="auto"/>
        <w:outlineLvl w:val="9"/>
        <w:rPr>
          <w:color w:val="000000" w:themeColor="text1"/>
          <w14:textFill>
            <w14:solidFill>
              <w14:schemeClr w14:val="tx1"/>
            </w14:solidFill>
          </w14:textFill>
        </w:rPr>
      </w:pPr>
    </w:p>
    <w:p w14:paraId="70F7BCFB">
      <w:pPr>
        <w:keepNext/>
        <w:keepLines/>
        <w:pageBreakBefore w:val="0"/>
        <w:widowControl w:val="0"/>
        <w:tabs>
          <w:tab w:val="left" w:pos="795"/>
        </w:tabs>
        <w:kinsoku/>
        <w:wordWrap/>
        <w:overflowPunct/>
        <w:topLinePunct w:val="0"/>
        <w:autoSpaceDE/>
        <w:autoSpaceDN/>
        <w:bidi w:val="0"/>
        <w:adjustRightInd w:val="0"/>
        <w:snapToGrid w:val="0"/>
        <w:jc w:val="center"/>
        <w:textAlignment w:val="auto"/>
        <w:outlineLvl w:val="9"/>
        <w:rPr>
          <w:b/>
          <w:color w:val="000000" w:themeColor="text1"/>
          <w:sz w:val="24"/>
          <w14:textFill>
            <w14:solidFill>
              <w14:schemeClr w14:val="tx1"/>
            </w14:solidFill>
          </w14:textFill>
        </w:rPr>
      </w:pPr>
    </w:p>
    <w:p w14:paraId="5D8D77DC">
      <w:pPr>
        <w:pageBreakBefore w:val="0"/>
        <w:widowControl w:val="0"/>
        <w:kinsoku/>
        <w:wordWrap/>
        <w:overflowPunct/>
        <w:topLinePunct w:val="0"/>
        <w:autoSpaceDE/>
        <w:autoSpaceDN/>
        <w:bidi w:val="0"/>
        <w:textAlignment w:val="auto"/>
        <w:outlineLvl w:val="9"/>
        <w:rPr>
          <w:color w:val="000000" w:themeColor="text1"/>
          <w14:textFill>
            <w14:solidFill>
              <w14:schemeClr w14:val="tx1"/>
            </w14:solidFill>
          </w14:textFill>
        </w:rPr>
      </w:pPr>
    </w:p>
    <w:p w14:paraId="5553569D">
      <w:pPr>
        <w:pageBreakBefore w:val="0"/>
        <w:widowControl w:val="0"/>
        <w:kinsoku/>
        <w:wordWrap/>
        <w:overflowPunct/>
        <w:topLinePunct w:val="0"/>
        <w:autoSpaceDE/>
        <w:autoSpaceDN/>
        <w:bidi w:val="0"/>
        <w:spacing w:line="240" w:lineRule="auto"/>
        <w:textAlignment w:val="auto"/>
        <w:outlineLvl w:val="9"/>
        <w:rPr>
          <w:color w:val="000000" w:themeColor="text1"/>
          <w:sz w:val="24"/>
          <w14:textFill>
            <w14:solidFill>
              <w14:schemeClr w14:val="tx1"/>
            </w14:solidFill>
          </w14:textFill>
        </w:rPr>
      </w:pPr>
    </w:p>
    <w:p w14:paraId="18BC9336">
      <w:pPr>
        <w:pageBreakBefore w:val="0"/>
        <w:widowControl w:val="0"/>
        <w:kinsoku/>
        <w:wordWrap/>
        <w:overflowPunct/>
        <w:topLinePunct w:val="0"/>
        <w:autoSpaceDE/>
        <w:autoSpaceDN/>
        <w:bidi w:val="0"/>
        <w:textAlignment w:val="auto"/>
        <w:outlineLvl w:val="9"/>
        <w:rPr>
          <w:color w:val="000000" w:themeColor="text1"/>
          <w14:textFill>
            <w14:solidFill>
              <w14:schemeClr w14:val="tx1"/>
            </w14:solidFill>
          </w14:textFill>
        </w:rPr>
      </w:pPr>
    </w:p>
    <w:p w14:paraId="483C5876">
      <w:pPr>
        <w:pageBreakBefore w:val="0"/>
        <w:widowControl w:val="0"/>
        <w:kinsoku/>
        <w:wordWrap/>
        <w:overflowPunct/>
        <w:topLinePunct w:val="0"/>
        <w:autoSpaceDE/>
        <w:autoSpaceDN/>
        <w:bidi w:val="0"/>
        <w:textAlignment w:val="auto"/>
        <w:outlineLvl w:val="9"/>
        <w:rPr>
          <w:color w:val="000000" w:themeColor="text1"/>
          <w14:textFill>
            <w14:solidFill>
              <w14:schemeClr w14:val="tx1"/>
            </w14:solidFill>
          </w14:textFill>
        </w:rPr>
      </w:pPr>
    </w:p>
    <w:p w14:paraId="71628CC8">
      <w:pPr>
        <w:pageBreakBefore w:val="0"/>
        <w:widowControl w:val="0"/>
        <w:kinsoku/>
        <w:wordWrap/>
        <w:overflowPunct/>
        <w:topLinePunct w:val="0"/>
        <w:autoSpaceDE/>
        <w:autoSpaceDN/>
        <w:bidi w:val="0"/>
        <w:adjustRightInd w:val="0"/>
        <w:snapToGrid w:val="0"/>
        <w:textAlignment w:val="auto"/>
        <w:outlineLvl w:val="9"/>
        <w:rPr>
          <w:color w:val="000000" w:themeColor="text1"/>
          <w14:textFill>
            <w14:solidFill>
              <w14:schemeClr w14:val="tx1"/>
            </w14:solidFill>
          </w14:textFill>
        </w:rPr>
      </w:pPr>
    </w:p>
    <w:p w14:paraId="26BF35C5">
      <w:pPr>
        <w:pageBreakBefore w:val="0"/>
        <w:widowControl w:val="0"/>
        <w:kinsoku/>
        <w:wordWrap/>
        <w:overflowPunct/>
        <w:topLinePunct w:val="0"/>
        <w:autoSpaceDE/>
        <w:autoSpaceDN/>
        <w:bidi w:val="0"/>
        <w:textAlignment w:val="auto"/>
        <w:outlineLvl w:val="9"/>
        <w:rPr>
          <w:color w:val="000000" w:themeColor="text1"/>
          <w14:textFill>
            <w14:solidFill>
              <w14:schemeClr w14:val="tx1"/>
            </w14:solidFill>
          </w14:textFill>
        </w:rPr>
      </w:pPr>
    </w:p>
    <w:p w14:paraId="5C53AF36">
      <w:pPr>
        <w:keepNext/>
        <w:keepLines/>
        <w:pageBreakBefore w:val="0"/>
        <w:widowControl w:val="0"/>
        <w:tabs>
          <w:tab w:val="left" w:pos="795"/>
        </w:tabs>
        <w:kinsoku/>
        <w:wordWrap/>
        <w:overflowPunct/>
        <w:topLinePunct w:val="0"/>
        <w:autoSpaceDE/>
        <w:autoSpaceDN/>
        <w:bidi w:val="0"/>
        <w:adjustRightInd w:val="0"/>
        <w:snapToGrid w:val="0"/>
        <w:spacing w:line="500" w:lineRule="exact"/>
        <w:ind w:left="0"/>
        <w:jc w:val="center"/>
        <w:textAlignment w:val="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w:t>
      </w:r>
      <w:r>
        <w:rPr>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3-3</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废机油</w:t>
      </w:r>
      <w:r>
        <w:rPr>
          <w:b/>
          <w:color w:val="000000" w:themeColor="text1"/>
          <w:sz w:val="24"/>
          <w14:textFill>
            <w14:solidFill>
              <w14:schemeClr w14:val="tx1"/>
            </w14:solidFill>
          </w14:textFill>
        </w:rPr>
        <w:t>安全技术说明书</w:t>
      </w:r>
    </w:p>
    <w:tbl>
      <w:tblPr>
        <w:tblStyle w:val="2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8"/>
        <w:gridCol w:w="1732"/>
        <w:gridCol w:w="1267"/>
        <w:gridCol w:w="689"/>
        <w:gridCol w:w="154"/>
        <w:gridCol w:w="755"/>
        <w:gridCol w:w="1323"/>
        <w:gridCol w:w="52"/>
        <w:gridCol w:w="1986"/>
      </w:tblGrid>
      <w:tr w14:paraId="78654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2" w:type="pct"/>
            <w:vMerge w:val="restart"/>
            <w:vAlign w:val="center"/>
          </w:tcPr>
          <w:p w14:paraId="0B9A7B42">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标识</w:t>
            </w:r>
          </w:p>
        </w:tc>
        <w:tc>
          <w:tcPr>
            <w:tcW w:w="4447" w:type="pct"/>
            <w:gridSpan w:val="8"/>
            <w:vAlign w:val="center"/>
          </w:tcPr>
          <w:p w14:paraId="510557E9">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中文名：润滑油；机油</w:t>
            </w:r>
          </w:p>
        </w:tc>
      </w:tr>
      <w:tr w14:paraId="17CED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2" w:type="pct"/>
            <w:vMerge w:val="continue"/>
            <w:vAlign w:val="center"/>
          </w:tcPr>
          <w:p w14:paraId="0C55A12F">
            <w:pPr>
              <w:spacing w:line="320" w:lineRule="exact"/>
              <w:jc w:val="center"/>
              <w:rPr>
                <w:color w:val="000000" w:themeColor="text1"/>
                <w:szCs w:val="21"/>
                <w14:textFill>
                  <w14:solidFill>
                    <w14:schemeClr w14:val="tx1"/>
                  </w14:solidFill>
                </w14:textFill>
              </w:rPr>
            </w:pPr>
          </w:p>
        </w:tc>
        <w:tc>
          <w:tcPr>
            <w:tcW w:w="2569" w:type="pct"/>
            <w:gridSpan w:val="5"/>
            <w:vAlign w:val="center"/>
          </w:tcPr>
          <w:p w14:paraId="0108DCB1">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英文名：lubricating oil，Engine Oil</w:t>
            </w:r>
          </w:p>
        </w:tc>
        <w:tc>
          <w:tcPr>
            <w:tcW w:w="1878" w:type="pct"/>
            <w:gridSpan w:val="3"/>
            <w:vAlign w:val="center"/>
          </w:tcPr>
          <w:p w14:paraId="079919EC">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危险品运输编号：UN1956 2.2</w:t>
            </w:r>
          </w:p>
        </w:tc>
      </w:tr>
      <w:tr w14:paraId="7D08E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2" w:type="pct"/>
            <w:vMerge w:val="continue"/>
            <w:vAlign w:val="center"/>
          </w:tcPr>
          <w:p w14:paraId="7ECE5E92">
            <w:pPr>
              <w:spacing w:line="320" w:lineRule="exact"/>
              <w:jc w:val="center"/>
              <w:rPr>
                <w:color w:val="000000" w:themeColor="text1"/>
                <w:szCs w:val="21"/>
                <w14:textFill>
                  <w14:solidFill>
                    <w14:schemeClr w14:val="tx1"/>
                  </w14:solidFill>
                </w14:textFill>
              </w:rPr>
            </w:pPr>
          </w:p>
        </w:tc>
        <w:tc>
          <w:tcPr>
            <w:tcW w:w="1676" w:type="pct"/>
            <w:gridSpan w:val="2"/>
            <w:vAlign w:val="center"/>
          </w:tcPr>
          <w:p w14:paraId="47499DAF">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分子式：</w:t>
            </w:r>
          </w:p>
        </w:tc>
        <w:tc>
          <w:tcPr>
            <w:tcW w:w="1661" w:type="pct"/>
            <w:gridSpan w:val="5"/>
            <w:vAlign w:val="center"/>
          </w:tcPr>
          <w:p w14:paraId="1DA80F51">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分子量：</w:t>
            </w:r>
          </w:p>
        </w:tc>
        <w:tc>
          <w:tcPr>
            <w:tcW w:w="1109" w:type="pct"/>
            <w:vAlign w:val="center"/>
          </w:tcPr>
          <w:p w14:paraId="65338330">
            <w:pPr>
              <w:spacing w:line="32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CAS</w:t>
            </w:r>
            <w:r>
              <w:rPr>
                <w:rFonts w:hint="eastAsia"/>
                <w:color w:val="000000" w:themeColor="text1"/>
                <w:szCs w:val="21"/>
                <w14:textFill>
                  <w14:solidFill>
                    <w14:schemeClr w14:val="tx1"/>
                  </w14:solidFill>
                </w14:textFill>
              </w:rPr>
              <w:t>号：8020-83-5</w:t>
            </w:r>
          </w:p>
        </w:tc>
      </w:tr>
      <w:tr w14:paraId="5164D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2" w:type="pct"/>
            <w:vMerge w:val="restart"/>
            <w:vAlign w:val="center"/>
          </w:tcPr>
          <w:p w14:paraId="208DF7C7">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理化</w:t>
            </w:r>
          </w:p>
          <w:p w14:paraId="1F7C4FE7">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性质</w:t>
            </w:r>
          </w:p>
        </w:tc>
        <w:tc>
          <w:tcPr>
            <w:tcW w:w="968" w:type="pct"/>
            <w:vAlign w:val="center"/>
          </w:tcPr>
          <w:p w14:paraId="6AA60DF0">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外观与性状</w:t>
            </w:r>
          </w:p>
        </w:tc>
        <w:tc>
          <w:tcPr>
            <w:tcW w:w="3479" w:type="pct"/>
            <w:gridSpan w:val="7"/>
            <w:vAlign w:val="center"/>
          </w:tcPr>
          <w:p w14:paraId="0756C7CB">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油状液体，淡黄色至褐色，无气味或略带气味。</w:t>
            </w:r>
          </w:p>
        </w:tc>
      </w:tr>
      <w:tr w14:paraId="3C367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2" w:type="pct"/>
            <w:vMerge w:val="continue"/>
            <w:vAlign w:val="center"/>
          </w:tcPr>
          <w:p w14:paraId="7AF749DA">
            <w:pPr>
              <w:spacing w:line="320" w:lineRule="exact"/>
              <w:jc w:val="center"/>
              <w:rPr>
                <w:color w:val="000000" w:themeColor="text1"/>
                <w:szCs w:val="21"/>
                <w14:textFill>
                  <w14:solidFill>
                    <w14:schemeClr w14:val="tx1"/>
                  </w14:solidFill>
                </w14:textFill>
              </w:rPr>
            </w:pPr>
          </w:p>
        </w:tc>
        <w:tc>
          <w:tcPr>
            <w:tcW w:w="968" w:type="pct"/>
            <w:vAlign w:val="center"/>
          </w:tcPr>
          <w:p w14:paraId="4B9DBD12">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熔点 (℃)</w:t>
            </w:r>
          </w:p>
        </w:tc>
        <w:tc>
          <w:tcPr>
            <w:tcW w:w="1093" w:type="pct"/>
            <w:gridSpan w:val="2"/>
            <w:vAlign w:val="center"/>
          </w:tcPr>
          <w:p w14:paraId="7EB73D92">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-14.99</w:t>
            </w:r>
          </w:p>
        </w:tc>
        <w:tc>
          <w:tcPr>
            <w:tcW w:w="1276" w:type="pct"/>
            <w:gridSpan w:val="4"/>
            <w:vAlign w:val="center"/>
          </w:tcPr>
          <w:p w14:paraId="088F3079">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相对密度</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水</w:t>
            </w:r>
            <w:r>
              <w:rPr>
                <w:color w:val="000000" w:themeColor="text1"/>
                <w:szCs w:val="21"/>
                <w14:textFill>
                  <w14:solidFill>
                    <w14:schemeClr w14:val="tx1"/>
                  </w14:solidFill>
                </w14:textFill>
              </w:rPr>
              <w:t>=1)</w:t>
            </w:r>
          </w:p>
        </w:tc>
        <w:tc>
          <w:tcPr>
            <w:tcW w:w="1109" w:type="pct"/>
            <w:vAlign w:val="center"/>
          </w:tcPr>
          <w:p w14:paraId="310EBF2B">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0.85</w:t>
            </w:r>
          </w:p>
        </w:tc>
      </w:tr>
      <w:tr w14:paraId="5D178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2" w:type="pct"/>
            <w:vMerge w:val="continue"/>
            <w:vAlign w:val="center"/>
          </w:tcPr>
          <w:p w14:paraId="48EF9CC8">
            <w:pPr>
              <w:spacing w:line="320" w:lineRule="exact"/>
              <w:jc w:val="center"/>
              <w:rPr>
                <w:color w:val="000000" w:themeColor="text1"/>
                <w:szCs w:val="21"/>
                <w14:textFill>
                  <w14:solidFill>
                    <w14:schemeClr w14:val="tx1"/>
                  </w14:solidFill>
                </w14:textFill>
              </w:rPr>
            </w:pPr>
          </w:p>
        </w:tc>
        <w:tc>
          <w:tcPr>
            <w:tcW w:w="968" w:type="pct"/>
            <w:vAlign w:val="center"/>
          </w:tcPr>
          <w:p w14:paraId="372D8E5A">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沸点 (℃)</w:t>
            </w:r>
          </w:p>
        </w:tc>
        <w:tc>
          <w:tcPr>
            <w:tcW w:w="1093" w:type="pct"/>
            <w:gridSpan w:val="2"/>
            <w:vAlign w:val="center"/>
          </w:tcPr>
          <w:p w14:paraId="601CAD57">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276" w:type="pct"/>
            <w:gridSpan w:val="4"/>
            <w:vAlign w:val="center"/>
          </w:tcPr>
          <w:p w14:paraId="2A090295">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饱和蒸汽压（</w:t>
            </w:r>
            <w:r>
              <w:rPr>
                <w:color w:val="000000" w:themeColor="text1"/>
                <w:szCs w:val="21"/>
                <w14:textFill>
                  <w14:solidFill>
                    <w14:schemeClr w14:val="tx1"/>
                  </w14:solidFill>
                </w14:textFill>
              </w:rPr>
              <w:t>kPa</w:t>
            </w:r>
            <w:r>
              <w:rPr>
                <w:rFonts w:hint="eastAsia"/>
                <w:color w:val="000000" w:themeColor="text1"/>
                <w:szCs w:val="21"/>
                <w14:textFill>
                  <w14:solidFill>
                    <w14:schemeClr w14:val="tx1"/>
                  </w14:solidFill>
                </w14:textFill>
              </w:rPr>
              <w:t>）</w:t>
            </w:r>
          </w:p>
        </w:tc>
        <w:tc>
          <w:tcPr>
            <w:tcW w:w="1109" w:type="pct"/>
            <w:vAlign w:val="center"/>
          </w:tcPr>
          <w:p w14:paraId="69322F25">
            <w:pPr>
              <w:spacing w:line="32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7F3AA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2" w:type="pct"/>
            <w:vMerge w:val="continue"/>
            <w:vAlign w:val="center"/>
          </w:tcPr>
          <w:p w14:paraId="1517DAD0">
            <w:pPr>
              <w:spacing w:line="320" w:lineRule="exact"/>
              <w:jc w:val="center"/>
              <w:rPr>
                <w:color w:val="000000" w:themeColor="text1"/>
                <w:szCs w:val="21"/>
                <w14:textFill>
                  <w14:solidFill>
                    <w14:schemeClr w14:val="tx1"/>
                  </w14:solidFill>
                </w14:textFill>
              </w:rPr>
            </w:pPr>
          </w:p>
        </w:tc>
        <w:tc>
          <w:tcPr>
            <w:tcW w:w="968" w:type="pct"/>
            <w:vAlign w:val="center"/>
          </w:tcPr>
          <w:p w14:paraId="797F1D9D">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溶解性</w:t>
            </w:r>
          </w:p>
        </w:tc>
        <w:tc>
          <w:tcPr>
            <w:tcW w:w="3479" w:type="pct"/>
            <w:gridSpan w:val="7"/>
            <w:vAlign w:val="center"/>
          </w:tcPr>
          <w:p w14:paraId="58DA6DCB">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不溶于水</w:t>
            </w:r>
          </w:p>
        </w:tc>
      </w:tr>
      <w:tr w14:paraId="02F15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2" w:type="pct"/>
            <w:vMerge w:val="restart"/>
            <w:vAlign w:val="center"/>
          </w:tcPr>
          <w:p w14:paraId="18673353">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毒性及健康危害</w:t>
            </w:r>
          </w:p>
        </w:tc>
        <w:tc>
          <w:tcPr>
            <w:tcW w:w="968" w:type="pct"/>
            <w:vAlign w:val="center"/>
          </w:tcPr>
          <w:p w14:paraId="59E627AF">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侵入途径</w:t>
            </w:r>
          </w:p>
        </w:tc>
        <w:tc>
          <w:tcPr>
            <w:tcW w:w="3479" w:type="pct"/>
            <w:gridSpan w:val="7"/>
            <w:vAlign w:val="center"/>
          </w:tcPr>
          <w:p w14:paraId="1F8FEE1C">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吸入、食入、经皮吸收</w:t>
            </w:r>
          </w:p>
        </w:tc>
      </w:tr>
      <w:tr w14:paraId="3BA97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2" w:type="pct"/>
            <w:vMerge w:val="continue"/>
            <w:vAlign w:val="center"/>
          </w:tcPr>
          <w:p w14:paraId="130783FF">
            <w:pPr>
              <w:spacing w:line="320" w:lineRule="exact"/>
              <w:jc w:val="center"/>
              <w:rPr>
                <w:color w:val="000000" w:themeColor="text1"/>
                <w:szCs w:val="21"/>
                <w14:textFill>
                  <w14:solidFill>
                    <w14:schemeClr w14:val="tx1"/>
                  </w14:solidFill>
                </w14:textFill>
              </w:rPr>
            </w:pPr>
          </w:p>
        </w:tc>
        <w:tc>
          <w:tcPr>
            <w:tcW w:w="968" w:type="pct"/>
            <w:vAlign w:val="center"/>
          </w:tcPr>
          <w:p w14:paraId="4DD522FD">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w:t>
            </w:r>
          </w:p>
        </w:tc>
        <w:tc>
          <w:tcPr>
            <w:tcW w:w="3479" w:type="pct"/>
            <w:gridSpan w:val="7"/>
            <w:vAlign w:val="center"/>
          </w:tcPr>
          <w:p w14:paraId="0084FB6B">
            <w:pPr>
              <w:spacing w:line="32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LD</w:t>
            </w:r>
            <w:r>
              <w:rPr>
                <w:color w:val="000000" w:themeColor="text1"/>
                <w:szCs w:val="21"/>
                <w:vertAlign w:val="subscript"/>
                <w14:textFill>
                  <w14:solidFill>
                    <w14:schemeClr w14:val="tx1"/>
                  </w14:solidFill>
                </w14:textFill>
              </w:rPr>
              <w:t>50</w:t>
            </w:r>
            <w:r>
              <w:rPr>
                <w:rFonts w:hint="eastAsia"/>
                <w:color w:val="000000" w:themeColor="text1"/>
                <w:szCs w:val="21"/>
                <w:vertAlign w:val="subscript"/>
                <w14:textFill>
                  <w14:solidFill>
                    <w14:schemeClr w14:val="tx1"/>
                  </w14:solidFill>
                </w14:textFill>
              </w:rPr>
              <w:t>:</w:t>
            </w:r>
            <w:r>
              <w:rPr>
                <w:rFonts w:hint="eastAsia"/>
                <w:color w:val="000000" w:themeColor="text1"/>
                <w:szCs w:val="21"/>
                <w14:textFill>
                  <w14:solidFill>
                    <w14:schemeClr w14:val="tx1"/>
                  </w14:solidFill>
                </w14:textFill>
              </w:rPr>
              <w:t>5000mg/kg</w:t>
            </w:r>
          </w:p>
        </w:tc>
      </w:tr>
      <w:tr w14:paraId="4950B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2" w:type="pct"/>
            <w:vMerge w:val="continue"/>
            <w:vAlign w:val="center"/>
          </w:tcPr>
          <w:p w14:paraId="226F85C1">
            <w:pPr>
              <w:spacing w:line="320" w:lineRule="exact"/>
              <w:jc w:val="center"/>
              <w:rPr>
                <w:color w:val="000000" w:themeColor="text1"/>
                <w:szCs w:val="21"/>
                <w14:textFill>
                  <w14:solidFill>
                    <w14:schemeClr w14:val="tx1"/>
                  </w14:solidFill>
                </w14:textFill>
              </w:rPr>
            </w:pPr>
          </w:p>
        </w:tc>
        <w:tc>
          <w:tcPr>
            <w:tcW w:w="968" w:type="pct"/>
            <w:vAlign w:val="center"/>
          </w:tcPr>
          <w:p w14:paraId="6A0F724E">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健康危害</w:t>
            </w:r>
          </w:p>
        </w:tc>
        <w:tc>
          <w:tcPr>
            <w:tcW w:w="3479" w:type="pct"/>
            <w:gridSpan w:val="7"/>
            <w:vAlign w:val="center"/>
          </w:tcPr>
          <w:p w14:paraId="39B941C7">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长时间接触可能会导致皮肤干燥、发炎或过敏。吸入矿物油蒸气后引起呼吸系统不适，气短、咳嗽、恶心、头晕等。口服引起腹痛、恶心和呕吐。</w:t>
            </w:r>
          </w:p>
        </w:tc>
      </w:tr>
      <w:tr w14:paraId="3BE12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2" w:type="pct"/>
            <w:vMerge w:val="restart"/>
            <w:vAlign w:val="center"/>
          </w:tcPr>
          <w:p w14:paraId="5B43EE73">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燃烧爆炸危险性</w:t>
            </w:r>
          </w:p>
        </w:tc>
        <w:tc>
          <w:tcPr>
            <w:tcW w:w="968" w:type="pct"/>
            <w:vAlign w:val="center"/>
          </w:tcPr>
          <w:p w14:paraId="31E67F59">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燃烧性</w:t>
            </w:r>
          </w:p>
        </w:tc>
        <w:tc>
          <w:tcPr>
            <w:tcW w:w="1179" w:type="pct"/>
            <w:gridSpan w:val="3"/>
            <w:vAlign w:val="center"/>
          </w:tcPr>
          <w:p w14:paraId="314F1BAC">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易燃</w:t>
            </w:r>
          </w:p>
        </w:tc>
        <w:tc>
          <w:tcPr>
            <w:tcW w:w="1161" w:type="pct"/>
            <w:gridSpan w:val="2"/>
            <w:vAlign w:val="center"/>
          </w:tcPr>
          <w:p w14:paraId="62DE48F1">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燃烧分解物</w:t>
            </w:r>
          </w:p>
        </w:tc>
        <w:tc>
          <w:tcPr>
            <w:tcW w:w="1139" w:type="pct"/>
            <w:gridSpan w:val="2"/>
            <w:vAlign w:val="center"/>
          </w:tcPr>
          <w:p w14:paraId="72D5E38A">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碳氢化合物、苯系物</w:t>
            </w:r>
          </w:p>
        </w:tc>
      </w:tr>
      <w:tr w14:paraId="08D5B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2" w:type="pct"/>
            <w:vMerge w:val="continue"/>
            <w:vAlign w:val="center"/>
          </w:tcPr>
          <w:p w14:paraId="63AB1CE5">
            <w:pPr>
              <w:spacing w:line="320" w:lineRule="exact"/>
              <w:jc w:val="center"/>
              <w:rPr>
                <w:color w:val="000000" w:themeColor="text1"/>
                <w:szCs w:val="21"/>
                <w14:textFill>
                  <w14:solidFill>
                    <w14:schemeClr w14:val="tx1"/>
                  </w14:solidFill>
                </w14:textFill>
              </w:rPr>
            </w:pPr>
          </w:p>
        </w:tc>
        <w:tc>
          <w:tcPr>
            <w:tcW w:w="968" w:type="pct"/>
            <w:vAlign w:val="center"/>
          </w:tcPr>
          <w:p w14:paraId="1CAAD5B7">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闪点</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p>
        </w:tc>
        <w:tc>
          <w:tcPr>
            <w:tcW w:w="1179" w:type="pct"/>
            <w:gridSpan w:val="3"/>
            <w:vAlign w:val="center"/>
          </w:tcPr>
          <w:p w14:paraId="795B266A">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w:t>
            </w:r>
          </w:p>
        </w:tc>
        <w:tc>
          <w:tcPr>
            <w:tcW w:w="1161" w:type="pct"/>
            <w:gridSpan w:val="2"/>
            <w:vAlign w:val="center"/>
          </w:tcPr>
          <w:p w14:paraId="265FCED3">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爆炸上限</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v%</w:t>
            </w:r>
            <w:r>
              <w:rPr>
                <w:rFonts w:hint="eastAsia"/>
                <w:color w:val="000000" w:themeColor="text1"/>
                <w:szCs w:val="21"/>
                <w14:textFill>
                  <w14:solidFill>
                    <w14:schemeClr w14:val="tx1"/>
                  </w14:solidFill>
                </w14:textFill>
              </w:rPr>
              <w:t>）：</w:t>
            </w:r>
          </w:p>
        </w:tc>
        <w:tc>
          <w:tcPr>
            <w:tcW w:w="1139" w:type="pct"/>
            <w:gridSpan w:val="2"/>
            <w:vAlign w:val="center"/>
          </w:tcPr>
          <w:p w14:paraId="0D3F87BA">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w:t>
            </w:r>
          </w:p>
        </w:tc>
      </w:tr>
      <w:tr w14:paraId="688FE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2" w:type="pct"/>
            <w:vMerge w:val="continue"/>
            <w:vAlign w:val="center"/>
          </w:tcPr>
          <w:p w14:paraId="5C74803E">
            <w:pPr>
              <w:spacing w:line="320" w:lineRule="exact"/>
              <w:jc w:val="center"/>
              <w:rPr>
                <w:color w:val="000000" w:themeColor="text1"/>
                <w:szCs w:val="21"/>
                <w14:textFill>
                  <w14:solidFill>
                    <w14:schemeClr w14:val="tx1"/>
                  </w14:solidFill>
                </w14:textFill>
              </w:rPr>
            </w:pPr>
          </w:p>
        </w:tc>
        <w:tc>
          <w:tcPr>
            <w:tcW w:w="968" w:type="pct"/>
            <w:vAlign w:val="center"/>
          </w:tcPr>
          <w:p w14:paraId="6C2A30E9">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自燃温度</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p>
        </w:tc>
        <w:tc>
          <w:tcPr>
            <w:tcW w:w="1179" w:type="pct"/>
            <w:gridSpan w:val="3"/>
            <w:vAlign w:val="center"/>
          </w:tcPr>
          <w:p w14:paraId="315C42EF">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350</w:t>
            </w:r>
          </w:p>
        </w:tc>
        <w:tc>
          <w:tcPr>
            <w:tcW w:w="1161" w:type="pct"/>
            <w:gridSpan w:val="2"/>
            <w:vAlign w:val="center"/>
          </w:tcPr>
          <w:p w14:paraId="57DE4918">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爆炸下限</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v%</w:t>
            </w:r>
            <w:r>
              <w:rPr>
                <w:rFonts w:hint="eastAsia"/>
                <w:color w:val="000000" w:themeColor="text1"/>
                <w:szCs w:val="21"/>
                <w14:textFill>
                  <w14:solidFill>
                    <w14:schemeClr w14:val="tx1"/>
                  </w14:solidFill>
                </w14:textFill>
              </w:rPr>
              <w:t>）：</w:t>
            </w:r>
          </w:p>
        </w:tc>
        <w:tc>
          <w:tcPr>
            <w:tcW w:w="1139" w:type="pct"/>
            <w:gridSpan w:val="2"/>
            <w:vAlign w:val="center"/>
          </w:tcPr>
          <w:p w14:paraId="02BEF30C">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r>
      <w:tr w14:paraId="17E1F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2" w:type="pct"/>
            <w:vMerge w:val="continue"/>
            <w:vAlign w:val="center"/>
          </w:tcPr>
          <w:p w14:paraId="21347308">
            <w:pPr>
              <w:spacing w:line="320" w:lineRule="exact"/>
              <w:jc w:val="center"/>
              <w:rPr>
                <w:color w:val="000000" w:themeColor="text1"/>
                <w:szCs w:val="21"/>
                <w14:textFill>
                  <w14:solidFill>
                    <w14:schemeClr w14:val="tx1"/>
                  </w14:solidFill>
                </w14:textFill>
              </w:rPr>
            </w:pPr>
          </w:p>
        </w:tc>
        <w:tc>
          <w:tcPr>
            <w:tcW w:w="968" w:type="pct"/>
            <w:vAlign w:val="center"/>
          </w:tcPr>
          <w:p w14:paraId="13AE9197">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危险特性</w:t>
            </w:r>
          </w:p>
        </w:tc>
        <w:tc>
          <w:tcPr>
            <w:tcW w:w="3479" w:type="pct"/>
            <w:gridSpan w:val="7"/>
            <w:vAlign w:val="center"/>
          </w:tcPr>
          <w:p w14:paraId="408173A6">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本品易燃，受热分解产生有毒的烟气。</w:t>
            </w:r>
          </w:p>
        </w:tc>
      </w:tr>
      <w:tr w14:paraId="4BC20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2" w:type="pct"/>
            <w:vMerge w:val="continue"/>
            <w:vAlign w:val="center"/>
          </w:tcPr>
          <w:p w14:paraId="557A9EC5">
            <w:pPr>
              <w:spacing w:line="320" w:lineRule="exact"/>
              <w:jc w:val="center"/>
              <w:rPr>
                <w:color w:val="000000" w:themeColor="text1"/>
                <w:szCs w:val="21"/>
                <w14:textFill>
                  <w14:solidFill>
                    <w14:schemeClr w14:val="tx1"/>
                  </w14:solidFill>
                </w14:textFill>
              </w:rPr>
            </w:pPr>
          </w:p>
        </w:tc>
        <w:tc>
          <w:tcPr>
            <w:tcW w:w="968" w:type="pct"/>
            <w:vAlign w:val="center"/>
          </w:tcPr>
          <w:p w14:paraId="2C2B6624">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稳定性</w:t>
            </w:r>
          </w:p>
        </w:tc>
        <w:tc>
          <w:tcPr>
            <w:tcW w:w="1179" w:type="pct"/>
            <w:gridSpan w:val="3"/>
            <w:vAlign w:val="center"/>
          </w:tcPr>
          <w:p w14:paraId="278A5A80">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稳定</w:t>
            </w:r>
          </w:p>
        </w:tc>
        <w:tc>
          <w:tcPr>
            <w:tcW w:w="1161" w:type="pct"/>
            <w:gridSpan w:val="2"/>
            <w:vAlign w:val="center"/>
          </w:tcPr>
          <w:p w14:paraId="0FD65919">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聚合危害</w:t>
            </w:r>
          </w:p>
        </w:tc>
        <w:tc>
          <w:tcPr>
            <w:tcW w:w="1139" w:type="pct"/>
            <w:gridSpan w:val="2"/>
            <w:vAlign w:val="center"/>
          </w:tcPr>
          <w:p w14:paraId="3281280D">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不聚合</w:t>
            </w:r>
          </w:p>
        </w:tc>
      </w:tr>
      <w:tr w14:paraId="48D9E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2" w:type="pct"/>
            <w:vMerge w:val="continue"/>
            <w:vAlign w:val="center"/>
          </w:tcPr>
          <w:p w14:paraId="39859ACF">
            <w:pPr>
              <w:spacing w:line="320" w:lineRule="exact"/>
              <w:jc w:val="center"/>
              <w:rPr>
                <w:color w:val="000000" w:themeColor="text1"/>
                <w:szCs w:val="21"/>
                <w14:textFill>
                  <w14:solidFill>
                    <w14:schemeClr w14:val="tx1"/>
                  </w14:solidFill>
                </w14:textFill>
              </w:rPr>
            </w:pPr>
          </w:p>
        </w:tc>
        <w:tc>
          <w:tcPr>
            <w:tcW w:w="968" w:type="pct"/>
            <w:vAlign w:val="center"/>
          </w:tcPr>
          <w:p w14:paraId="5AEBCDDC">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灭火方法</w:t>
            </w:r>
          </w:p>
        </w:tc>
        <w:tc>
          <w:tcPr>
            <w:tcW w:w="3479" w:type="pct"/>
            <w:gridSpan w:val="7"/>
            <w:vAlign w:val="center"/>
          </w:tcPr>
          <w:p w14:paraId="5AA69E5D">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采用泡沫、砂土、干粉、二氧化碳灭火。</w:t>
            </w:r>
          </w:p>
        </w:tc>
      </w:tr>
      <w:tr w14:paraId="4DDE3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2" w:type="pct"/>
            <w:vAlign w:val="center"/>
          </w:tcPr>
          <w:p w14:paraId="7A113E4B">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急救</w:t>
            </w:r>
          </w:p>
          <w:p w14:paraId="31DB16FB">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措施</w:t>
            </w:r>
          </w:p>
        </w:tc>
        <w:tc>
          <w:tcPr>
            <w:tcW w:w="4447" w:type="pct"/>
            <w:gridSpan w:val="8"/>
            <w:vAlign w:val="center"/>
          </w:tcPr>
          <w:p w14:paraId="4966EC5D">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皮肤接触：脱去污染的衣着，用肥皂水冲洗。</w:t>
            </w:r>
          </w:p>
          <w:p w14:paraId="50903E2D">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眼睛接触：提起眼睑，用流动清水或生理盐水冲洗。就医。</w:t>
            </w:r>
          </w:p>
          <w:p w14:paraId="65698570">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吸入：脱离现场至空气新鲜处。如呼吸困难，给输氧、就医。</w:t>
            </w:r>
          </w:p>
          <w:p w14:paraId="60C42199">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食入：立即就医。</w:t>
            </w:r>
          </w:p>
        </w:tc>
      </w:tr>
      <w:tr w14:paraId="08C20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2" w:type="pct"/>
            <w:vAlign w:val="center"/>
          </w:tcPr>
          <w:p w14:paraId="5C1A487D">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泄漏</w:t>
            </w:r>
          </w:p>
          <w:p w14:paraId="4AB6A351">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处置</w:t>
            </w:r>
          </w:p>
        </w:tc>
        <w:tc>
          <w:tcPr>
            <w:tcW w:w="4447" w:type="pct"/>
            <w:gridSpan w:val="8"/>
            <w:vAlign w:val="center"/>
          </w:tcPr>
          <w:p w14:paraId="0D97A52C">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隔离泄漏污染区，限制出入。建议应急处理人员戴防毒面具，穿防护服、耐油手套。用砂土或惰性吸附剂覆盖吸收泄漏物，吸附后的砂土收集至专用容器，委托有资质单位处置。</w:t>
            </w:r>
          </w:p>
        </w:tc>
      </w:tr>
      <w:tr w14:paraId="1A16B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2" w:type="pct"/>
            <w:vAlign w:val="center"/>
          </w:tcPr>
          <w:p w14:paraId="2984DDC2">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储运注 意事项</w:t>
            </w:r>
          </w:p>
        </w:tc>
        <w:tc>
          <w:tcPr>
            <w:tcW w:w="4447" w:type="pct"/>
            <w:gridSpan w:val="8"/>
            <w:vAlign w:val="center"/>
          </w:tcPr>
          <w:p w14:paraId="1FD310F4">
            <w:pPr>
              <w:spacing w:line="32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起运时容器密闭完整，装载应稳妥。运输过程中要确保容器不泄漏、不倒塌、不坠落、不损坏。严禁与酸类、碱类、食用化学品、氧化剂等混装混运。运输途中应防暴晒、雨淋，防高温。车辆运输完毕应进行彻底清扫。</w:t>
            </w:r>
          </w:p>
        </w:tc>
      </w:tr>
    </w:tbl>
    <w:p w14:paraId="24131E63">
      <w:pPr>
        <w:adjustRightInd w:val="0"/>
        <w:snapToGrid w:val="0"/>
        <w:spacing w:line="360" w:lineRule="auto"/>
        <w:ind w:firstLine="482" w:firstLineChars="200"/>
        <w:outlineLvl w:val="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1.3.2</w:t>
      </w:r>
      <w:r>
        <w:rPr>
          <w:b/>
          <w:bCs/>
          <w:color w:val="000000" w:themeColor="text1"/>
          <w:sz w:val="24"/>
          <w14:textFill>
            <w14:solidFill>
              <w14:schemeClr w14:val="tx1"/>
            </w14:solidFill>
          </w14:textFill>
        </w:rPr>
        <w:t>评价等级</w:t>
      </w:r>
    </w:p>
    <w:p w14:paraId="0C81906A">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（1）危险物质数量与临界量比值（Q）</w:t>
      </w:r>
    </w:p>
    <w:p w14:paraId="618DDAD1">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根据《建设项目风险评价技术导则》（HJ169-2018）附录B，本项目涉及的危险物质主要为</w:t>
      </w:r>
      <w:r>
        <w:rPr>
          <w:rFonts w:hint="eastAsia"/>
          <w:color w:val="000000" w:themeColor="text1"/>
          <w:sz w:val="24"/>
          <w14:textFill>
            <w14:solidFill>
              <w14:schemeClr w14:val="tx1"/>
            </w14:solidFill>
          </w14:textFill>
        </w:rPr>
        <w:t>硫酸铵</w:t>
      </w:r>
      <w:r>
        <w:rPr>
          <w:color w:val="000000" w:themeColor="text1"/>
          <w:sz w:val="24"/>
          <w14:textFill>
            <w14:solidFill>
              <w14:schemeClr w14:val="tx1"/>
            </w14:solidFill>
          </w14:textFill>
        </w:rPr>
        <w:t>和废机油，其储存量和储存方式如表1</w:t>
      </w:r>
      <w:r>
        <w:rPr>
          <w:rFonts w:hint="eastAsia"/>
          <w:color w:val="000000" w:themeColor="text1"/>
          <w:sz w:val="24"/>
          <w14:textFill>
            <w14:solidFill>
              <w14:schemeClr w14:val="tx1"/>
            </w14:solidFill>
          </w14:textFill>
        </w:rPr>
        <w:t>.3-4</w:t>
      </w:r>
      <w:r>
        <w:rPr>
          <w:color w:val="000000" w:themeColor="text1"/>
          <w:sz w:val="24"/>
          <w14:textFill>
            <w14:solidFill>
              <w14:schemeClr w14:val="tx1"/>
            </w14:solidFill>
          </w14:textFill>
        </w:rPr>
        <w:t>所示。</w:t>
      </w:r>
    </w:p>
    <w:p w14:paraId="1A10797E">
      <w:pPr>
        <w:pStyle w:val="52"/>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表1</w:t>
      </w:r>
      <w:r>
        <w:rPr>
          <w:rFonts w:hint="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 xml:space="preserve">  项目危险物质储存情况</w:t>
      </w:r>
    </w:p>
    <w:tbl>
      <w:tblPr>
        <w:tblStyle w:val="24"/>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47"/>
        <w:gridCol w:w="1639"/>
        <w:gridCol w:w="2014"/>
        <w:gridCol w:w="1778"/>
        <w:gridCol w:w="1549"/>
        <w:gridCol w:w="1214"/>
      </w:tblGrid>
      <w:tr w14:paraId="2CDB3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18" w:type="pct"/>
            <w:vAlign w:val="center"/>
          </w:tcPr>
          <w:p w14:paraId="05118A07">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917" w:type="pct"/>
            <w:vAlign w:val="center"/>
          </w:tcPr>
          <w:p w14:paraId="0CE8EB50">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危险物质名称</w:t>
            </w:r>
          </w:p>
        </w:tc>
        <w:tc>
          <w:tcPr>
            <w:tcW w:w="1126" w:type="pct"/>
            <w:vAlign w:val="center"/>
          </w:tcPr>
          <w:p w14:paraId="5E981B73">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实际储存量（t）</w:t>
            </w:r>
          </w:p>
        </w:tc>
        <w:tc>
          <w:tcPr>
            <w:tcW w:w="994" w:type="pct"/>
            <w:vAlign w:val="center"/>
          </w:tcPr>
          <w:p w14:paraId="0C61FE3F">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临界量（t）</w:t>
            </w:r>
          </w:p>
        </w:tc>
        <w:tc>
          <w:tcPr>
            <w:tcW w:w="865" w:type="pct"/>
            <w:vAlign w:val="center"/>
          </w:tcPr>
          <w:p w14:paraId="266366D8">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存储位置</w:t>
            </w:r>
          </w:p>
        </w:tc>
        <w:tc>
          <w:tcPr>
            <w:tcW w:w="678" w:type="pct"/>
            <w:vAlign w:val="center"/>
          </w:tcPr>
          <w:p w14:paraId="4CDF4808">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Q值</w:t>
            </w:r>
          </w:p>
        </w:tc>
      </w:tr>
      <w:tr w14:paraId="6959E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8" w:type="pct"/>
            <w:vAlign w:val="center"/>
          </w:tcPr>
          <w:p w14:paraId="71E20547">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917" w:type="pct"/>
            <w:vAlign w:val="center"/>
          </w:tcPr>
          <w:p w14:paraId="06F17081">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硫酸铵</w:t>
            </w:r>
          </w:p>
        </w:tc>
        <w:tc>
          <w:tcPr>
            <w:tcW w:w="1126" w:type="pct"/>
            <w:vAlign w:val="center"/>
          </w:tcPr>
          <w:p w14:paraId="7775B424">
            <w:pPr>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u w:val="single"/>
                <w14:textFill>
                  <w14:solidFill>
                    <w14:schemeClr w14:val="tx1"/>
                  </w14:solidFill>
                </w14:textFill>
              </w:rPr>
              <w:t>1</w:t>
            </w:r>
            <w:r>
              <w:rPr>
                <w:rFonts w:hint="eastAsia"/>
                <w:bCs/>
                <w:color w:val="000000" w:themeColor="text1"/>
                <w:szCs w:val="21"/>
                <w:u w:val="single"/>
                <w:lang w:val="en-US" w:eastAsia="zh-CN"/>
                <w14:textFill>
                  <w14:solidFill>
                    <w14:schemeClr w14:val="tx1"/>
                  </w14:solidFill>
                </w14:textFill>
              </w:rPr>
              <w:t>0</w:t>
            </w:r>
            <w:r>
              <w:rPr>
                <w:rFonts w:hint="eastAsia"/>
                <w:bCs/>
                <w:color w:val="000000" w:themeColor="text1"/>
                <w:szCs w:val="21"/>
                <w:u w:val="single"/>
                <w14:textFill>
                  <w14:solidFill>
                    <w14:schemeClr w14:val="tx1"/>
                  </w14:solidFill>
                </w14:textFill>
              </w:rPr>
              <w:t>000</w:t>
            </w:r>
            <w:r>
              <w:rPr>
                <w:rFonts w:hint="eastAsia"/>
                <w:bCs/>
                <w:color w:val="000000" w:themeColor="text1"/>
                <w:szCs w:val="21"/>
                <w:u w:val="single"/>
                <w:lang w:val="en-US" w:eastAsia="zh-CN"/>
                <w14:textFill>
                  <w14:solidFill>
                    <w14:schemeClr w14:val="tx1"/>
                  </w14:solidFill>
                </w14:textFill>
              </w:rPr>
              <w:t>.2</w:t>
            </w:r>
          </w:p>
        </w:tc>
        <w:tc>
          <w:tcPr>
            <w:tcW w:w="994" w:type="pct"/>
            <w:vAlign w:val="center"/>
          </w:tcPr>
          <w:p w14:paraId="798CBA84">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865" w:type="pct"/>
            <w:vAlign w:val="center"/>
          </w:tcPr>
          <w:p w14:paraId="26DC5A75">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原料库、生产车间、成品库</w:t>
            </w:r>
          </w:p>
        </w:tc>
        <w:tc>
          <w:tcPr>
            <w:tcW w:w="678" w:type="pct"/>
            <w:vAlign w:val="center"/>
          </w:tcPr>
          <w:p w14:paraId="4C5B65B7">
            <w:pPr>
              <w:adjustRightInd w:val="0"/>
              <w:snapToGrid w:val="0"/>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u w:val="single"/>
                <w14:textFill>
                  <w14:solidFill>
                    <w14:schemeClr w14:val="tx1"/>
                  </w14:solidFill>
                </w14:textFill>
              </w:rPr>
              <w:t>1</w:t>
            </w:r>
            <w:r>
              <w:rPr>
                <w:rFonts w:hint="eastAsia"/>
                <w:bCs/>
                <w:color w:val="000000" w:themeColor="text1"/>
                <w:szCs w:val="21"/>
                <w:u w:val="single"/>
                <w:lang w:val="en-US" w:eastAsia="zh-CN"/>
                <w14:textFill>
                  <w14:solidFill>
                    <w14:schemeClr w14:val="tx1"/>
                  </w14:solidFill>
                </w14:textFill>
              </w:rPr>
              <w:t>0</w:t>
            </w:r>
            <w:r>
              <w:rPr>
                <w:rFonts w:hint="eastAsia"/>
                <w:bCs/>
                <w:color w:val="000000" w:themeColor="text1"/>
                <w:szCs w:val="21"/>
                <w:u w:val="single"/>
                <w14:textFill>
                  <w14:solidFill>
                    <w14:schemeClr w14:val="tx1"/>
                  </w14:solidFill>
                </w14:textFill>
              </w:rPr>
              <w:t>00</w:t>
            </w:r>
            <w:r>
              <w:rPr>
                <w:rFonts w:hint="eastAsia"/>
                <w:bCs/>
                <w:color w:val="000000" w:themeColor="text1"/>
                <w:szCs w:val="21"/>
                <w:u w:val="single"/>
                <w:lang w:val="en-US" w:eastAsia="zh-CN"/>
                <w14:textFill>
                  <w14:solidFill>
                    <w14:schemeClr w14:val="tx1"/>
                  </w14:solidFill>
                </w14:textFill>
              </w:rPr>
              <w:t>.2</w:t>
            </w:r>
          </w:p>
        </w:tc>
      </w:tr>
      <w:tr w14:paraId="6D51C2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8" w:type="pct"/>
            <w:vAlign w:val="center"/>
          </w:tcPr>
          <w:p w14:paraId="1B21812C">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w:t>
            </w:r>
          </w:p>
        </w:tc>
        <w:tc>
          <w:tcPr>
            <w:tcW w:w="917" w:type="pct"/>
            <w:vAlign w:val="center"/>
          </w:tcPr>
          <w:p w14:paraId="6F65436F">
            <w:pPr>
              <w:adjustRightInd w:val="0"/>
              <w:snapToGrid w:val="0"/>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w:t>
            </w:r>
          </w:p>
        </w:tc>
        <w:tc>
          <w:tcPr>
            <w:tcW w:w="1126" w:type="pct"/>
            <w:vAlign w:val="center"/>
          </w:tcPr>
          <w:p w14:paraId="1AD8D9F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0.2</w:t>
            </w:r>
          </w:p>
        </w:tc>
        <w:tc>
          <w:tcPr>
            <w:tcW w:w="994" w:type="pct"/>
            <w:vAlign w:val="center"/>
          </w:tcPr>
          <w:p w14:paraId="0C2F585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2500</w:t>
            </w:r>
          </w:p>
        </w:tc>
        <w:tc>
          <w:tcPr>
            <w:tcW w:w="865" w:type="pct"/>
            <w:vAlign w:val="center"/>
          </w:tcPr>
          <w:p w14:paraId="0F5BBEA5">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危废暂存间</w:t>
            </w:r>
          </w:p>
        </w:tc>
        <w:tc>
          <w:tcPr>
            <w:tcW w:w="678" w:type="pct"/>
            <w:vAlign w:val="center"/>
          </w:tcPr>
          <w:p w14:paraId="1453C8F9">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0.000</w:t>
            </w:r>
            <w:r>
              <w:rPr>
                <w:rFonts w:hint="eastAsia"/>
                <w:bCs/>
                <w:color w:val="000000" w:themeColor="text1"/>
                <w:szCs w:val="21"/>
                <w14:textFill>
                  <w14:solidFill>
                    <w14:schemeClr w14:val="tx1"/>
                  </w14:solidFill>
                </w14:textFill>
              </w:rPr>
              <w:t>08</w:t>
            </w:r>
          </w:p>
        </w:tc>
      </w:tr>
      <w:tr w14:paraId="20178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21" w:type="pct"/>
            <w:gridSpan w:val="5"/>
            <w:vAlign w:val="center"/>
          </w:tcPr>
          <w:p w14:paraId="19A5D76F">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合计</w:t>
            </w:r>
          </w:p>
        </w:tc>
        <w:tc>
          <w:tcPr>
            <w:tcW w:w="678" w:type="pct"/>
            <w:vAlign w:val="center"/>
          </w:tcPr>
          <w:p w14:paraId="0157CB1B">
            <w:pPr>
              <w:adjustRightInd w:val="0"/>
              <w:snapToGrid w:val="0"/>
              <w:jc w:val="center"/>
              <w:rPr>
                <w:bCs/>
                <w:color w:val="000000" w:themeColor="text1"/>
                <w:szCs w:val="21"/>
                <w:u w:val="single"/>
                <w14:textFill>
                  <w14:solidFill>
                    <w14:schemeClr w14:val="tx1"/>
                  </w14:solidFill>
                </w14:textFill>
              </w:rPr>
            </w:pPr>
            <w:r>
              <w:rPr>
                <w:rFonts w:hint="eastAsia"/>
                <w:bCs/>
                <w:color w:val="000000" w:themeColor="text1"/>
                <w:szCs w:val="21"/>
                <w:u w:val="single"/>
                <w14:textFill>
                  <w14:solidFill>
                    <w14:schemeClr w14:val="tx1"/>
                  </w14:solidFill>
                </w14:textFill>
              </w:rPr>
              <w:t>1</w:t>
            </w:r>
            <w:r>
              <w:rPr>
                <w:rFonts w:hint="eastAsia"/>
                <w:bCs/>
                <w:color w:val="000000" w:themeColor="text1"/>
                <w:szCs w:val="21"/>
                <w:u w:val="single"/>
                <w:lang w:val="en-US" w:eastAsia="zh-CN"/>
                <w14:textFill>
                  <w14:solidFill>
                    <w14:schemeClr w14:val="tx1"/>
                  </w14:solidFill>
                </w14:textFill>
              </w:rPr>
              <w:t>0</w:t>
            </w:r>
            <w:r>
              <w:rPr>
                <w:rFonts w:hint="eastAsia"/>
                <w:bCs/>
                <w:color w:val="000000" w:themeColor="text1"/>
                <w:szCs w:val="21"/>
                <w:u w:val="single"/>
                <w14:textFill>
                  <w14:solidFill>
                    <w14:schemeClr w14:val="tx1"/>
                  </w14:solidFill>
                </w14:textFill>
              </w:rPr>
              <w:t>00</w:t>
            </w:r>
            <w:r>
              <w:rPr>
                <w:bCs/>
                <w:color w:val="000000" w:themeColor="text1"/>
                <w:szCs w:val="21"/>
                <w:u w:val="single"/>
                <w14:textFill>
                  <w14:solidFill>
                    <w14:schemeClr w14:val="tx1"/>
                  </w14:solidFill>
                </w14:textFill>
              </w:rPr>
              <w:t>.</w:t>
            </w:r>
            <w:r>
              <w:rPr>
                <w:rFonts w:hint="eastAsia"/>
                <w:bCs/>
                <w:color w:val="000000" w:themeColor="text1"/>
                <w:szCs w:val="21"/>
                <w:u w:val="single"/>
                <w:lang w:val="en-US" w:eastAsia="zh-CN"/>
                <w14:textFill>
                  <w14:solidFill>
                    <w14:schemeClr w14:val="tx1"/>
                  </w14:solidFill>
                </w14:textFill>
              </w:rPr>
              <w:t>2</w:t>
            </w:r>
            <w:r>
              <w:rPr>
                <w:bCs/>
                <w:color w:val="000000" w:themeColor="text1"/>
                <w:szCs w:val="21"/>
                <w:u w:val="single"/>
                <w14:textFill>
                  <w14:solidFill>
                    <w14:schemeClr w14:val="tx1"/>
                  </w14:solidFill>
                </w14:textFill>
              </w:rPr>
              <w:t>00</w:t>
            </w:r>
            <w:r>
              <w:rPr>
                <w:rFonts w:hint="eastAsia"/>
                <w:bCs/>
                <w:color w:val="000000" w:themeColor="text1"/>
                <w:szCs w:val="21"/>
                <w:u w:val="single"/>
                <w14:textFill>
                  <w14:solidFill>
                    <w14:schemeClr w14:val="tx1"/>
                  </w14:solidFill>
                </w14:textFill>
              </w:rPr>
              <w:t>08</w:t>
            </w:r>
          </w:p>
        </w:tc>
      </w:tr>
    </w:tbl>
    <w:p w14:paraId="42CA0BDF">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根据表</w:t>
      </w:r>
      <w:r>
        <w:rPr>
          <w:rFonts w:hint="eastAsia"/>
          <w:color w:val="000000" w:themeColor="text1"/>
          <w:sz w:val="24"/>
          <w14:textFill>
            <w14:solidFill>
              <w14:schemeClr w14:val="tx1"/>
            </w14:solidFill>
          </w14:textFill>
        </w:rPr>
        <w:t>1.3-4</w:t>
      </w:r>
      <w:r>
        <w:rPr>
          <w:color w:val="000000" w:themeColor="text1"/>
          <w:sz w:val="24"/>
          <w14:textFill>
            <w14:solidFill>
              <w14:schemeClr w14:val="tx1"/>
            </w14:solidFill>
          </w14:textFill>
        </w:rPr>
        <w:t>可知，项目危险物质数量与临界量比值Q为</w:t>
      </w:r>
      <w:r>
        <w:rPr>
          <w:rFonts w:hint="eastAsia"/>
          <w:color w:val="000000" w:themeColor="text1"/>
          <w:sz w:val="24"/>
          <w:u w:val="single"/>
          <w14:textFill>
            <w14:solidFill>
              <w14:schemeClr w14:val="tx1"/>
            </w14:solidFill>
          </w14:textFill>
        </w:rPr>
        <w:t>1</w:t>
      </w:r>
      <w:r>
        <w:rPr>
          <w:rFonts w:hint="eastAsia"/>
          <w:color w:val="000000" w:themeColor="text1"/>
          <w:sz w:val="24"/>
          <w:u w:val="single"/>
          <w:lang w:val="en-US" w:eastAsia="zh-CN"/>
          <w14:textFill>
            <w14:solidFill>
              <w14:schemeClr w14:val="tx1"/>
            </w14:solidFill>
          </w14:textFill>
        </w:rPr>
        <w:t>0</w:t>
      </w:r>
      <w:r>
        <w:rPr>
          <w:rFonts w:hint="eastAsia"/>
          <w:color w:val="000000" w:themeColor="text1"/>
          <w:sz w:val="24"/>
          <w:u w:val="single"/>
          <w14:textFill>
            <w14:solidFill>
              <w14:schemeClr w14:val="tx1"/>
            </w14:solidFill>
          </w14:textFill>
        </w:rPr>
        <w:t>00.</w:t>
      </w:r>
      <w:r>
        <w:rPr>
          <w:rFonts w:hint="eastAsia"/>
          <w:color w:val="000000" w:themeColor="text1"/>
          <w:sz w:val="24"/>
          <w:u w:val="single"/>
          <w:lang w:val="en-US" w:eastAsia="zh-CN"/>
          <w14:textFill>
            <w14:solidFill>
              <w14:schemeClr w14:val="tx1"/>
            </w14:solidFill>
          </w14:textFill>
        </w:rPr>
        <w:t>2</w:t>
      </w:r>
      <w:r>
        <w:rPr>
          <w:rFonts w:hint="eastAsia"/>
          <w:color w:val="000000" w:themeColor="text1"/>
          <w:sz w:val="24"/>
          <w:u w:val="single"/>
          <w14:textFill>
            <w14:solidFill>
              <w14:schemeClr w14:val="tx1"/>
            </w14:solidFill>
          </w14:textFill>
        </w:rPr>
        <w:t>0008</w:t>
      </w:r>
      <w:r>
        <w:rPr>
          <w:color w:val="000000" w:themeColor="text1"/>
          <w:sz w:val="24"/>
          <w14:textFill>
            <w14:solidFill>
              <w14:schemeClr w14:val="tx1"/>
            </w14:solidFill>
          </w14:textFill>
        </w:rPr>
        <w:t>。</w:t>
      </w:r>
    </w:p>
    <w:p w14:paraId="5C363ABF">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（2）行业及生产工艺（M）</w:t>
      </w:r>
    </w:p>
    <w:p w14:paraId="2778938B">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按照表</w:t>
      </w:r>
      <w:r>
        <w:rPr>
          <w:rFonts w:hint="eastAsia"/>
          <w:bCs/>
          <w:color w:val="000000" w:themeColor="text1"/>
          <w:sz w:val="24"/>
          <w14:textFill>
            <w14:solidFill>
              <w14:schemeClr w14:val="tx1"/>
            </w14:solidFill>
          </w14:textFill>
        </w:rPr>
        <w:t>1.3</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5</w:t>
      </w:r>
      <w:r>
        <w:rPr>
          <w:bCs/>
          <w:color w:val="000000" w:themeColor="text1"/>
          <w:sz w:val="24"/>
          <w14:textFill>
            <w14:solidFill>
              <w14:schemeClr w14:val="tx1"/>
            </w14:solidFill>
          </w14:textFill>
        </w:rPr>
        <w:t>评估生产工艺情况，具有多套工艺单元的项目，对每套生产工艺分别评分并求和，将M值划分为（1）M＞20；（2）10＜M≤20；（3）M≤10；（4）M=5，分别以M（1）M（2）M3和M4表示。</w:t>
      </w:r>
    </w:p>
    <w:p w14:paraId="57C11363">
      <w:pPr>
        <w:pStyle w:val="52"/>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表1</w:t>
      </w:r>
      <w:r>
        <w:rPr>
          <w:rFonts w:hint="eastAsia"/>
          <w:color w:val="000000" w:themeColor="text1"/>
          <w:sz w:val="24"/>
          <w:szCs w:val="24"/>
          <w14:textFill>
            <w14:solidFill>
              <w14:schemeClr w14:val="tx1"/>
            </w14:solidFill>
          </w14:textFill>
        </w:rPr>
        <w:t>.3-5</w:t>
      </w:r>
      <w:r>
        <w:rPr>
          <w:color w:val="000000" w:themeColor="text1"/>
          <w:sz w:val="24"/>
          <w:szCs w:val="24"/>
          <w14:textFill>
            <w14:solidFill>
              <w14:schemeClr w14:val="tx1"/>
            </w14:solidFill>
          </w14:textFill>
        </w:rPr>
        <w:t xml:space="preserve"> 行业及生产工艺</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5386"/>
        <w:gridCol w:w="2034"/>
      </w:tblGrid>
      <w:tr w14:paraId="2DF6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6" w:type="dxa"/>
            <w:vAlign w:val="center"/>
          </w:tcPr>
          <w:p w14:paraId="25119947">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行业</w:t>
            </w:r>
          </w:p>
        </w:tc>
        <w:tc>
          <w:tcPr>
            <w:tcW w:w="5386" w:type="dxa"/>
            <w:vAlign w:val="center"/>
          </w:tcPr>
          <w:p w14:paraId="2F320A3E">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评估依据</w:t>
            </w:r>
          </w:p>
        </w:tc>
        <w:tc>
          <w:tcPr>
            <w:tcW w:w="2034" w:type="dxa"/>
            <w:vAlign w:val="center"/>
          </w:tcPr>
          <w:p w14:paraId="2DBFB102">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分值</w:t>
            </w:r>
          </w:p>
        </w:tc>
      </w:tr>
      <w:tr w14:paraId="63F0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6" w:type="dxa"/>
            <w:vMerge w:val="restart"/>
            <w:vAlign w:val="center"/>
          </w:tcPr>
          <w:p w14:paraId="62D9120D">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石化、化工、医药、轻工、化纤、有色冶炼等</w:t>
            </w:r>
          </w:p>
        </w:tc>
        <w:tc>
          <w:tcPr>
            <w:tcW w:w="5386" w:type="dxa"/>
            <w:vAlign w:val="center"/>
          </w:tcPr>
          <w:p w14:paraId="3C9679A1">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2034" w:type="dxa"/>
            <w:vAlign w:val="center"/>
          </w:tcPr>
          <w:p w14:paraId="73C4E775">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10/套</w:t>
            </w:r>
          </w:p>
        </w:tc>
      </w:tr>
      <w:tr w14:paraId="7AE2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6" w:type="dxa"/>
            <w:vMerge w:val="continue"/>
            <w:vAlign w:val="center"/>
          </w:tcPr>
          <w:p w14:paraId="18F00B63">
            <w:pPr>
              <w:adjustRightInd w:val="0"/>
              <w:snapToGrid w:val="0"/>
              <w:jc w:val="center"/>
              <w:rPr>
                <w:bCs/>
                <w:color w:val="000000" w:themeColor="text1"/>
                <w:szCs w:val="21"/>
                <w14:textFill>
                  <w14:solidFill>
                    <w14:schemeClr w14:val="tx1"/>
                  </w14:solidFill>
                </w14:textFill>
              </w:rPr>
            </w:pPr>
          </w:p>
        </w:tc>
        <w:tc>
          <w:tcPr>
            <w:tcW w:w="5386" w:type="dxa"/>
            <w:vAlign w:val="center"/>
          </w:tcPr>
          <w:p w14:paraId="4BF182D2">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无机酸制酸工艺、焦化工艺</w:t>
            </w:r>
          </w:p>
        </w:tc>
        <w:tc>
          <w:tcPr>
            <w:tcW w:w="2034" w:type="dxa"/>
            <w:vAlign w:val="center"/>
          </w:tcPr>
          <w:p w14:paraId="0B34926D">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5/套</w:t>
            </w:r>
          </w:p>
        </w:tc>
      </w:tr>
      <w:tr w14:paraId="232C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6" w:type="dxa"/>
            <w:vMerge w:val="continue"/>
            <w:vAlign w:val="center"/>
          </w:tcPr>
          <w:p w14:paraId="4E44AE99">
            <w:pPr>
              <w:adjustRightInd w:val="0"/>
              <w:snapToGrid w:val="0"/>
              <w:jc w:val="center"/>
              <w:rPr>
                <w:bCs/>
                <w:color w:val="000000" w:themeColor="text1"/>
                <w:szCs w:val="21"/>
                <w14:textFill>
                  <w14:solidFill>
                    <w14:schemeClr w14:val="tx1"/>
                  </w14:solidFill>
                </w14:textFill>
              </w:rPr>
            </w:pPr>
          </w:p>
        </w:tc>
        <w:tc>
          <w:tcPr>
            <w:tcW w:w="5386" w:type="dxa"/>
            <w:vAlign w:val="center"/>
          </w:tcPr>
          <w:p w14:paraId="3BEB115A">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其他高温或高压，且涉及危险物质的工艺过程</w:t>
            </w:r>
            <w:r>
              <w:rPr>
                <w:bCs/>
                <w:color w:val="000000" w:themeColor="text1"/>
                <w:szCs w:val="21"/>
                <w:vertAlign w:val="superscript"/>
                <w14:textFill>
                  <w14:solidFill>
                    <w14:schemeClr w14:val="tx1"/>
                  </w14:solidFill>
                </w14:textFill>
              </w:rPr>
              <w:t>a</w:t>
            </w:r>
            <w:r>
              <w:rPr>
                <w:bCs/>
                <w:color w:val="000000" w:themeColor="text1"/>
                <w:szCs w:val="21"/>
                <w14:textFill>
                  <w14:solidFill>
                    <w14:schemeClr w14:val="tx1"/>
                  </w14:solidFill>
                </w14:textFill>
              </w:rPr>
              <w:t>、危险物质贮存罐区</w:t>
            </w:r>
          </w:p>
        </w:tc>
        <w:tc>
          <w:tcPr>
            <w:tcW w:w="2034" w:type="dxa"/>
            <w:vAlign w:val="center"/>
          </w:tcPr>
          <w:p w14:paraId="44058781">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5/套（罐区）</w:t>
            </w:r>
          </w:p>
        </w:tc>
      </w:tr>
      <w:tr w14:paraId="105C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6" w:type="dxa"/>
            <w:vAlign w:val="center"/>
          </w:tcPr>
          <w:p w14:paraId="750FE4A4">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管道、港口/码头等</w:t>
            </w:r>
          </w:p>
        </w:tc>
        <w:tc>
          <w:tcPr>
            <w:tcW w:w="5386" w:type="dxa"/>
            <w:vAlign w:val="center"/>
          </w:tcPr>
          <w:p w14:paraId="7DC37005">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涉及危险物质管道运输项目，港口/码头等</w:t>
            </w:r>
          </w:p>
        </w:tc>
        <w:tc>
          <w:tcPr>
            <w:tcW w:w="2034" w:type="dxa"/>
            <w:vAlign w:val="center"/>
          </w:tcPr>
          <w:p w14:paraId="4DAD672D">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w:t>
            </w:r>
          </w:p>
        </w:tc>
      </w:tr>
      <w:tr w14:paraId="3514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6" w:type="dxa"/>
            <w:vAlign w:val="center"/>
          </w:tcPr>
          <w:p w14:paraId="36FE4293">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石油天然气</w:t>
            </w:r>
          </w:p>
        </w:tc>
        <w:tc>
          <w:tcPr>
            <w:tcW w:w="5386" w:type="dxa"/>
            <w:vAlign w:val="center"/>
          </w:tcPr>
          <w:p w14:paraId="534CC5A9">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石油、天然气、页岩气开采（含净化），气库（不含加气站的气库），油库（不含加气站的油库）、油气管线</w:t>
            </w:r>
            <w:r>
              <w:rPr>
                <w:bCs/>
                <w:color w:val="000000" w:themeColor="text1"/>
                <w:szCs w:val="21"/>
                <w:vertAlign w:val="superscript"/>
                <w14:textFill>
                  <w14:solidFill>
                    <w14:schemeClr w14:val="tx1"/>
                  </w14:solidFill>
                </w14:textFill>
              </w:rPr>
              <w:t>b</w:t>
            </w:r>
            <w:r>
              <w:rPr>
                <w:bCs/>
                <w:color w:val="000000" w:themeColor="text1"/>
                <w:szCs w:val="21"/>
                <w14:textFill>
                  <w14:solidFill>
                    <w14:schemeClr w14:val="tx1"/>
                  </w14:solidFill>
                </w14:textFill>
              </w:rPr>
              <w:t>（不含城镇燃气管线）</w:t>
            </w:r>
          </w:p>
        </w:tc>
        <w:tc>
          <w:tcPr>
            <w:tcW w:w="2034" w:type="dxa"/>
            <w:vAlign w:val="center"/>
          </w:tcPr>
          <w:p w14:paraId="4347D071">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w:t>
            </w:r>
          </w:p>
        </w:tc>
      </w:tr>
      <w:tr w14:paraId="1854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6" w:type="dxa"/>
            <w:vAlign w:val="center"/>
          </w:tcPr>
          <w:p w14:paraId="6835B96A">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其他</w:t>
            </w:r>
          </w:p>
        </w:tc>
        <w:tc>
          <w:tcPr>
            <w:tcW w:w="5386" w:type="dxa"/>
            <w:vAlign w:val="center"/>
          </w:tcPr>
          <w:p w14:paraId="7016F40B">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涉及危险物质使用、贮存的项目</w:t>
            </w:r>
          </w:p>
        </w:tc>
        <w:tc>
          <w:tcPr>
            <w:tcW w:w="2034" w:type="dxa"/>
            <w:vAlign w:val="center"/>
          </w:tcPr>
          <w:p w14:paraId="3B9D3059">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p>
        </w:tc>
      </w:tr>
      <w:tr w14:paraId="544E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46" w:type="dxa"/>
            <w:gridSpan w:val="3"/>
            <w:vAlign w:val="center"/>
          </w:tcPr>
          <w:p w14:paraId="02498162">
            <w:pPr>
              <w:adjustRightInd w:val="0"/>
              <w:snapToGrid w:val="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a高温指工艺温度≥300℃，高压指压力容器的设计压力（P）≥10.0Mpa;</w:t>
            </w:r>
          </w:p>
          <w:p w14:paraId="58F5446C">
            <w:pPr>
              <w:adjustRightInd w:val="0"/>
              <w:snapToGrid w:val="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b长输管道运输项目应按站场、管线分段进行评价。</w:t>
            </w:r>
          </w:p>
        </w:tc>
      </w:tr>
    </w:tbl>
    <w:p w14:paraId="5526B3FD">
      <w:pPr>
        <w:adjustRightInd w:val="0"/>
        <w:snapToGrid w:val="0"/>
        <w:ind w:firstLine="480" w:firstLineChars="200"/>
        <w:rPr>
          <w:color w:val="000000" w:themeColor="text1"/>
          <w:sz w:val="24"/>
          <w14:textFill>
            <w14:solidFill>
              <w14:schemeClr w14:val="tx1"/>
            </w14:solidFill>
          </w14:textFill>
        </w:rPr>
      </w:pPr>
      <w:bookmarkStart w:id="11" w:name="_Hlk151447009"/>
    </w:p>
    <w:p w14:paraId="6D92B53C">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本项目的危险</w:t>
      </w:r>
      <w:r>
        <w:rPr>
          <w:rFonts w:hint="eastAsia"/>
          <w:color w:val="000000" w:themeColor="text1"/>
          <w:sz w:val="24"/>
          <w14:textFill>
            <w14:solidFill>
              <w14:schemeClr w14:val="tx1"/>
            </w14:solidFill>
          </w14:textFill>
        </w:rPr>
        <w:t>物质</w:t>
      </w:r>
      <w:r>
        <w:rPr>
          <w:color w:val="000000" w:themeColor="text1"/>
          <w:sz w:val="24"/>
          <w14:textFill>
            <w14:solidFill>
              <w14:schemeClr w14:val="tx1"/>
            </w14:solidFill>
          </w14:textFill>
        </w:rPr>
        <w:t>为</w:t>
      </w:r>
      <w:r>
        <w:rPr>
          <w:rFonts w:hint="eastAsia"/>
          <w:color w:val="000000" w:themeColor="text1"/>
          <w:sz w:val="24"/>
          <w14:textFill>
            <w14:solidFill>
              <w14:schemeClr w14:val="tx1"/>
            </w14:solidFill>
          </w14:textFill>
        </w:rPr>
        <w:t>硫酸铵和废机油。</w:t>
      </w: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烘干工序烘干温度小于300℃，故本项目烘干工序不属于高温或高压，且涉及危险物质的工艺过程、危险物质贮存罐区。本项目仅涉及危险物质的使用及贮存。</w:t>
      </w:r>
    </w:p>
    <w:p w14:paraId="303FC00D">
      <w:pPr>
        <w:adjustRightInd w:val="0"/>
        <w:snapToGrid w:val="0"/>
        <w:spacing w:line="360" w:lineRule="auto"/>
        <w:ind w:firstLine="480" w:firstLineChars="200"/>
        <w:rPr>
          <w:color w:val="000000" w:themeColor="text1"/>
          <w:sz w:val="24"/>
          <w:highlight w:val="yellow"/>
          <w14:textFill>
            <w14:solidFill>
              <w14:schemeClr w14:val="tx1"/>
            </w14:solidFill>
          </w14:textFill>
        </w:rPr>
      </w:pPr>
      <w:r>
        <w:rPr>
          <w:color w:val="000000" w:themeColor="text1"/>
          <w:sz w:val="24"/>
          <w14:textFill>
            <w14:solidFill>
              <w14:schemeClr w14:val="tx1"/>
            </w14:solidFill>
          </w14:textFill>
        </w:rPr>
        <w:t>综上，本项目行业及生产工艺（M）值为</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，以M</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表示。</w:t>
      </w:r>
    </w:p>
    <w:bookmarkEnd w:id="11"/>
    <w:p w14:paraId="18B772F0">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（3）危险物质及工艺系统危险性（P）分级</w:t>
      </w:r>
    </w:p>
    <w:p w14:paraId="50C12E37">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根据危险物质与临界量比值（Q）和行业及生产工艺（M），按照表1-3确定危险物质及工艺系统危险性等级（P），分别以P（1）P（2）P（3）P4表示。</w:t>
      </w:r>
    </w:p>
    <w:p w14:paraId="1E16C355">
      <w:pPr>
        <w:pStyle w:val="52"/>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表1</w:t>
      </w:r>
      <w:r>
        <w:rPr>
          <w:rFonts w:hint="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6</w:t>
      </w:r>
      <w:r>
        <w:rPr>
          <w:color w:val="000000" w:themeColor="text1"/>
          <w:sz w:val="24"/>
          <w:szCs w:val="24"/>
          <w14:textFill>
            <w14:solidFill>
              <w14:schemeClr w14:val="tx1"/>
            </w14:solidFill>
          </w14:textFill>
        </w:rPr>
        <w:t xml:space="preserve">  危险物质及工艺系统危险性等级判断</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789"/>
        <w:gridCol w:w="1789"/>
        <w:gridCol w:w="1789"/>
        <w:gridCol w:w="1790"/>
      </w:tblGrid>
      <w:tr w14:paraId="6BC57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9" w:type="dxa"/>
            <w:vMerge w:val="restart"/>
            <w:vAlign w:val="center"/>
          </w:tcPr>
          <w:p w14:paraId="6A505510">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危险物质与临界量比值（Q）</w:t>
            </w:r>
          </w:p>
        </w:tc>
        <w:tc>
          <w:tcPr>
            <w:tcW w:w="7157" w:type="dxa"/>
            <w:gridSpan w:val="4"/>
            <w:vAlign w:val="center"/>
          </w:tcPr>
          <w:p w14:paraId="26DC4811">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行业及生产工艺（M）</w:t>
            </w:r>
          </w:p>
        </w:tc>
      </w:tr>
      <w:tr w14:paraId="4B68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9" w:type="dxa"/>
            <w:vMerge w:val="continue"/>
            <w:shd w:val="clear" w:color="auto" w:fill="auto"/>
            <w:vAlign w:val="center"/>
          </w:tcPr>
          <w:p w14:paraId="110C0D7D">
            <w:pPr>
              <w:adjustRightInd w:val="0"/>
              <w:snapToGrid w:val="0"/>
              <w:jc w:val="center"/>
              <w:rPr>
                <w:bCs/>
                <w:color w:val="000000" w:themeColor="text1"/>
                <w:szCs w:val="21"/>
                <w14:textFill>
                  <w14:solidFill>
                    <w14:schemeClr w14:val="tx1"/>
                  </w14:solidFill>
                </w14:textFill>
              </w:rPr>
            </w:pPr>
          </w:p>
        </w:tc>
        <w:tc>
          <w:tcPr>
            <w:tcW w:w="1789" w:type="dxa"/>
            <w:shd w:val="clear" w:color="auto" w:fill="auto"/>
            <w:vAlign w:val="center"/>
          </w:tcPr>
          <w:p w14:paraId="166E2198">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M1</w:t>
            </w:r>
          </w:p>
        </w:tc>
        <w:tc>
          <w:tcPr>
            <w:tcW w:w="1789" w:type="dxa"/>
            <w:shd w:val="clear" w:color="auto" w:fill="FFFFFF"/>
            <w:vAlign w:val="center"/>
          </w:tcPr>
          <w:p w14:paraId="1A0B8C01">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M2</w:t>
            </w:r>
          </w:p>
        </w:tc>
        <w:tc>
          <w:tcPr>
            <w:tcW w:w="1789" w:type="dxa"/>
            <w:shd w:val="clear" w:color="auto" w:fill="FFFFFF"/>
            <w:vAlign w:val="center"/>
          </w:tcPr>
          <w:p w14:paraId="4806B64A">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M3</w:t>
            </w:r>
          </w:p>
        </w:tc>
        <w:tc>
          <w:tcPr>
            <w:tcW w:w="1790" w:type="dxa"/>
            <w:vAlign w:val="center"/>
          </w:tcPr>
          <w:p w14:paraId="448C0A00">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M4</w:t>
            </w:r>
          </w:p>
        </w:tc>
      </w:tr>
      <w:tr w14:paraId="369CE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9" w:type="dxa"/>
            <w:vAlign w:val="center"/>
          </w:tcPr>
          <w:p w14:paraId="045DA205">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Q≥100</w:t>
            </w:r>
          </w:p>
        </w:tc>
        <w:tc>
          <w:tcPr>
            <w:tcW w:w="1789" w:type="dxa"/>
            <w:vAlign w:val="center"/>
          </w:tcPr>
          <w:p w14:paraId="171D5071">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P1</w:t>
            </w:r>
          </w:p>
        </w:tc>
        <w:tc>
          <w:tcPr>
            <w:tcW w:w="1789" w:type="dxa"/>
            <w:vAlign w:val="center"/>
          </w:tcPr>
          <w:p w14:paraId="5AA3C27C">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P1</w:t>
            </w:r>
          </w:p>
        </w:tc>
        <w:tc>
          <w:tcPr>
            <w:tcW w:w="1789" w:type="dxa"/>
            <w:vAlign w:val="center"/>
          </w:tcPr>
          <w:p w14:paraId="5768FB2B">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P2</w:t>
            </w:r>
          </w:p>
        </w:tc>
        <w:tc>
          <w:tcPr>
            <w:tcW w:w="1790" w:type="dxa"/>
            <w:vAlign w:val="center"/>
          </w:tcPr>
          <w:p w14:paraId="71787E94">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P3</w:t>
            </w:r>
          </w:p>
        </w:tc>
      </w:tr>
      <w:tr w14:paraId="6061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9" w:type="dxa"/>
            <w:shd w:val="clear" w:color="auto" w:fill="auto"/>
            <w:vAlign w:val="center"/>
          </w:tcPr>
          <w:p w14:paraId="3D009196">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10≤Q＜100</w:t>
            </w:r>
          </w:p>
        </w:tc>
        <w:tc>
          <w:tcPr>
            <w:tcW w:w="1789" w:type="dxa"/>
            <w:shd w:val="clear" w:color="auto" w:fill="auto"/>
            <w:vAlign w:val="center"/>
          </w:tcPr>
          <w:p w14:paraId="59DDEAED">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P1</w:t>
            </w:r>
          </w:p>
        </w:tc>
        <w:tc>
          <w:tcPr>
            <w:tcW w:w="1789" w:type="dxa"/>
            <w:shd w:val="clear" w:color="auto" w:fill="FFFFFF"/>
            <w:vAlign w:val="center"/>
          </w:tcPr>
          <w:p w14:paraId="318A7238">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P2</w:t>
            </w:r>
          </w:p>
        </w:tc>
        <w:tc>
          <w:tcPr>
            <w:tcW w:w="1789" w:type="dxa"/>
            <w:shd w:val="clear" w:color="auto" w:fill="FFFFFF"/>
            <w:vAlign w:val="center"/>
          </w:tcPr>
          <w:p w14:paraId="274CAC4E">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P3</w:t>
            </w:r>
          </w:p>
        </w:tc>
        <w:tc>
          <w:tcPr>
            <w:tcW w:w="1790" w:type="dxa"/>
            <w:vAlign w:val="center"/>
          </w:tcPr>
          <w:p w14:paraId="437AFDA2">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P4</w:t>
            </w:r>
          </w:p>
        </w:tc>
      </w:tr>
      <w:tr w14:paraId="26BAF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9" w:type="dxa"/>
            <w:vAlign w:val="center"/>
          </w:tcPr>
          <w:p w14:paraId="063377AD">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1≤Q＜10</w:t>
            </w:r>
          </w:p>
        </w:tc>
        <w:tc>
          <w:tcPr>
            <w:tcW w:w="1789" w:type="dxa"/>
            <w:vAlign w:val="center"/>
          </w:tcPr>
          <w:p w14:paraId="7F82CB5C">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P2</w:t>
            </w:r>
          </w:p>
        </w:tc>
        <w:tc>
          <w:tcPr>
            <w:tcW w:w="1789" w:type="dxa"/>
            <w:vAlign w:val="center"/>
          </w:tcPr>
          <w:p w14:paraId="57C08C5F">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P3</w:t>
            </w:r>
          </w:p>
        </w:tc>
        <w:tc>
          <w:tcPr>
            <w:tcW w:w="1789" w:type="dxa"/>
            <w:vAlign w:val="center"/>
          </w:tcPr>
          <w:p w14:paraId="10D5ED69">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P4</w:t>
            </w:r>
          </w:p>
        </w:tc>
        <w:tc>
          <w:tcPr>
            <w:tcW w:w="1790" w:type="dxa"/>
            <w:vAlign w:val="center"/>
          </w:tcPr>
          <w:p w14:paraId="7A0180E6">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P4</w:t>
            </w:r>
          </w:p>
        </w:tc>
      </w:tr>
    </w:tbl>
    <w:p w14:paraId="2BF72C72">
      <w:pPr>
        <w:adjustRightInd w:val="0"/>
        <w:snapToGrid w:val="0"/>
        <w:ind w:firstLine="480" w:firstLineChars="200"/>
        <w:rPr>
          <w:bCs/>
          <w:color w:val="000000" w:themeColor="text1"/>
          <w:sz w:val="24"/>
          <w14:textFill>
            <w14:solidFill>
              <w14:schemeClr w14:val="tx1"/>
            </w14:solidFill>
          </w14:textFill>
        </w:rPr>
      </w:pPr>
    </w:p>
    <w:p w14:paraId="353979FA">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根据表1</w:t>
      </w:r>
      <w:r>
        <w:rPr>
          <w:rFonts w:hint="eastAsia"/>
          <w:bCs/>
          <w:color w:val="000000" w:themeColor="text1"/>
          <w:sz w:val="24"/>
          <w14:textFill>
            <w14:solidFill>
              <w14:schemeClr w14:val="tx1"/>
            </w14:solidFill>
          </w14:textFill>
        </w:rPr>
        <w:t>.3-6</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项目Q=</w:t>
      </w:r>
      <w:r>
        <w:rPr>
          <w:rFonts w:hint="eastAsia"/>
          <w:bCs/>
          <w:color w:val="000000" w:themeColor="text1"/>
          <w:sz w:val="24"/>
          <w:u w:val="single"/>
          <w14:textFill>
            <w14:solidFill>
              <w14:schemeClr w14:val="tx1"/>
            </w14:solidFill>
          </w14:textFill>
        </w:rPr>
        <w:t>1</w:t>
      </w:r>
      <w:r>
        <w:rPr>
          <w:rFonts w:hint="eastAsia"/>
          <w:bCs/>
          <w:color w:val="000000" w:themeColor="text1"/>
          <w:sz w:val="24"/>
          <w:u w:val="single"/>
          <w:lang w:val="en-US" w:eastAsia="zh-CN"/>
          <w14:textFill>
            <w14:solidFill>
              <w14:schemeClr w14:val="tx1"/>
            </w14:solidFill>
          </w14:textFill>
        </w:rPr>
        <w:t>0</w:t>
      </w:r>
      <w:r>
        <w:rPr>
          <w:rFonts w:hint="eastAsia"/>
          <w:bCs/>
          <w:color w:val="000000" w:themeColor="text1"/>
          <w:sz w:val="24"/>
          <w:u w:val="single"/>
          <w14:textFill>
            <w14:solidFill>
              <w14:schemeClr w14:val="tx1"/>
            </w14:solidFill>
          </w14:textFill>
        </w:rPr>
        <w:t>00.</w:t>
      </w:r>
      <w:r>
        <w:rPr>
          <w:rFonts w:hint="eastAsia"/>
          <w:bCs/>
          <w:color w:val="000000" w:themeColor="text1"/>
          <w:sz w:val="24"/>
          <w:u w:val="single"/>
          <w:lang w:val="en-US" w:eastAsia="zh-CN"/>
          <w14:textFill>
            <w14:solidFill>
              <w14:schemeClr w14:val="tx1"/>
            </w14:solidFill>
          </w14:textFill>
        </w:rPr>
        <w:t>2</w:t>
      </w:r>
      <w:r>
        <w:rPr>
          <w:rFonts w:hint="eastAsia"/>
          <w:bCs/>
          <w:color w:val="000000" w:themeColor="text1"/>
          <w:sz w:val="24"/>
          <w:u w:val="single"/>
          <w14:textFill>
            <w14:solidFill>
              <w14:schemeClr w14:val="tx1"/>
            </w14:solidFill>
          </w14:textFill>
        </w:rPr>
        <w:t>0008</w:t>
      </w:r>
      <w:r>
        <w:rPr>
          <w:rFonts w:hint="eastAsia"/>
          <w:bCs/>
          <w:color w:val="000000" w:themeColor="text1"/>
          <w:sz w:val="24"/>
          <w14:textFill>
            <w14:solidFill>
              <w14:schemeClr w14:val="tx1"/>
            </w14:solidFill>
          </w14:textFill>
        </w:rPr>
        <w:t>，M值属于M4，</w:t>
      </w:r>
      <w:r>
        <w:rPr>
          <w:bCs/>
          <w:color w:val="000000" w:themeColor="text1"/>
          <w:sz w:val="24"/>
          <w14:textFill>
            <w14:solidFill>
              <w14:schemeClr w14:val="tx1"/>
            </w14:solidFill>
          </w14:textFill>
        </w:rPr>
        <w:t>项目危险物质及工艺系统危险性等级为P</w:t>
      </w:r>
      <w:r>
        <w:rPr>
          <w:rFonts w:hint="eastAsia"/>
          <w:bCs/>
          <w:color w:val="000000" w:themeColor="text1"/>
          <w:sz w:val="24"/>
          <w14:textFill>
            <w14:solidFill>
              <w14:schemeClr w14:val="tx1"/>
            </w14:solidFill>
          </w14:textFill>
        </w:rPr>
        <w:t>3</w:t>
      </w:r>
      <w:r>
        <w:rPr>
          <w:bCs/>
          <w:color w:val="000000" w:themeColor="text1"/>
          <w:sz w:val="24"/>
          <w14:textFill>
            <w14:solidFill>
              <w14:schemeClr w14:val="tx1"/>
            </w14:solidFill>
          </w14:textFill>
        </w:rPr>
        <w:t>。</w:t>
      </w:r>
    </w:p>
    <w:p w14:paraId="264CB9B1">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（4）环境敏感</w:t>
      </w:r>
      <w:r>
        <w:rPr>
          <w:rFonts w:hint="eastAsia"/>
          <w:color w:val="000000" w:themeColor="text1"/>
          <w:sz w:val="24"/>
          <w14:textFill>
            <w14:solidFill>
              <w14:schemeClr w14:val="tx1"/>
            </w14:solidFill>
          </w14:textFill>
        </w:rPr>
        <w:t>目标调查</w:t>
      </w:r>
    </w:p>
    <w:p w14:paraId="0E5B58CA">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根据《建设项目环境风险评价技术导则》（HJ 169-2018）相关要求，通过对评价范围内环境中可能受影响的环境敏感目标进行调查。</w:t>
      </w:r>
    </w:p>
    <w:p w14:paraId="6169EB03">
      <w:pPr>
        <w:spacing w:line="360" w:lineRule="auto"/>
        <w:ind w:firstLine="48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本项目评价范围内大气环境、地表水环境</w:t>
      </w:r>
      <w:r>
        <w:rPr>
          <w:rFonts w:hint="eastAsia"/>
          <w:color w:val="000000" w:themeColor="text1"/>
          <w:kern w:val="0"/>
          <w:sz w:val="24"/>
          <w14:textFill>
            <w14:solidFill>
              <w14:schemeClr w14:val="tx1"/>
            </w14:solidFill>
          </w14:textFill>
        </w:rPr>
        <w:t>、地下水环境</w:t>
      </w:r>
      <w:r>
        <w:rPr>
          <w:color w:val="000000" w:themeColor="text1"/>
          <w:kern w:val="0"/>
          <w:sz w:val="24"/>
          <w14:textFill>
            <w14:solidFill>
              <w14:schemeClr w14:val="tx1"/>
            </w14:solidFill>
          </w14:textFill>
        </w:rPr>
        <w:t>可能受影响的环境敏感特征详见下表及图</w:t>
      </w:r>
      <w:r>
        <w:rPr>
          <w:rFonts w:hint="eastAsia"/>
          <w:color w:val="000000" w:themeColor="text1"/>
          <w:kern w:val="0"/>
          <w:sz w:val="24"/>
          <w14:textFill>
            <w14:solidFill>
              <w14:schemeClr w14:val="tx1"/>
            </w14:solidFill>
          </w14:textFill>
        </w:rPr>
        <w:t>1-1</w:t>
      </w:r>
      <w:r>
        <w:rPr>
          <w:color w:val="000000" w:themeColor="text1"/>
          <w:kern w:val="0"/>
          <w:sz w:val="24"/>
          <w14:textFill>
            <w14:solidFill>
              <w14:schemeClr w14:val="tx1"/>
            </w14:solidFill>
          </w14:textFill>
        </w:rPr>
        <w:t>。</w:t>
      </w:r>
    </w:p>
    <w:p w14:paraId="473B0573">
      <w:pPr>
        <w:bidi w:val="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w:t>
      </w:r>
      <w:r>
        <w:rPr>
          <w:b/>
          <w:bCs/>
          <w:color w:val="000000" w:themeColor="text1"/>
          <w:sz w:val="24"/>
          <w:szCs w:val="24"/>
          <w14:textFill>
            <w14:solidFill>
              <w14:schemeClr w14:val="tx1"/>
            </w14:solidFill>
          </w14:textFill>
        </w:rPr>
        <w:t>1</w:t>
      </w:r>
      <w:r>
        <w:rPr>
          <w:rFonts w:hint="eastAsia"/>
          <w:b/>
          <w:bCs/>
          <w:color w:val="000000" w:themeColor="text1"/>
          <w:sz w:val="24"/>
          <w:szCs w:val="24"/>
          <w14:textFill>
            <w14:solidFill>
              <w14:schemeClr w14:val="tx1"/>
            </w14:solidFill>
          </w14:textFill>
        </w:rPr>
        <w:t>.3</w:t>
      </w:r>
      <w:r>
        <w:rPr>
          <w:b/>
          <w:bCs/>
          <w:color w:val="000000" w:themeColor="text1"/>
          <w:sz w:val="24"/>
          <w:szCs w:val="24"/>
          <w14:textFill>
            <w14:solidFill>
              <w14:schemeClr w14:val="tx1"/>
            </w14:solidFill>
          </w14:textFill>
        </w:rPr>
        <w:t>-</w:t>
      </w:r>
      <w:r>
        <w:rPr>
          <w:rFonts w:hint="eastAsia"/>
          <w:b/>
          <w:bCs/>
          <w:color w:val="000000" w:themeColor="text1"/>
          <w:sz w:val="24"/>
          <w:szCs w:val="24"/>
          <w14:textFill>
            <w14:solidFill>
              <w14:schemeClr w14:val="tx1"/>
            </w14:solidFill>
          </w14:textFill>
        </w:rPr>
        <w:t>7</w:t>
      </w:r>
      <w:r>
        <w:rPr>
          <w:b/>
          <w:bCs/>
          <w:color w:val="000000" w:themeColor="text1"/>
          <w:sz w:val="24"/>
          <w:szCs w:val="24"/>
          <w14:textFill>
            <w14:solidFill>
              <w14:schemeClr w14:val="tx1"/>
            </w14:solidFill>
          </w14:textFill>
        </w:rPr>
        <w:t xml:space="preserve">  建设项目环境敏感特征表</w:t>
      </w:r>
    </w:p>
    <w:tbl>
      <w:tblPr>
        <w:tblStyle w:val="24"/>
        <w:tblW w:w="505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660"/>
        <w:gridCol w:w="791"/>
        <w:gridCol w:w="1763"/>
        <w:gridCol w:w="1350"/>
        <w:gridCol w:w="1354"/>
        <w:gridCol w:w="1621"/>
        <w:gridCol w:w="1308"/>
      </w:tblGrid>
      <w:tr w14:paraId="41B89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restart"/>
            <w:vAlign w:val="center"/>
          </w:tcPr>
          <w:p w14:paraId="3029CF41">
            <w:pPr>
              <w:pStyle w:val="5"/>
              <w:spacing w:line="240" w:lineRule="exact"/>
              <w:jc w:val="center"/>
              <w:rPr>
                <w:color w:val="000000" w:themeColor="text1"/>
                <w:w w:val="99"/>
                <w:sz w:val="21"/>
                <w:szCs w:val="21"/>
                <w14:textFill>
                  <w14:solidFill>
                    <w14:schemeClr w14:val="tx1"/>
                  </w14:solidFill>
                </w14:textFill>
              </w:rPr>
            </w:pPr>
            <w:bookmarkStart w:id="12" w:name="_Toc3379728"/>
            <w:r>
              <w:rPr>
                <w:rFonts w:hint="eastAsia"/>
                <w:color w:val="000000" w:themeColor="text1"/>
                <w:sz w:val="21"/>
                <w:szCs w:val="21"/>
                <w14:textFill>
                  <w14:solidFill>
                    <w14:schemeClr w14:val="tx1"/>
                  </w14:solidFill>
                </w14:textFill>
              </w:rPr>
              <w:t>大气</w:t>
            </w:r>
          </w:p>
        </w:tc>
        <w:tc>
          <w:tcPr>
            <w:tcW w:w="4626" w:type="pct"/>
            <w:gridSpan w:val="6"/>
            <w:vAlign w:val="center"/>
          </w:tcPr>
          <w:p w14:paraId="66E6C9D2">
            <w:pPr>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环境敏感特征</w:t>
            </w:r>
          </w:p>
        </w:tc>
      </w:tr>
      <w:tr w14:paraId="56D51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67B80A7D">
            <w:pPr>
              <w:spacing w:line="240" w:lineRule="exact"/>
              <w:jc w:val="center"/>
              <w:rPr>
                <w:color w:val="000000" w:themeColor="text1"/>
                <w:w w:val="99"/>
                <w:szCs w:val="21"/>
                <w14:textFill>
                  <w14:solidFill>
                    <w14:schemeClr w14:val="tx1"/>
                  </w14:solidFill>
                </w14:textFill>
              </w:rPr>
            </w:pPr>
          </w:p>
        </w:tc>
        <w:tc>
          <w:tcPr>
            <w:tcW w:w="4626" w:type="pct"/>
            <w:gridSpan w:val="6"/>
            <w:vAlign w:val="center"/>
          </w:tcPr>
          <w:p w14:paraId="7ADC9B66">
            <w:pPr>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风险源周边5km范围内</w:t>
            </w:r>
          </w:p>
        </w:tc>
      </w:tr>
      <w:tr w14:paraId="48E7A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14B83118">
            <w:pPr>
              <w:spacing w:line="240" w:lineRule="exact"/>
              <w:jc w:val="center"/>
              <w:rPr>
                <w:color w:val="000000" w:themeColor="text1"/>
                <w:w w:val="99"/>
                <w:szCs w:val="21"/>
                <w14:textFill>
                  <w14:solidFill>
                    <w14:schemeClr w14:val="tx1"/>
                  </w14:solidFill>
                </w14:textFill>
              </w:rPr>
            </w:pPr>
          </w:p>
        </w:tc>
        <w:tc>
          <w:tcPr>
            <w:tcW w:w="447" w:type="pct"/>
            <w:vMerge w:val="restart"/>
            <w:vAlign w:val="center"/>
          </w:tcPr>
          <w:p w14:paraId="1EF4BDE1">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996" w:type="pct"/>
            <w:vMerge w:val="restart"/>
            <w:vAlign w:val="center"/>
          </w:tcPr>
          <w:p w14:paraId="4097FA38">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敏感目标名称</w:t>
            </w:r>
          </w:p>
        </w:tc>
        <w:tc>
          <w:tcPr>
            <w:tcW w:w="3182" w:type="pct"/>
            <w:gridSpan w:val="4"/>
            <w:vAlign w:val="center"/>
          </w:tcPr>
          <w:p w14:paraId="0B611F7C">
            <w:pPr>
              <w:pStyle w:val="5"/>
              <w:spacing w:line="2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相对风险源位置</w:t>
            </w:r>
          </w:p>
        </w:tc>
      </w:tr>
      <w:tr w14:paraId="1E64C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2F99B44A">
            <w:pPr>
              <w:spacing w:line="240" w:lineRule="exact"/>
              <w:jc w:val="center"/>
              <w:rPr>
                <w:color w:val="000000" w:themeColor="text1"/>
                <w:w w:val="99"/>
                <w:szCs w:val="21"/>
                <w14:textFill>
                  <w14:solidFill>
                    <w14:schemeClr w14:val="tx1"/>
                  </w14:solidFill>
                </w14:textFill>
              </w:rPr>
            </w:pPr>
          </w:p>
        </w:tc>
        <w:tc>
          <w:tcPr>
            <w:tcW w:w="447" w:type="pct"/>
            <w:vMerge w:val="continue"/>
            <w:vAlign w:val="center"/>
          </w:tcPr>
          <w:p w14:paraId="0BF716BE">
            <w:pPr>
              <w:spacing w:line="240" w:lineRule="exact"/>
              <w:jc w:val="center"/>
              <w:rPr>
                <w:color w:val="000000" w:themeColor="text1"/>
                <w:szCs w:val="21"/>
                <w14:textFill>
                  <w14:solidFill>
                    <w14:schemeClr w14:val="tx1"/>
                  </w14:solidFill>
                </w14:textFill>
              </w:rPr>
            </w:pPr>
          </w:p>
        </w:tc>
        <w:tc>
          <w:tcPr>
            <w:tcW w:w="996" w:type="pct"/>
            <w:vMerge w:val="continue"/>
            <w:vAlign w:val="center"/>
          </w:tcPr>
          <w:p w14:paraId="04434E6C">
            <w:pPr>
              <w:spacing w:line="240" w:lineRule="exact"/>
              <w:jc w:val="center"/>
              <w:rPr>
                <w:color w:val="000000" w:themeColor="text1"/>
                <w:szCs w:val="21"/>
                <w14:textFill>
                  <w14:solidFill>
                    <w14:schemeClr w14:val="tx1"/>
                  </w14:solidFill>
                </w14:textFill>
              </w:rPr>
            </w:pPr>
          </w:p>
        </w:tc>
        <w:tc>
          <w:tcPr>
            <w:tcW w:w="763" w:type="pct"/>
            <w:vAlign w:val="center"/>
          </w:tcPr>
          <w:p w14:paraId="127DA0FC">
            <w:pPr>
              <w:pStyle w:val="5"/>
              <w:spacing w:line="2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方位</w:t>
            </w:r>
          </w:p>
        </w:tc>
        <w:tc>
          <w:tcPr>
            <w:tcW w:w="765" w:type="pct"/>
            <w:vAlign w:val="center"/>
          </w:tcPr>
          <w:p w14:paraId="46F0EA39">
            <w:pPr>
              <w:pStyle w:val="5"/>
              <w:spacing w:line="2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距离（</w:t>
            </w:r>
            <w:r>
              <w:rPr>
                <w:rFonts w:hint="eastAsia"/>
                <w:color w:val="000000" w:themeColor="text1"/>
                <w:sz w:val="21"/>
                <w:szCs w:val="21"/>
                <w14:textFill>
                  <w14:solidFill>
                    <w14:schemeClr w14:val="tx1"/>
                  </w14:solidFill>
                </w14:textFill>
              </w:rPr>
              <w:t>k</w:t>
            </w:r>
            <w:r>
              <w:rPr>
                <w:color w:val="000000" w:themeColor="text1"/>
                <w:sz w:val="21"/>
                <w:szCs w:val="21"/>
                <w14:textFill>
                  <w14:solidFill>
                    <w14:schemeClr w14:val="tx1"/>
                  </w14:solidFill>
                </w14:textFill>
              </w:rPr>
              <w:t>m）</w:t>
            </w:r>
          </w:p>
        </w:tc>
        <w:tc>
          <w:tcPr>
            <w:tcW w:w="914" w:type="pct"/>
            <w:vAlign w:val="center"/>
          </w:tcPr>
          <w:p w14:paraId="2FE986AB">
            <w:pPr>
              <w:pStyle w:val="5"/>
              <w:spacing w:line="2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属性</w:t>
            </w:r>
          </w:p>
        </w:tc>
        <w:tc>
          <w:tcPr>
            <w:tcW w:w="739" w:type="pct"/>
            <w:vAlign w:val="center"/>
          </w:tcPr>
          <w:p w14:paraId="05F7F975">
            <w:pPr>
              <w:pStyle w:val="5"/>
              <w:spacing w:line="24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人口数</w:t>
            </w:r>
          </w:p>
        </w:tc>
      </w:tr>
      <w:tr w14:paraId="38266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56E594FF">
            <w:pPr>
              <w:spacing w:line="240" w:lineRule="exact"/>
              <w:jc w:val="center"/>
              <w:rPr>
                <w:color w:val="000000" w:themeColor="text1"/>
                <w:szCs w:val="21"/>
                <w14:textFill>
                  <w14:solidFill>
                    <w14:schemeClr w14:val="tx1"/>
                  </w14:solidFill>
                </w14:textFill>
              </w:rPr>
            </w:pPr>
          </w:p>
        </w:tc>
        <w:tc>
          <w:tcPr>
            <w:tcW w:w="447" w:type="pct"/>
            <w:vAlign w:val="center"/>
          </w:tcPr>
          <w:p w14:paraId="08C5FD62">
            <w:pPr>
              <w:adjustRightInd w:val="0"/>
              <w:snapToGrid w:val="0"/>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96" w:type="pct"/>
            <w:vAlign w:val="center"/>
          </w:tcPr>
          <w:p w14:paraId="36C6F0D9">
            <w:pPr>
              <w:adjustRightInd w:val="0"/>
              <w:snapToGrid w:val="0"/>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硫磺山村</w:t>
            </w:r>
          </w:p>
        </w:tc>
        <w:tc>
          <w:tcPr>
            <w:tcW w:w="763" w:type="pct"/>
            <w:vAlign w:val="center"/>
          </w:tcPr>
          <w:p w14:paraId="2D2EF495">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东北</w:t>
            </w:r>
          </w:p>
        </w:tc>
        <w:tc>
          <w:tcPr>
            <w:tcW w:w="765" w:type="pct"/>
            <w:vAlign w:val="center"/>
          </w:tcPr>
          <w:p w14:paraId="1643EC3C">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w:t>
            </w:r>
          </w:p>
        </w:tc>
        <w:tc>
          <w:tcPr>
            <w:tcW w:w="914" w:type="pct"/>
            <w:vAlign w:val="center"/>
          </w:tcPr>
          <w:p w14:paraId="106DFED6">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居民区</w:t>
            </w:r>
          </w:p>
        </w:tc>
        <w:tc>
          <w:tcPr>
            <w:tcW w:w="739" w:type="pct"/>
            <w:vAlign w:val="center"/>
          </w:tcPr>
          <w:p w14:paraId="1713D36C">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1250</w:t>
            </w:r>
          </w:p>
        </w:tc>
      </w:tr>
      <w:tr w14:paraId="5A727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3D0C7C5F">
            <w:pPr>
              <w:spacing w:line="240" w:lineRule="exact"/>
              <w:jc w:val="center"/>
              <w:rPr>
                <w:color w:val="000000" w:themeColor="text1"/>
                <w:szCs w:val="21"/>
                <w14:textFill>
                  <w14:solidFill>
                    <w14:schemeClr w14:val="tx1"/>
                  </w14:solidFill>
                </w14:textFill>
              </w:rPr>
            </w:pPr>
          </w:p>
        </w:tc>
        <w:tc>
          <w:tcPr>
            <w:tcW w:w="447" w:type="pct"/>
            <w:vAlign w:val="center"/>
          </w:tcPr>
          <w:p w14:paraId="5C1E6F36">
            <w:pPr>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996" w:type="pct"/>
            <w:vAlign w:val="center"/>
          </w:tcPr>
          <w:p w14:paraId="17DE5352">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大坑村</w:t>
            </w:r>
          </w:p>
        </w:tc>
        <w:tc>
          <w:tcPr>
            <w:tcW w:w="763" w:type="pct"/>
            <w:vAlign w:val="center"/>
          </w:tcPr>
          <w:p w14:paraId="58338609">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东北</w:t>
            </w:r>
          </w:p>
        </w:tc>
        <w:tc>
          <w:tcPr>
            <w:tcW w:w="765" w:type="pct"/>
            <w:vAlign w:val="center"/>
          </w:tcPr>
          <w:p w14:paraId="06EDEB93">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3.4</w:t>
            </w:r>
          </w:p>
        </w:tc>
        <w:tc>
          <w:tcPr>
            <w:tcW w:w="914" w:type="pct"/>
            <w:vAlign w:val="center"/>
          </w:tcPr>
          <w:p w14:paraId="795FDE2C">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居民区</w:t>
            </w:r>
          </w:p>
        </w:tc>
        <w:tc>
          <w:tcPr>
            <w:tcW w:w="739" w:type="pct"/>
            <w:vAlign w:val="center"/>
          </w:tcPr>
          <w:p w14:paraId="68DF6252">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560</w:t>
            </w:r>
          </w:p>
        </w:tc>
      </w:tr>
      <w:tr w14:paraId="54EA3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554A48F3">
            <w:pPr>
              <w:spacing w:line="240" w:lineRule="exact"/>
              <w:jc w:val="center"/>
              <w:rPr>
                <w:color w:val="000000" w:themeColor="text1"/>
                <w:szCs w:val="21"/>
                <w14:textFill>
                  <w14:solidFill>
                    <w14:schemeClr w14:val="tx1"/>
                  </w14:solidFill>
                </w14:textFill>
              </w:rPr>
            </w:pPr>
          </w:p>
        </w:tc>
        <w:tc>
          <w:tcPr>
            <w:tcW w:w="447" w:type="pct"/>
            <w:vAlign w:val="center"/>
          </w:tcPr>
          <w:p w14:paraId="2FDCB2F5">
            <w:pPr>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996" w:type="pct"/>
            <w:vAlign w:val="center"/>
          </w:tcPr>
          <w:p w14:paraId="3E534254">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鸡墩头村</w:t>
            </w:r>
          </w:p>
        </w:tc>
        <w:tc>
          <w:tcPr>
            <w:tcW w:w="763" w:type="pct"/>
            <w:vAlign w:val="center"/>
          </w:tcPr>
          <w:p w14:paraId="497EDCDF">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w:t>
            </w:r>
          </w:p>
        </w:tc>
        <w:tc>
          <w:tcPr>
            <w:tcW w:w="765" w:type="pct"/>
            <w:vAlign w:val="center"/>
          </w:tcPr>
          <w:p w14:paraId="5811ED9D">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w:t>
            </w:r>
          </w:p>
        </w:tc>
        <w:tc>
          <w:tcPr>
            <w:tcW w:w="914" w:type="pct"/>
            <w:vAlign w:val="center"/>
          </w:tcPr>
          <w:p w14:paraId="6DE56C99">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居民区</w:t>
            </w:r>
          </w:p>
        </w:tc>
        <w:tc>
          <w:tcPr>
            <w:tcW w:w="739" w:type="pct"/>
            <w:vAlign w:val="center"/>
          </w:tcPr>
          <w:p w14:paraId="10735F89">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1360</w:t>
            </w:r>
          </w:p>
        </w:tc>
      </w:tr>
      <w:tr w14:paraId="2FE68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59C2FC10">
            <w:pPr>
              <w:spacing w:line="240" w:lineRule="exact"/>
              <w:jc w:val="center"/>
              <w:rPr>
                <w:color w:val="000000" w:themeColor="text1"/>
                <w:szCs w:val="21"/>
                <w14:textFill>
                  <w14:solidFill>
                    <w14:schemeClr w14:val="tx1"/>
                  </w14:solidFill>
                </w14:textFill>
              </w:rPr>
            </w:pPr>
          </w:p>
        </w:tc>
        <w:tc>
          <w:tcPr>
            <w:tcW w:w="447" w:type="pct"/>
            <w:vAlign w:val="center"/>
          </w:tcPr>
          <w:p w14:paraId="36697D85">
            <w:pPr>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996" w:type="pct"/>
            <w:vAlign w:val="center"/>
          </w:tcPr>
          <w:p w14:paraId="773FF88E">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过山路村</w:t>
            </w:r>
          </w:p>
        </w:tc>
        <w:tc>
          <w:tcPr>
            <w:tcW w:w="763" w:type="pct"/>
            <w:vAlign w:val="center"/>
          </w:tcPr>
          <w:p w14:paraId="57958DAD">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西北</w:t>
            </w:r>
          </w:p>
        </w:tc>
        <w:tc>
          <w:tcPr>
            <w:tcW w:w="765" w:type="pct"/>
            <w:vAlign w:val="center"/>
          </w:tcPr>
          <w:p w14:paraId="00B60EC3">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w:t>
            </w:r>
          </w:p>
        </w:tc>
        <w:tc>
          <w:tcPr>
            <w:tcW w:w="914" w:type="pct"/>
            <w:vAlign w:val="center"/>
          </w:tcPr>
          <w:p w14:paraId="7072E9D7">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居民区</w:t>
            </w:r>
          </w:p>
        </w:tc>
        <w:tc>
          <w:tcPr>
            <w:tcW w:w="739" w:type="pct"/>
            <w:vAlign w:val="center"/>
          </w:tcPr>
          <w:p w14:paraId="758B02F2">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350</w:t>
            </w:r>
          </w:p>
        </w:tc>
      </w:tr>
      <w:tr w14:paraId="0682E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260D5216">
            <w:pPr>
              <w:spacing w:line="240" w:lineRule="exact"/>
              <w:jc w:val="center"/>
              <w:rPr>
                <w:color w:val="000000" w:themeColor="text1"/>
                <w:szCs w:val="21"/>
                <w14:textFill>
                  <w14:solidFill>
                    <w14:schemeClr w14:val="tx1"/>
                  </w14:solidFill>
                </w14:textFill>
              </w:rPr>
            </w:pPr>
          </w:p>
        </w:tc>
        <w:tc>
          <w:tcPr>
            <w:tcW w:w="447" w:type="pct"/>
            <w:vAlign w:val="center"/>
          </w:tcPr>
          <w:p w14:paraId="41BEE211">
            <w:pPr>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996" w:type="pct"/>
            <w:vAlign w:val="center"/>
          </w:tcPr>
          <w:p w14:paraId="156A3579">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淡水湾村</w:t>
            </w:r>
          </w:p>
        </w:tc>
        <w:tc>
          <w:tcPr>
            <w:tcW w:w="763" w:type="pct"/>
            <w:vAlign w:val="center"/>
          </w:tcPr>
          <w:p w14:paraId="307473CB">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西北</w:t>
            </w:r>
          </w:p>
        </w:tc>
        <w:tc>
          <w:tcPr>
            <w:tcW w:w="765" w:type="pct"/>
            <w:vAlign w:val="center"/>
          </w:tcPr>
          <w:p w14:paraId="7A4B9FF4">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w:t>
            </w:r>
          </w:p>
        </w:tc>
        <w:tc>
          <w:tcPr>
            <w:tcW w:w="914" w:type="pct"/>
            <w:vAlign w:val="center"/>
          </w:tcPr>
          <w:p w14:paraId="2B323289">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居民区</w:t>
            </w:r>
          </w:p>
        </w:tc>
        <w:tc>
          <w:tcPr>
            <w:tcW w:w="739" w:type="pct"/>
            <w:vAlign w:val="center"/>
          </w:tcPr>
          <w:p w14:paraId="2AF4B447">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260</w:t>
            </w:r>
          </w:p>
        </w:tc>
      </w:tr>
      <w:tr w14:paraId="365E13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13279E18">
            <w:pPr>
              <w:spacing w:line="240" w:lineRule="exact"/>
              <w:jc w:val="center"/>
              <w:rPr>
                <w:color w:val="000000" w:themeColor="text1"/>
                <w:szCs w:val="21"/>
                <w14:textFill>
                  <w14:solidFill>
                    <w14:schemeClr w14:val="tx1"/>
                  </w14:solidFill>
                </w14:textFill>
              </w:rPr>
            </w:pPr>
          </w:p>
        </w:tc>
        <w:tc>
          <w:tcPr>
            <w:tcW w:w="447" w:type="pct"/>
            <w:vAlign w:val="center"/>
          </w:tcPr>
          <w:p w14:paraId="1A96B449">
            <w:pPr>
              <w:adjustRightInd w:val="0"/>
              <w:snapToGrid w:val="0"/>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996" w:type="pct"/>
            <w:vAlign w:val="center"/>
          </w:tcPr>
          <w:p w14:paraId="1DCFD880">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钦州港开发区第七小学</w:t>
            </w:r>
          </w:p>
        </w:tc>
        <w:tc>
          <w:tcPr>
            <w:tcW w:w="763" w:type="pct"/>
            <w:vAlign w:val="center"/>
          </w:tcPr>
          <w:p w14:paraId="35DC216D">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东北</w:t>
            </w:r>
          </w:p>
        </w:tc>
        <w:tc>
          <w:tcPr>
            <w:tcW w:w="765" w:type="pct"/>
            <w:vAlign w:val="center"/>
          </w:tcPr>
          <w:p w14:paraId="2F370D2A">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w:t>
            </w:r>
          </w:p>
        </w:tc>
        <w:tc>
          <w:tcPr>
            <w:tcW w:w="914" w:type="pct"/>
            <w:vAlign w:val="center"/>
          </w:tcPr>
          <w:p w14:paraId="31CFB30E">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学校</w:t>
            </w:r>
          </w:p>
        </w:tc>
        <w:tc>
          <w:tcPr>
            <w:tcW w:w="739" w:type="pct"/>
            <w:vAlign w:val="center"/>
          </w:tcPr>
          <w:p w14:paraId="7621B80D">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116</w:t>
            </w:r>
          </w:p>
        </w:tc>
      </w:tr>
      <w:tr w14:paraId="3FF06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2955A2A6">
            <w:pPr>
              <w:spacing w:line="240" w:lineRule="exact"/>
              <w:jc w:val="center"/>
              <w:rPr>
                <w:color w:val="000000" w:themeColor="text1"/>
                <w:szCs w:val="21"/>
                <w14:textFill>
                  <w14:solidFill>
                    <w14:schemeClr w14:val="tx1"/>
                  </w14:solidFill>
                </w14:textFill>
              </w:rPr>
            </w:pPr>
          </w:p>
        </w:tc>
        <w:tc>
          <w:tcPr>
            <w:tcW w:w="447" w:type="pct"/>
            <w:vAlign w:val="center"/>
          </w:tcPr>
          <w:p w14:paraId="40234E9A">
            <w:pPr>
              <w:adjustRightInd w:val="0"/>
              <w:snapToGrid w:val="0"/>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996" w:type="pct"/>
            <w:vAlign w:val="center"/>
          </w:tcPr>
          <w:p w14:paraId="23465BF1">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钦州港第五小学</w:t>
            </w:r>
          </w:p>
        </w:tc>
        <w:tc>
          <w:tcPr>
            <w:tcW w:w="763" w:type="pct"/>
            <w:vAlign w:val="center"/>
          </w:tcPr>
          <w:p w14:paraId="55849BEA">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东北</w:t>
            </w:r>
          </w:p>
        </w:tc>
        <w:tc>
          <w:tcPr>
            <w:tcW w:w="765" w:type="pct"/>
            <w:vAlign w:val="center"/>
          </w:tcPr>
          <w:p w14:paraId="1CA7A840">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w:t>
            </w:r>
          </w:p>
        </w:tc>
        <w:tc>
          <w:tcPr>
            <w:tcW w:w="914" w:type="pct"/>
            <w:vAlign w:val="center"/>
          </w:tcPr>
          <w:p w14:paraId="6537BFAA">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学校</w:t>
            </w:r>
          </w:p>
        </w:tc>
        <w:tc>
          <w:tcPr>
            <w:tcW w:w="739" w:type="pct"/>
            <w:vAlign w:val="center"/>
          </w:tcPr>
          <w:p w14:paraId="3D53AF43">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2947</w:t>
            </w:r>
          </w:p>
        </w:tc>
      </w:tr>
      <w:tr w14:paraId="716CA6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3AC35F8D">
            <w:pPr>
              <w:spacing w:line="240" w:lineRule="exact"/>
              <w:jc w:val="center"/>
              <w:rPr>
                <w:color w:val="000000" w:themeColor="text1"/>
                <w:szCs w:val="21"/>
                <w14:textFill>
                  <w14:solidFill>
                    <w14:schemeClr w14:val="tx1"/>
                  </w14:solidFill>
                </w14:textFill>
              </w:rPr>
            </w:pPr>
          </w:p>
        </w:tc>
        <w:tc>
          <w:tcPr>
            <w:tcW w:w="447" w:type="pct"/>
            <w:vAlign w:val="center"/>
          </w:tcPr>
          <w:p w14:paraId="0B77EC86">
            <w:pPr>
              <w:adjustRightInd w:val="0"/>
              <w:snapToGrid w:val="0"/>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996" w:type="pct"/>
            <w:vAlign w:val="center"/>
          </w:tcPr>
          <w:p w14:paraId="52336FF5">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东港区第一幼儿园</w:t>
            </w:r>
          </w:p>
        </w:tc>
        <w:tc>
          <w:tcPr>
            <w:tcW w:w="763" w:type="pct"/>
            <w:vAlign w:val="center"/>
          </w:tcPr>
          <w:p w14:paraId="19443D82">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w:t>
            </w:r>
          </w:p>
        </w:tc>
        <w:tc>
          <w:tcPr>
            <w:tcW w:w="765" w:type="pct"/>
            <w:vAlign w:val="center"/>
          </w:tcPr>
          <w:p w14:paraId="19342C94">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4.6</w:t>
            </w:r>
          </w:p>
        </w:tc>
        <w:tc>
          <w:tcPr>
            <w:tcW w:w="914" w:type="pct"/>
            <w:vAlign w:val="center"/>
          </w:tcPr>
          <w:p w14:paraId="564A446E">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学校</w:t>
            </w:r>
          </w:p>
        </w:tc>
        <w:tc>
          <w:tcPr>
            <w:tcW w:w="739" w:type="pct"/>
            <w:vAlign w:val="center"/>
          </w:tcPr>
          <w:p w14:paraId="58486C97">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w:t>
            </w:r>
          </w:p>
        </w:tc>
      </w:tr>
      <w:tr w14:paraId="1B322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65761CA7">
            <w:pPr>
              <w:spacing w:line="240" w:lineRule="exact"/>
              <w:jc w:val="center"/>
              <w:rPr>
                <w:color w:val="000000" w:themeColor="text1"/>
                <w:szCs w:val="21"/>
                <w14:textFill>
                  <w14:solidFill>
                    <w14:schemeClr w14:val="tx1"/>
                  </w14:solidFill>
                </w14:textFill>
              </w:rPr>
            </w:pPr>
          </w:p>
        </w:tc>
        <w:tc>
          <w:tcPr>
            <w:tcW w:w="447" w:type="pct"/>
            <w:vAlign w:val="center"/>
          </w:tcPr>
          <w:p w14:paraId="14365987">
            <w:pPr>
              <w:adjustRightInd w:val="0"/>
              <w:snapToGrid w:val="0"/>
              <w:spacing w:line="240" w:lineRule="exact"/>
              <w:jc w:val="center"/>
              <w:rPr>
                <w:rFonts w:hint="eastAsia"/>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9</w:t>
            </w:r>
          </w:p>
        </w:tc>
        <w:tc>
          <w:tcPr>
            <w:tcW w:w="996" w:type="pct"/>
            <w:vAlign w:val="center"/>
          </w:tcPr>
          <w:p w14:paraId="7852A1B8">
            <w:pPr>
              <w:spacing w:line="240" w:lineRule="exact"/>
              <w:jc w:val="center"/>
              <w:rPr>
                <w:rFonts w:hint="default"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保税港区</w:t>
            </w:r>
          </w:p>
        </w:tc>
        <w:tc>
          <w:tcPr>
            <w:tcW w:w="763" w:type="pct"/>
            <w:vAlign w:val="center"/>
          </w:tcPr>
          <w:p w14:paraId="05CB9C2D">
            <w:pPr>
              <w:spacing w:line="240" w:lineRule="exact"/>
              <w:jc w:val="center"/>
              <w:rPr>
                <w:rFonts w:hint="eastAsia"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周边</w:t>
            </w:r>
          </w:p>
        </w:tc>
        <w:tc>
          <w:tcPr>
            <w:tcW w:w="765" w:type="pct"/>
            <w:vAlign w:val="center"/>
          </w:tcPr>
          <w:p w14:paraId="341867E4">
            <w:pPr>
              <w:spacing w:line="240" w:lineRule="exact"/>
              <w:jc w:val="center"/>
              <w:rPr>
                <w:rFonts w:hint="eastAsia"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w:t>
            </w:r>
          </w:p>
        </w:tc>
        <w:tc>
          <w:tcPr>
            <w:tcW w:w="914" w:type="pct"/>
            <w:vAlign w:val="center"/>
          </w:tcPr>
          <w:p w14:paraId="1EE1B9DB">
            <w:pPr>
              <w:spacing w:line="240" w:lineRule="exact"/>
              <w:jc w:val="center"/>
              <w:rPr>
                <w:rFonts w:hint="default"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工业园区</w:t>
            </w:r>
          </w:p>
        </w:tc>
        <w:tc>
          <w:tcPr>
            <w:tcW w:w="739" w:type="pct"/>
            <w:vAlign w:val="center"/>
          </w:tcPr>
          <w:p w14:paraId="242C78BA">
            <w:pPr>
              <w:spacing w:line="240" w:lineRule="exact"/>
              <w:jc w:val="center"/>
              <w:rPr>
                <w:rFonts w:hint="default"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6550</w:t>
            </w:r>
          </w:p>
        </w:tc>
      </w:tr>
      <w:tr w14:paraId="0F106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26519815">
            <w:pPr>
              <w:spacing w:line="240" w:lineRule="exact"/>
              <w:jc w:val="center"/>
              <w:rPr>
                <w:color w:val="000000" w:themeColor="text1"/>
                <w:szCs w:val="21"/>
                <w14:textFill>
                  <w14:solidFill>
                    <w14:schemeClr w14:val="tx1"/>
                  </w14:solidFill>
                </w14:textFill>
              </w:rPr>
            </w:pPr>
          </w:p>
        </w:tc>
        <w:tc>
          <w:tcPr>
            <w:tcW w:w="447" w:type="pct"/>
            <w:vAlign w:val="center"/>
          </w:tcPr>
          <w:p w14:paraId="658A6C4A">
            <w:pPr>
              <w:adjustRightInd w:val="0"/>
              <w:snapToGrid w:val="0"/>
              <w:spacing w:line="240" w:lineRule="exact"/>
              <w:jc w:val="center"/>
              <w:rPr>
                <w:color w:val="000000" w:themeColor="text1"/>
                <w:szCs w:val="21"/>
                <w:lang w:bidi="ar"/>
                <w14:textFill>
                  <w14:solidFill>
                    <w14:schemeClr w14:val="tx1"/>
                  </w14:solidFill>
                </w14:textFill>
              </w:rPr>
            </w:pPr>
            <w:r>
              <w:rPr>
                <w:rFonts w:hint="eastAsia"/>
                <w:color w:val="000000" w:themeColor="text1"/>
                <w:szCs w:val="21"/>
                <w14:textFill>
                  <w14:solidFill>
                    <w14:schemeClr w14:val="tx1"/>
                  </w14:solidFill>
                </w14:textFill>
              </w:rPr>
              <w:t>10</w:t>
            </w:r>
          </w:p>
        </w:tc>
        <w:tc>
          <w:tcPr>
            <w:tcW w:w="996" w:type="pct"/>
            <w:vAlign w:val="center"/>
          </w:tcPr>
          <w:p w14:paraId="00C01862">
            <w:pPr>
              <w:spacing w:line="240" w:lineRule="exact"/>
              <w:jc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鹿耳环江红树林</w:t>
            </w:r>
          </w:p>
        </w:tc>
        <w:tc>
          <w:tcPr>
            <w:tcW w:w="763" w:type="pct"/>
            <w:vAlign w:val="center"/>
          </w:tcPr>
          <w:p w14:paraId="243D2169">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东北</w:t>
            </w:r>
          </w:p>
        </w:tc>
        <w:tc>
          <w:tcPr>
            <w:tcW w:w="765" w:type="pct"/>
            <w:vAlign w:val="center"/>
          </w:tcPr>
          <w:p w14:paraId="2D8A8135">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w:t>
            </w:r>
          </w:p>
        </w:tc>
        <w:tc>
          <w:tcPr>
            <w:tcW w:w="914" w:type="pct"/>
            <w:vAlign w:val="center"/>
          </w:tcPr>
          <w:p w14:paraId="7D4DCA31">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自然保护区</w:t>
            </w:r>
          </w:p>
        </w:tc>
        <w:tc>
          <w:tcPr>
            <w:tcW w:w="739" w:type="pct"/>
            <w:vAlign w:val="center"/>
          </w:tcPr>
          <w:p w14:paraId="09F5C54F">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066F94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5F69D0AB">
            <w:pPr>
              <w:spacing w:line="240" w:lineRule="exact"/>
              <w:jc w:val="center"/>
              <w:rPr>
                <w:color w:val="000000" w:themeColor="text1"/>
                <w:szCs w:val="21"/>
                <w14:textFill>
                  <w14:solidFill>
                    <w14:schemeClr w14:val="tx1"/>
                  </w14:solidFill>
                </w14:textFill>
              </w:rPr>
            </w:pPr>
          </w:p>
        </w:tc>
        <w:tc>
          <w:tcPr>
            <w:tcW w:w="447" w:type="pct"/>
            <w:vAlign w:val="center"/>
          </w:tcPr>
          <w:p w14:paraId="052237E8">
            <w:pPr>
              <w:adjustRightInd w:val="0"/>
              <w:snapToGrid w:val="0"/>
              <w:spacing w:line="24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w:t>
            </w:r>
          </w:p>
        </w:tc>
        <w:tc>
          <w:tcPr>
            <w:tcW w:w="996" w:type="pct"/>
            <w:vAlign w:val="center"/>
          </w:tcPr>
          <w:p w14:paraId="29DD16CB">
            <w:pPr>
              <w:spacing w:line="240" w:lineRule="exact"/>
              <w:jc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麻兰岛旅游度假区</w:t>
            </w:r>
          </w:p>
        </w:tc>
        <w:tc>
          <w:tcPr>
            <w:tcW w:w="763" w:type="pct"/>
            <w:vAlign w:val="center"/>
          </w:tcPr>
          <w:p w14:paraId="715F53B1">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p>
        </w:tc>
        <w:tc>
          <w:tcPr>
            <w:tcW w:w="765" w:type="pct"/>
            <w:vAlign w:val="center"/>
          </w:tcPr>
          <w:p w14:paraId="62361CCF">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w:t>
            </w:r>
          </w:p>
        </w:tc>
        <w:tc>
          <w:tcPr>
            <w:tcW w:w="914" w:type="pct"/>
            <w:vAlign w:val="center"/>
          </w:tcPr>
          <w:p w14:paraId="3A4EE157">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自然保护区</w:t>
            </w:r>
          </w:p>
        </w:tc>
        <w:tc>
          <w:tcPr>
            <w:tcW w:w="739" w:type="pct"/>
            <w:vAlign w:val="center"/>
          </w:tcPr>
          <w:p w14:paraId="62DBDFE2">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739CB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5ED8E495">
            <w:pPr>
              <w:spacing w:line="240" w:lineRule="exact"/>
              <w:jc w:val="center"/>
              <w:rPr>
                <w:color w:val="000000" w:themeColor="text1"/>
                <w:szCs w:val="21"/>
                <w14:textFill>
                  <w14:solidFill>
                    <w14:schemeClr w14:val="tx1"/>
                  </w14:solidFill>
                </w14:textFill>
              </w:rPr>
            </w:pPr>
          </w:p>
        </w:tc>
        <w:tc>
          <w:tcPr>
            <w:tcW w:w="3887" w:type="pct"/>
            <w:gridSpan w:val="5"/>
            <w:vAlign w:val="center"/>
          </w:tcPr>
          <w:p w14:paraId="064930F7">
            <w:pPr>
              <w:spacing w:line="240" w:lineRule="exact"/>
              <w:jc w:val="center"/>
              <w:rPr>
                <w:color w:val="000000" w:themeColor="text1"/>
                <w:spacing w:val="-2"/>
                <w:szCs w:val="21"/>
                <w14:textFill>
                  <w14:solidFill>
                    <w14:schemeClr w14:val="tx1"/>
                  </w14:solidFill>
                </w14:textFill>
              </w:rPr>
            </w:pPr>
            <w:r>
              <w:rPr>
                <w:color w:val="000000" w:themeColor="text1"/>
                <w:spacing w:val="-2"/>
                <w:szCs w:val="21"/>
                <w14:textFill>
                  <w14:solidFill>
                    <w14:schemeClr w14:val="tx1"/>
                  </w14:solidFill>
                </w14:textFill>
              </w:rPr>
              <w:t>厂址周边500m范围内敏感点人口数小计</w:t>
            </w:r>
          </w:p>
        </w:tc>
        <w:tc>
          <w:tcPr>
            <w:tcW w:w="739" w:type="pct"/>
            <w:vAlign w:val="center"/>
          </w:tcPr>
          <w:p w14:paraId="36F1351F">
            <w:pPr>
              <w:spacing w:line="240" w:lineRule="exact"/>
              <w:jc w:val="center"/>
              <w:rPr>
                <w:rFonts w:hint="default"/>
                <w:color w:val="000000" w:themeColor="text1"/>
                <w:spacing w:val="-2"/>
                <w:szCs w:val="21"/>
                <w:lang w:val="en-US"/>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450</w:t>
            </w:r>
          </w:p>
        </w:tc>
      </w:tr>
      <w:tr w14:paraId="7961A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61FE289C">
            <w:pPr>
              <w:spacing w:line="240" w:lineRule="exact"/>
              <w:jc w:val="center"/>
              <w:rPr>
                <w:color w:val="000000" w:themeColor="text1"/>
                <w:szCs w:val="21"/>
                <w14:textFill>
                  <w14:solidFill>
                    <w14:schemeClr w14:val="tx1"/>
                  </w14:solidFill>
                </w14:textFill>
              </w:rPr>
            </w:pPr>
          </w:p>
        </w:tc>
        <w:tc>
          <w:tcPr>
            <w:tcW w:w="3887" w:type="pct"/>
            <w:gridSpan w:val="5"/>
            <w:vAlign w:val="center"/>
          </w:tcPr>
          <w:p w14:paraId="2C13DF37">
            <w:pPr>
              <w:spacing w:line="240" w:lineRule="exact"/>
              <w:jc w:val="center"/>
              <w:rPr>
                <w:color w:val="000000" w:themeColor="text1"/>
                <w:spacing w:val="-2"/>
                <w:szCs w:val="21"/>
                <w14:textFill>
                  <w14:solidFill>
                    <w14:schemeClr w14:val="tx1"/>
                  </w14:solidFill>
                </w14:textFill>
              </w:rPr>
            </w:pPr>
            <w:r>
              <w:rPr>
                <w:color w:val="000000" w:themeColor="text1"/>
                <w:spacing w:val="-2"/>
                <w:szCs w:val="21"/>
                <w14:textFill>
                  <w14:solidFill>
                    <w14:schemeClr w14:val="tx1"/>
                  </w14:solidFill>
                </w14:textFill>
              </w:rPr>
              <w:t>厂址周边5km范围内敏感点人口数小计</w:t>
            </w:r>
          </w:p>
        </w:tc>
        <w:tc>
          <w:tcPr>
            <w:tcW w:w="739" w:type="pct"/>
            <w:vAlign w:val="center"/>
          </w:tcPr>
          <w:p w14:paraId="0255A9C5">
            <w:pPr>
              <w:spacing w:line="240" w:lineRule="exact"/>
              <w:jc w:val="center"/>
              <w:rPr>
                <w:rFonts w:hint="default" w:eastAsia="宋体"/>
                <w:color w:val="000000" w:themeColor="text1"/>
                <w:spacing w:val="-2"/>
                <w:szCs w:val="21"/>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13513</w:t>
            </w:r>
          </w:p>
        </w:tc>
      </w:tr>
      <w:tr w14:paraId="3C4E6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31D409CB">
            <w:pPr>
              <w:spacing w:line="240" w:lineRule="exact"/>
              <w:jc w:val="center"/>
              <w:rPr>
                <w:color w:val="000000" w:themeColor="text1"/>
                <w:szCs w:val="21"/>
                <w14:textFill>
                  <w14:solidFill>
                    <w14:schemeClr w14:val="tx1"/>
                  </w14:solidFill>
                </w14:textFill>
              </w:rPr>
            </w:pPr>
          </w:p>
        </w:tc>
        <w:tc>
          <w:tcPr>
            <w:tcW w:w="3887" w:type="pct"/>
            <w:gridSpan w:val="5"/>
            <w:vAlign w:val="center"/>
          </w:tcPr>
          <w:p w14:paraId="776F7093">
            <w:pPr>
              <w:spacing w:line="240" w:lineRule="exact"/>
              <w:jc w:val="center"/>
              <w:rPr>
                <w:color w:val="000000" w:themeColor="text1"/>
                <w:spacing w:val="-2"/>
                <w:szCs w:val="21"/>
                <w14:textFill>
                  <w14:solidFill>
                    <w14:schemeClr w14:val="tx1"/>
                  </w14:solidFill>
                </w14:textFill>
              </w:rPr>
            </w:pPr>
            <w:r>
              <w:rPr>
                <w:color w:val="000000" w:themeColor="text1"/>
                <w:spacing w:val="-2"/>
                <w:szCs w:val="21"/>
                <w14:textFill>
                  <w14:solidFill>
                    <w14:schemeClr w14:val="tx1"/>
                  </w14:solidFill>
                </w14:textFill>
              </w:rPr>
              <w:t>大气环境敏感程度E值</w:t>
            </w:r>
          </w:p>
        </w:tc>
        <w:tc>
          <w:tcPr>
            <w:tcW w:w="739" w:type="pct"/>
            <w:vAlign w:val="center"/>
          </w:tcPr>
          <w:p w14:paraId="45BB42FE">
            <w:pPr>
              <w:spacing w:line="240" w:lineRule="exact"/>
              <w:jc w:val="center"/>
              <w:rPr>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E2</w:t>
            </w:r>
          </w:p>
        </w:tc>
      </w:tr>
      <w:tr w14:paraId="40B55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restart"/>
            <w:vAlign w:val="center"/>
          </w:tcPr>
          <w:p w14:paraId="4E6C5910">
            <w:pPr>
              <w:adjustRightInd w:val="0"/>
              <w:snapToGrid w:val="0"/>
              <w:spacing w:line="240" w:lineRule="exact"/>
              <w:jc w:val="center"/>
              <w:rPr>
                <w:color w:val="000000" w:themeColor="text1"/>
                <w:spacing w:val="-2"/>
                <w:szCs w:val="21"/>
                <w14:textFill>
                  <w14:solidFill>
                    <w14:schemeClr w14:val="tx1"/>
                  </w14:solidFill>
                </w14:textFill>
              </w:rPr>
            </w:pPr>
          </w:p>
          <w:p w14:paraId="79E7DD62">
            <w:pPr>
              <w:adjustRightInd w:val="0"/>
              <w:snapToGrid w:val="0"/>
              <w:spacing w:line="240" w:lineRule="exact"/>
              <w:jc w:val="center"/>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地表水</w:t>
            </w:r>
          </w:p>
        </w:tc>
        <w:tc>
          <w:tcPr>
            <w:tcW w:w="4626" w:type="pct"/>
            <w:gridSpan w:val="6"/>
            <w:vAlign w:val="center"/>
          </w:tcPr>
          <w:p w14:paraId="649C2E98">
            <w:pPr>
              <w:spacing w:line="240" w:lineRule="exact"/>
              <w:jc w:val="center"/>
              <w:rPr>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受纳水体</w:t>
            </w:r>
          </w:p>
        </w:tc>
      </w:tr>
      <w:tr w14:paraId="361E17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021086BE">
            <w:pPr>
              <w:spacing w:line="240" w:lineRule="exact"/>
              <w:jc w:val="center"/>
              <w:rPr>
                <w:color w:val="000000" w:themeColor="text1"/>
                <w:szCs w:val="21"/>
                <w14:textFill>
                  <w14:solidFill>
                    <w14:schemeClr w14:val="tx1"/>
                  </w14:solidFill>
                </w14:textFill>
              </w:rPr>
            </w:pPr>
          </w:p>
        </w:tc>
        <w:tc>
          <w:tcPr>
            <w:tcW w:w="447" w:type="pct"/>
            <w:vAlign w:val="center"/>
          </w:tcPr>
          <w:p w14:paraId="6BC153AE">
            <w:pPr>
              <w:spacing w:line="240" w:lineRule="exact"/>
              <w:jc w:val="center"/>
              <w:rPr>
                <w:color w:val="000000" w:themeColor="text1"/>
                <w:spacing w:val="-2"/>
                <w:szCs w:val="21"/>
                <w14:textFill>
                  <w14:solidFill>
                    <w14:schemeClr w14:val="tx1"/>
                  </w14:solidFill>
                </w14:textFill>
              </w:rPr>
            </w:pPr>
            <w:r>
              <w:rPr>
                <w:color w:val="000000" w:themeColor="text1"/>
                <w:spacing w:val="-2"/>
                <w:szCs w:val="21"/>
                <w14:textFill>
                  <w14:solidFill>
                    <w14:schemeClr w14:val="tx1"/>
                  </w14:solidFill>
                </w14:textFill>
              </w:rPr>
              <w:t>序号</w:t>
            </w:r>
          </w:p>
        </w:tc>
        <w:tc>
          <w:tcPr>
            <w:tcW w:w="996" w:type="pct"/>
            <w:vAlign w:val="center"/>
          </w:tcPr>
          <w:p w14:paraId="1910BA30">
            <w:pPr>
              <w:spacing w:line="240" w:lineRule="exact"/>
              <w:jc w:val="center"/>
              <w:rPr>
                <w:color w:val="000000" w:themeColor="text1"/>
                <w:spacing w:val="-2"/>
                <w:szCs w:val="21"/>
                <w14:textFill>
                  <w14:solidFill>
                    <w14:schemeClr w14:val="tx1"/>
                  </w14:solidFill>
                </w14:textFill>
              </w:rPr>
            </w:pPr>
            <w:r>
              <w:rPr>
                <w:color w:val="000000" w:themeColor="text1"/>
                <w:spacing w:val="-2"/>
                <w:szCs w:val="21"/>
                <w14:textFill>
                  <w14:solidFill>
                    <w14:schemeClr w14:val="tx1"/>
                  </w14:solidFill>
                </w14:textFill>
              </w:rPr>
              <w:t>受纳水体名称</w:t>
            </w:r>
          </w:p>
        </w:tc>
        <w:tc>
          <w:tcPr>
            <w:tcW w:w="1528" w:type="pct"/>
            <w:gridSpan w:val="2"/>
            <w:vAlign w:val="center"/>
          </w:tcPr>
          <w:p w14:paraId="425A3ECD">
            <w:pPr>
              <w:spacing w:line="240" w:lineRule="exact"/>
              <w:jc w:val="center"/>
              <w:rPr>
                <w:color w:val="000000" w:themeColor="text1"/>
                <w:spacing w:val="-2"/>
                <w:szCs w:val="21"/>
                <w14:textFill>
                  <w14:solidFill>
                    <w14:schemeClr w14:val="tx1"/>
                  </w14:solidFill>
                </w14:textFill>
              </w:rPr>
            </w:pPr>
            <w:r>
              <w:rPr>
                <w:color w:val="000000" w:themeColor="text1"/>
                <w:spacing w:val="-2"/>
                <w:szCs w:val="21"/>
                <w14:textFill>
                  <w14:solidFill>
                    <w14:schemeClr w14:val="tx1"/>
                  </w14:solidFill>
                </w14:textFill>
              </w:rPr>
              <w:t>排放点水域环境功能</w:t>
            </w:r>
          </w:p>
        </w:tc>
        <w:tc>
          <w:tcPr>
            <w:tcW w:w="1654" w:type="pct"/>
            <w:gridSpan w:val="2"/>
            <w:vAlign w:val="center"/>
          </w:tcPr>
          <w:p w14:paraId="162CB822">
            <w:pPr>
              <w:spacing w:line="240" w:lineRule="exact"/>
              <w:jc w:val="center"/>
              <w:rPr>
                <w:color w:val="000000" w:themeColor="text1"/>
                <w:spacing w:val="-2"/>
                <w:szCs w:val="21"/>
                <w14:textFill>
                  <w14:solidFill>
                    <w14:schemeClr w14:val="tx1"/>
                  </w14:solidFill>
                </w14:textFill>
              </w:rPr>
            </w:pPr>
            <w:r>
              <w:rPr>
                <w:color w:val="000000" w:themeColor="text1"/>
                <w:spacing w:val="-2"/>
                <w:szCs w:val="21"/>
                <w14:textFill>
                  <w14:solidFill>
                    <w14:schemeClr w14:val="tx1"/>
                  </w14:solidFill>
                </w14:textFill>
              </w:rPr>
              <w:t>24h内流经范围/km</w:t>
            </w:r>
          </w:p>
        </w:tc>
      </w:tr>
      <w:tr w14:paraId="33D1D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60A02301">
            <w:pPr>
              <w:spacing w:line="240" w:lineRule="exact"/>
              <w:jc w:val="center"/>
              <w:rPr>
                <w:color w:val="000000" w:themeColor="text1"/>
                <w:szCs w:val="21"/>
                <w14:textFill>
                  <w14:solidFill>
                    <w14:schemeClr w14:val="tx1"/>
                  </w14:solidFill>
                </w14:textFill>
              </w:rPr>
            </w:pPr>
          </w:p>
        </w:tc>
        <w:tc>
          <w:tcPr>
            <w:tcW w:w="447" w:type="pct"/>
            <w:vAlign w:val="center"/>
          </w:tcPr>
          <w:p w14:paraId="34467D08">
            <w:pPr>
              <w:spacing w:line="240" w:lineRule="exact"/>
              <w:jc w:val="center"/>
              <w:rPr>
                <w:color w:val="000000" w:themeColor="text1"/>
                <w:spacing w:val="-2"/>
                <w:szCs w:val="21"/>
                <w14:textFill>
                  <w14:solidFill>
                    <w14:schemeClr w14:val="tx1"/>
                  </w14:solidFill>
                </w14:textFill>
              </w:rPr>
            </w:pPr>
            <w:r>
              <w:rPr>
                <w:color w:val="000000" w:themeColor="text1"/>
                <w:spacing w:val="-2"/>
                <w:szCs w:val="21"/>
                <w14:textFill>
                  <w14:solidFill>
                    <w14:schemeClr w14:val="tx1"/>
                  </w14:solidFill>
                </w14:textFill>
              </w:rPr>
              <w:t>1</w:t>
            </w:r>
          </w:p>
        </w:tc>
        <w:tc>
          <w:tcPr>
            <w:tcW w:w="996" w:type="pct"/>
            <w:vAlign w:val="center"/>
          </w:tcPr>
          <w:p w14:paraId="7FB2B24C">
            <w:pPr>
              <w:spacing w:line="240" w:lineRule="exact"/>
              <w:jc w:val="center"/>
              <w:rPr>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钦州港大榄坪污水深海排放区（A2排放区）</w:t>
            </w:r>
          </w:p>
        </w:tc>
        <w:tc>
          <w:tcPr>
            <w:tcW w:w="1528" w:type="pct"/>
            <w:gridSpan w:val="2"/>
            <w:vAlign w:val="center"/>
          </w:tcPr>
          <w:p w14:paraId="7C39C86E">
            <w:pPr>
              <w:spacing w:line="240" w:lineRule="exact"/>
              <w:jc w:val="center"/>
              <w:rPr>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第四</w:t>
            </w:r>
            <w:r>
              <w:rPr>
                <w:color w:val="000000" w:themeColor="text1"/>
                <w:szCs w:val="21"/>
                <w14:textFill>
                  <w14:solidFill>
                    <w14:schemeClr w14:val="tx1"/>
                  </w14:solidFill>
                </w14:textFill>
              </w:rPr>
              <w:t>类</w:t>
            </w:r>
          </w:p>
        </w:tc>
        <w:tc>
          <w:tcPr>
            <w:tcW w:w="1654" w:type="pct"/>
            <w:gridSpan w:val="2"/>
            <w:vAlign w:val="center"/>
          </w:tcPr>
          <w:p w14:paraId="65A82C69">
            <w:pPr>
              <w:spacing w:line="240" w:lineRule="exact"/>
              <w:jc w:val="center"/>
              <w:rPr>
                <w:color w:val="000000" w:themeColor="text1"/>
                <w:spacing w:val="-2"/>
                <w:szCs w:val="21"/>
                <w14:textFill>
                  <w14:solidFill>
                    <w14:schemeClr w14:val="tx1"/>
                  </w14:solidFill>
                </w14:textFill>
              </w:rPr>
            </w:pPr>
            <w:r>
              <w:rPr>
                <w:rFonts w:hint="eastAsia" w:hAnsi="宋体"/>
                <w:color w:val="000000" w:themeColor="text1"/>
                <w:szCs w:val="21"/>
                <w14:textFill>
                  <w14:solidFill>
                    <w14:schemeClr w14:val="tx1"/>
                  </w14:solidFill>
                </w14:textFill>
              </w:rPr>
              <w:t>—</w:t>
            </w:r>
          </w:p>
        </w:tc>
      </w:tr>
      <w:tr w14:paraId="52803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21E6750E">
            <w:pPr>
              <w:spacing w:line="240" w:lineRule="exact"/>
              <w:jc w:val="center"/>
              <w:rPr>
                <w:color w:val="000000" w:themeColor="text1"/>
                <w:szCs w:val="21"/>
                <w14:textFill>
                  <w14:solidFill>
                    <w14:schemeClr w14:val="tx1"/>
                  </w14:solidFill>
                </w14:textFill>
              </w:rPr>
            </w:pPr>
          </w:p>
        </w:tc>
        <w:tc>
          <w:tcPr>
            <w:tcW w:w="4626" w:type="pct"/>
            <w:gridSpan w:val="6"/>
            <w:vAlign w:val="center"/>
          </w:tcPr>
          <w:p w14:paraId="3FCA25F4">
            <w:pPr>
              <w:spacing w:line="240" w:lineRule="exact"/>
              <w:jc w:val="center"/>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内陆水体排放点下游1</w:t>
            </w:r>
            <w:r>
              <w:rPr>
                <w:color w:val="000000" w:themeColor="text1"/>
                <w:spacing w:val="-2"/>
                <w:szCs w:val="21"/>
                <w14:textFill>
                  <w14:solidFill>
                    <w14:schemeClr w14:val="tx1"/>
                  </w14:solidFill>
                </w14:textFill>
              </w:rPr>
              <w:t>0km</w:t>
            </w:r>
            <w:r>
              <w:rPr>
                <w:rFonts w:hint="eastAsia"/>
                <w:color w:val="000000" w:themeColor="text1"/>
                <w:spacing w:val="-2"/>
                <w:szCs w:val="21"/>
                <w14:textFill>
                  <w14:solidFill>
                    <w14:schemeClr w14:val="tx1"/>
                  </w14:solidFill>
                </w14:textFill>
              </w:rPr>
              <w:t>（近岸海域一个潮周期最大水平距离两倍）范围内敏感目标</w:t>
            </w:r>
          </w:p>
        </w:tc>
      </w:tr>
      <w:tr w14:paraId="7C7CEB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60773446">
            <w:pPr>
              <w:spacing w:line="240" w:lineRule="exact"/>
              <w:jc w:val="center"/>
              <w:rPr>
                <w:color w:val="000000" w:themeColor="text1"/>
                <w:szCs w:val="21"/>
                <w14:textFill>
                  <w14:solidFill>
                    <w14:schemeClr w14:val="tx1"/>
                  </w14:solidFill>
                </w14:textFill>
              </w:rPr>
            </w:pPr>
          </w:p>
        </w:tc>
        <w:tc>
          <w:tcPr>
            <w:tcW w:w="447" w:type="pct"/>
            <w:vAlign w:val="center"/>
          </w:tcPr>
          <w:p w14:paraId="4EE6E68A">
            <w:pPr>
              <w:spacing w:line="240" w:lineRule="exact"/>
              <w:jc w:val="center"/>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序号</w:t>
            </w:r>
          </w:p>
        </w:tc>
        <w:tc>
          <w:tcPr>
            <w:tcW w:w="996" w:type="pct"/>
            <w:vAlign w:val="center"/>
          </w:tcPr>
          <w:p w14:paraId="1B188508">
            <w:pPr>
              <w:spacing w:line="240" w:lineRule="exact"/>
              <w:jc w:val="center"/>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敏感目标名称</w:t>
            </w:r>
          </w:p>
        </w:tc>
        <w:tc>
          <w:tcPr>
            <w:tcW w:w="1528" w:type="pct"/>
            <w:gridSpan w:val="2"/>
            <w:vAlign w:val="center"/>
          </w:tcPr>
          <w:p w14:paraId="75573AEE">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环境敏感特征</w:t>
            </w:r>
          </w:p>
        </w:tc>
        <w:tc>
          <w:tcPr>
            <w:tcW w:w="914" w:type="pct"/>
            <w:vAlign w:val="center"/>
          </w:tcPr>
          <w:p w14:paraId="686EAE57">
            <w:pPr>
              <w:spacing w:line="240" w:lineRule="exact"/>
              <w:jc w:val="center"/>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水质目标</w:t>
            </w:r>
          </w:p>
        </w:tc>
        <w:tc>
          <w:tcPr>
            <w:tcW w:w="739" w:type="pct"/>
            <w:vAlign w:val="center"/>
          </w:tcPr>
          <w:p w14:paraId="7D08B941">
            <w:pPr>
              <w:spacing w:line="240" w:lineRule="exact"/>
              <w:jc w:val="center"/>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与排放点距离/</w:t>
            </w:r>
            <w:r>
              <w:rPr>
                <w:color w:val="000000" w:themeColor="text1"/>
                <w:spacing w:val="-2"/>
                <w:szCs w:val="21"/>
                <w14:textFill>
                  <w14:solidFill>
                    <w14:schemeClr w14:val="tx1"/>
                  </w14:solidFill>
                </w14:textFill>
              </w:rPr>
              <w:t>m</w:t>
            </w:r>
          </w:p>
        </w:tc>
      </w:tr>
      <w:tr w14:paraId="120F7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7A8B964E">
            <w:pPr>
              <w:spacing w:line="240" w:lineRule="exact"/>
              <w:jc w:val="center"/>
              <w:rPr>
                <w:color w:val="000000" w:themeColor="text1"/>
                <w:szCs w:val="21"/>
                <w14:textFill>
                  <w14:solidFill>
                    <w14:schemeClr w14:val="tx1"/>
                  </w14:solidFill>
                </w14:textFill>
              </w:rPr>
            </w:pPr>
          </w:p>
        </w:tc>
        <w:tc>
          <w:tcPr>
            <w:tcW w:w="447" w:type="pct"/>
            <w:vAlign w:val="center"/>
          </w:tcPr>
          <w:p w14:paraId="341D51DB">
            <w:pPr>
              <w:spacing w:line="240" w:lineRule="exact"/>
              <w:jc w:val="center"/>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2</w:t>
            </w:r>
          </w:p>
        </w:tc>
        <w:tc>
          <w:tcPr>
            <w:tcW w:w="996" w:type="pct"/>
            <w:vAlign w:val="center"/>
          </w:tcPr>
          <w:p w14:paraId="10D9BF00">
            <w:pPr>
              <w:adjustRightInd w:val="0"/>
              <w:snapToGrid w:val="0"/>
              <w:spacing w:line="240" w:lineRule="exact"/>
              <w:ind w:left="-105" w:leftChars="-50" w:right="-105" w:rightChars="-50"/>
              <w:jc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茅尾海红树林自治</w:t>
            </w:r>
          </w:p>
          <w:p w14:paraId="49629946">
            <w:pPr>
              <w:adjustRightInd w:val="0"/>
              <w:snapToGrid w:val="0"/>
              <w:spacing w:line="240" w:lineRule="exact"/>
              <w:ind w:left="-105" w:leftChars="-50" w:right="-105" w:rightChars="-50"/>
              <w:jc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区级自然保护区</w:t>
            </w:r>
          </w:p>
          <w:p w14:paraId="723A7A29">
            <w:pPr>
              <w:adjustRightInd w:val="0"/>
              <w:snapToGrid w:val="0"/>
              <w:spacing w:line="240" w:lineRule="exact"/>
              <w:ind w:left="-105" w:leftChars="-50" w:right="-105" w:rightChars="-50"/>
              <w:jc w:val="center"/>
              <w:rPr>
                <w:rFonts w:hint="eastAsia" w:hAnsi="宋体"/>
                <w:color w:val="000000" w:themeColor="text1"/>
                <w:szCs w:val="21"/>
                <w14:textFill>
                  <w14:solidFill>
                    <w14:schemeClr w14:val="tx1"/>
                  </w14:solidFill>
                </w14:textFill>
              </w:rPr>
            </w:pPr>
            <w:r>
              <w:rPr>
                <w:rFonts w:hint="eastAsia"/>
                <w:color w:val="000000" w:themeColor="text1"/>
                <w:szCs w:val="21"/>
                <w:lang w:bidi="ar"/>
                <w14:textFill>
                  <w14:solidFill>
                    <w14:schemeClr w14:val="tx1"/>
                  </w14:solidFill>
                </w14:textFill>
              </w:rPr>
              <w:t>七十二泾片区</w:t>
            </w:r>
          </w:p>
        </w:tc>
        <w:tc>
          <w:tcPr>
            <w:tcW w:w="1528" w:type="pct"/>
            <w:gridSpan w:val="2"/>
            <w:vAlign w:val="center"/>
          </w:tcPr>
          <w:p w14:paraId="59B0284B">
            <w:pPr>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14" w:type="pct"/>
            <w:vAlign w:val="center"/>
          </w:tcPr>
          <w:p w14:paraId="0B227B48">
            <w:pPr>
              <w:adjustRightInd w:val="0"/>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I类</w:t>
            </w:r>
          </w:p>
        </w:tc>
        <w:tc>
          <w:tcPr>
            <w:tcW w:w="739" w:type="pct"/>
            <w:vAlign w:val="center"/>
          </w:tcPr>
          <w:p w14:paraId="11073FA2">
            <w:pPr>
              <w:spacing w:line="240" w:lineRule="exact"/>
              <w:jc w:val="center"/>
              <w:rPr>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7.5</w:t>
            </w:r>
          </w:p>
        </w:tc>
      </w:tr>
      <w:tr w14:paraId="002D7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4D4081F7">
            <w:pPr>
              <w:spacing w:line="240" w:lineRule="exact"/>
              <w:jc w:val="center"/>
              <w:rPr>
                <w:color w:val="000000" w:themeColor="text1"/>
                <w:szCs w:val="21"/>
                <w14:textFill>
                  <w14:solidFill>
                    <w14:schemeClr w14:val="tx1"/>
                  </w14:solidFill>
                </w14:textFill>
              </w:rPr>
            </w:pPr>
          </w:p>
        </w:tc>
        <w:tc>
          <w:tcPr>
            <w:tcW w:w="3887" w:type="pct"/>
            <w:gridSpan w:val="5"/>
            <w:vAlign w:val="center"/>
          </w:tcPr>
          <w:p w14:paraId="317C8D41">
            <w:pPr>
              <w:spacing w:line="240" w:lineRule="exact"/>
              <w:jc w:val="center"/>
              <w:rPr>
                <w:color w:val="000000" w:themeColor="text1"/>
                <w:spacing w:val="-2"/>
                <w:szCs w:val="21"/>
                <w14:textFill>
                  <w14:solidFill>
                    <w14:schemeClr w14:val="tx1"/>
                  </w14:solidFill>
                </w14:textFill>
              </w:rPr>
            </w:pPr>
            <w:r>
              <w:rPr>
                <w:color w:val="000000" w:themeColor="text1"/>
                <w:spacing w:val="-2"/>
                <w:szCs w:val="21"/>
                <w14:textFill>
                  <w14:solidFill>
                    <w14:schemeClr w14:val="tx1"/>
                  </w14:solidFill>
                </w14:textFill>
              </w:rPr>
              <w:t>地表水环境敏感程度E值</w:t>
            </w:r>
          </w:p>
        </w:tc>
        <w:tc>
          <w:tcPr>
            <w:tcW w:w="739" w:type="pct"/>
            <w:vAlign w:val="center"/>
          </w:tcPr>
          <w:p w14:paraId="580B2473">
            <w:pPr>
              <w:spacing w:line="240" w:lineRule="exact"/>
              <w:jc w:val="center"/>
              <w:rPr>
                <w:color w:val="000000" w:themeColor="text1"/>
                <w:spacing w:val="-2"/>
                <w:szCs w:val="21"/>
                <w14:textFill>
                  <w14:solidFill>
                    <w14:schemeClr w14:val="tx1"/>
                  </w14:solidFill>
                </w14:textFill>
              </w:rPr>
            </w:pPr>
            <w:r>
              <w:rPr>
                <w:color w:val="000000" w:themeColor="text1"/>
                <w:spacing w:val="-2"/>
                <w:szCs w:val="21"/>
                <w14:textFill>
                  <w14:solidFill>
                    <w14:schemeClr w14:val="tx1"/>
                  </w14:solidFill>
                </w14:textFill>
              </w:rPr>
              <w:t>E</w:t>
            </w:r>
            <w:r>
              <w:rPr>
                <w:rFonts w:hint="eastAsia"/>
                <w:color w:val="000000" w:themeColor="text1"/>
                <w:spacing w:val="-2"/>
                <w:szCs w:val="21"/>
                <w14:textFill>
                  <w14:solidFill>
                    <w14:schemeClr w14:val="tx1"/>
                  </w14:solidFill>
                </w14:textFill>
              </w:rPr>
              <w:t>2</w:t>
            </w:r>
          </w:p>
        </w:tc>
      </w:tr>
    </w:tbl>
    <w:p w14:paraId="03A7AFE7">
      <w:pPr>
        <w:rPr>
          <w:color w:val="000000" w:themeColor="text1"/>
          <w14:textFill>
            <w14:solidFill>
              <w14:schemeClr w14:val="tx1"/>
            </w14:solidFill>
          </w14:textFill>
        </w:rPr>
      </w:pPr>
    </w:p>
    <w:p w14:paraId="6F0FA06E">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000000" w:themeColor="text1"/>
          <w14:textFill>
            <w14:solidFill>
              <w14:schemeClr w14:val="tx1"/>
            </w14:solidFill>
          </w14:textFill>
        </w:rPr>
      </w:pPr>
      <w:r>
        <w:rPr>
          <w:rFonts w:hint="eastAsia"/>
          <w:b/>
          <w:bCs/>
          <w:color w:val="000000" w:themeColor="text1"/>
          <w:sz w:val="24"/>
          <w:szCs w:val="24"/>
          <w14:textFill>
            <w14:solidFill>
              <w14:schemeClr w14:val="tx1"/>
            </w14:solidFill>
          </w14:textFill>
        </w:rPr>
        <w:t>表</w:t>
      </w:r>
      <w:r>
        <w:rPr>
          <w:b/>
          <w:bCs/>
          <w:color w:val="000000" w:themeColor="text1"/>
          <w:sz w:val="24"/>
          <w:szCs w:val="24"/>
          <w14:textFill>
            <w14:solidFill>
              <w14:schemeClr w14:val="tx1"/>
            </w14:solidFill>
          </w14:textFill>
        </w:rPr>
        <w:t>1</w:t>
      </w:r>
      <w:r>
        <w:rPr>
          <w:rFonts w:hint="eastAsia"/>
          <w:b/>
          <w:bCs/>
          <w:color w:val="000000" w:themeColor="text1"/>
          <w:sz w:val="24"/>
          <w:szCs w:val="24"/>
          <w14:textFill>
            <w14:solidFill>
              <w14:schemeClr w14:val="tx1"/>
            </w14:solidFill>
          </w14:textFill>
        </w:rPr>
        <w:t>.3</w:t>
      </w:r>
      <w:r>
        <w:rPr>
          <w:b/>
          <w:bCs/>
          <w:color w:val="000000" w:themeColor="text1"/>
          <w:sz w:val="24"/>
          <w:szCs w:val="24"/>
          <w14:textFill>
            <w14:solidFill>
              <w14:schemeClr w14:val="tx1"/>
            </w14:solidFill>
          </w14:textFill>
        </w:rPr>
        <w:t>-</w:t>
      </w:r>
      <w:r>
        <w:rPr>
          <w:rFonts w:hint="eastAsia"/>
          <w:b/>
          <w:bCs/>
          <w:color w:val="000000" w:themeColor="text1"/>
          <w:sz w:val="24"/>
          <w:szCs w:val="24"/>
          <w14:textFill>
            <w14:solidFill>
              <w14:schemeClr w14:val="tx1"/>
            </w14:solidFill>
          </w14:textFill>
        </w:rPr>
        <w:t>7</w:t>
      </w:r>
      <w:r>
        <w:rPr>
          <w:b/>
          <w:bCs/>
          <w:color w:val="000000" w:themeColor="text1"/>
          <w:sz w:val="24"/>
          <w:szCs w:val="24"/>
          <w14:textFill>
            <w14:solidFill>
              <w14:schemeClr w14:val="tx1"/>
            </w14:solidFill>
          </w14:textFill>
        </w:rPr>
        <w:t xml:space="preserve">  建设项目环境敏感特征表</w:t>
      </w:r>
    </w:p>
    <w:tbl>
      <w:tblPr>
        <w:tblStyle w:val="24"/>
        <w:tblW w:w="505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660"/>
        <w:gridCol w:w="791"/>
        <w:gridCol w:w="1763"/>
        <w:gridCol w:w="1351"/>
        <w:gridCol w:w="1356"/>
        <w:gridCol w:w="1618"/>
        <w:gridCol w:w="1308"/>
      </w:tblGrid>
      <w:tr w14:paraId="0F215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restart"/>
            <w:vAlign w:val="center"/>
          </w:tcPr>
          <w:p w14:paraId="77560D0D">
            <w:pPr>
              <w:adjustRightInd w:val="0"/>
              <w:snapToGrid w:val="0"/>
              <w:spacing w:line="240" w:lineRule="exact"/>
              <w:jc w:val="center"/>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地下水</w:t>
            </w:r>
          </w:p>
        </w:tc>
        <w:tc>
          <w:tcPr>
            <w:tcW w:w="447" w:type="pct"/>
            <w:vAlign w:val="center"/>
          </w:tcPr>
          <w:p w14:paraId="55D7FD5B">
            <w:pPr>
              <w:spacing w:line="240" w:lineRule="exact"/>
              <w:jc w:val="center"/>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序号</w:t>
            </w:r>
          </w:p>
        </w:tc>
        <w:tc>
          <w:tcPr>
            <w:tcW w:w="996" w:type="pct"/>
            <w:vAlign w:val="center"/>
          </w:tcPr>
          <w:p w14:paraId="0A3864B1">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环境敏感区名称</w:t>
            </w:r>
          </w:p>
        </w:tc>
        <w:tc>
          <w:tcPr>
            <w:tcW w:w="763" w:type="pct"/>
            <w:vAlign w:val="center"/>
          </w:tcPr>
          <w:p w14:paraId="2A306BA1">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环境敏感特征</w:t>
            </w:r>
          </w:p>
        </w:tc>
        <w:tc>
          <w:tcPr>
            <w:tcW w:w="765" w:type="pct"/>
            <w:vAlign w:val="center"/>
          </w:tcPr>
          <w:p w14:paraId="3F6AD2B6">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水质目标</w:t>
            </w:r>
          </w:p>
        </w:tc>
        <w:tc>
          <w:tcPr>
            <w:tcW w:w="914" w:type="pct"/>
            <w:vAlign w:val="center"/>
          </w:tcPr>
          <w:p w14:paraId="245CC40D">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包气带</w:t>
            </w:r>
          </w:p>
          <w:p w14:paraId="5B5272E1">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防污性能</w:t>
            </w:r>
          </w:p>
        </w:tc>
        <w:tc>
          <w:tcPr>
            <w:tcW w:w="739" w:type="pct"/>
            <w:vAlign w:val="center"/>
          </w:tcPr>
          <w:p w14:paraId="316832D0">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与下游厂界</w:t>
            </w:r>
          </w:p>
          <w:p w14:paraId="48343B26">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距离/m</w:t>
            </w:r>
          </w:p>
        </w:tc>
      </w:tr>
      <w:tr w14:paraId="02B7F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7F06B4C1">
            <w:pPr>
              <w:spacing w:line="240" w:lineRule="exact"/>
              <w:jc w:val="center"/>
              <w:rPr>
                <w:color w:val="000000" w:themeColor="text1"/>
                <w:szCs w:val="21"/>
                <w14:textFill>
                  <w14:solidFill>
                    <w14:schemeClr w14:val="tx1"/>
                  </w14:solidFill>
                </w14:textFill>
              </w:rPr>
            </w:pPr>
          </w:p>
        </w:tc>
        <w:tc>
          <w:tcPr>
            <w:tcW w:w="447" w:type="pct"/>
            <w:vAlign w:val="center"/>
          </w:tcPr>
          <w:p w14:paraId="6A5266DB">
            <w:pPr>
              <w:spacing w:line="240" w:lineRule="exact"/>
              <w:jc w:val="center"/>
              <w:rPr>
                <w:color w:val="000000" w:themeColor="text1"/>
                <w:spacing w:val="-2"/>
                <w:szCs w:val="21"/>
                <w14:textFill>
                  <w14:solidFill>
                    <w14:schemeClr w14:val="tx1"/>
                  </w14:solidFill>
                </w14:textFill>
              </w:rPr>
            </w:pPr>
            <w:r>
              <w:rPr>
                <w:color w:val="000000" w:themeColor="text1"/>
                <w:spacing w:val="-2"/>
                <w:szCs w:val="21"/>
                <w14:textFill>
                  <w14:solidFill>
                    <w14:schemeClr w14:val="tx1"/>
                  </w14:solidFill>
                </w14:textFill>
              </w:rPr>
              <w:t>1</w:t>
            </w:r>
          </w:p>
        </w:tc>
        <w:tc>
          <w:tcPr>
            <w:tcW w:w="996" w:type="pct"/>
            <w:vAlign w:val="center"/>
          </w:tcPr>
          <w:p w14:paraId="0F1534BE">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区域地下水</w:t>
            </w:r>
          </w:p>
        </w:tc>
        <w:tc>
          <w:tcPr>
            <w:tcW w:w="763" w:type="pct"/>
            <w:vAlign w:val="center"/>
          </w:tcPr>
          <w:p w14:paraId="1337DBFC">
            <w:pPr>
              <w:spacing w:line="240" w:lineRule="exact"/>
              <w:jc w:val="center"/>
              <w:rPr>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w:t>
            </w:r>
          </w:p>
        </w:tc>
        <w:tc>
          <w:tcPr>
            <w:tcW w:w="765" w:type="pct"/>
            <w:vAlign w:val="center"/>
          </w:tcPr>
          <w:p w14:paraId="69AE6F6F">
            <w:pPr>
              <w:spacing w:line="240" w:lineRule="exact"/>
              <w:jc w:val="center"/>
              <w:rPr>
                <w:color w:val="000000" w:themeColor="text1"/>
                <w:spacing w:val="-2"/>
                <w:szCs w:val="21"/>
                <w14:textFill>
                  <w14:solidFill>
                    <w14:schemeClr w14:val="tx1"/>
                  </w14:solidFill>
                </w14:textFill>
              </w:rPr>
            </w:pPr>
            <w:r>
              <w:rPr>
                <w:rFonts w:hint="eastAsia"/>
                <w:color w:val="000000" w:themeColor="text1"/>
                <w:szCs w:val="21"/>
                <w14:textFill>
                  <w14:solidFill>
                    <w14:schemeClr w14:val="tx1"/>
                  </w14:solidFill>
                </w14:textFill>
              </w:rPr>
              <w:t>Ⅲ</w:t>
            </w:r>
            <w:r>
              <w:rPr>
                <w:color w:val="000000" w:themeColor="text1"/>
                <w:szCs w:val="21"/>
                <w14:textFill>
                  <w14:solidFill>
                    <w14:schemeClr w14:val="tx1"/>
                  </w14:solidFill>
                </w14:textFill>
              </w:rPr>
              <w:t>类</w:t>
            </w:r>
          </w:p>
        </w:tc>
        <w:tc>
          <w:tcPr>
            <w:tcW w:w="914" w:type="pct"/>
            <w:vAlign w:val="center"/>
          </w:tcPr>
          <w:p w14:paraId="2C32B9D0">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K=7.714×10</w:t>
            </w:r>
            <w:r>
              <w:rPr>
                <w:color w:val="000000" w:themeColor="text1"/>
                <w:szCs w:val="21"/>
                <w:vertAlign w:val="superscript"/>
                <w14:textFill>
                  <w14:solidFill>
                    <w14:schemeClr w14:val="tx1"/>
                  </w14:solidFill>
                </w14:textFill>
              </w:rPr>
              <w:t>-7</w:t>
            </w:r>
            <w:r>
              <w:rPr>
                <w:color w:val="000000" w:themeColor="text1"/>
                <w:szCs w:val="21"/>
                <w14:textFill>
                  <w14:solidFill>
                    <w14:schemeClr w14:val="tx1"/>
                  </w14:solidFill>
                </w14:textFill>
              </w:rPr>
              <w:t>cm/s</w:t>
            </w:r>
          </w:p>
          <w:p w14:paraId="0A3CF465">
            <w:pPr>
              <w:spacing w:line="24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D2</w:t>
            </w:r>
          </w:p>
        </w:tc>
        <w:tc>
          <w:tcPr>
            <w:tcW w:w="739" w:type="pct"/>
            <w:vAlign w:val="center"/>
          </w:tcPr>
          <w:p w14:paraId="4B18C19C">
            <w:pPr>
              <w:pStyle w:val="59"/>
              <w:spacing w:before="62" w:line="240" w:lineRule="exact"/>
              <w:rPr>
                <w:bCs/>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3BDCE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73" w:type="pct"/>
            <w:vMerge w:val="continue"/>
            <w:vAlign w:val="center"/>
          </w:tcPr>
          <w:p w14:paraId="657C2000">
            <w:pPr>
              <w:spacing w:line="240" w:lineRule="exact"/>
              <w:jc w:val="center"/>
              <w:rPr>
                <w:color w:val="000000" w:themeColor="text1"/>
                <w:szCs w:val="21"/>
                <w14:textFill>
                  <w14:solidFill>
                    <w14:schemeClr w14:val="tx1"/>
                  </w14:solidFill>
                </w14:textFill>
              </w:rPr>
            </w:pPr>
          </w:p>
        </w:tc>
        <w:tc>
          <w:tcPr>
            <w:tcW w:w="2972" w:type="pct"/>
            <w:gridSpan w:val="4"/>
            <w:vAlign w:val="center"/>
          </w:tcPr>
          <w:p w14:paraId="1B34A969">
            <w:pPr>
              <w:spacing w:line="240" w:lineRule="exact"/>
              <w:jc w:val="center"/>
              <w:rPr>
                <w:color w:val="000000" w:themeColor="text1"/>
                <w:spacing w:val="-2"/>
                <w:szCs w:val="21"/>
                <w14:textFill>
                  <w14:solidFill>
                    <w14:schemeClr w14:val="tx1"/>
                  </w14:solidFill>
                </w14:textFill>
              </w:rPr>
            </w:pPr>
            <w:r>
              <w:rPr>
                <w:color w:val="000000" w:themeColor="text1"/>
                <w:spacing w:val="-2"/>
                <w:szCs w:val="21"/>
                <w14:textFill>
                  <w14:solidFill>
                    <w14:schemeClr w14:val="tx1"/>
                  </w14:solidFill>
                </w14:textFill>
              </w:rPr>
              <w:t>地下水环境敏感程度E值</w:t>
            </w:r>
          </w:p>
        </w:tc>
        <w:tc>
          <w:tcPr>
            <w:tcW w:w="914" w:type="pct"/>
            <w:vAlign w:val="center"/>
          </w:tcPr>
          <w:p w14:paraId="1D4B34AA">
            <w:pPr>
              <w:spacing w:line="240" w:lineRule="exact"/>
              <w:jc w:val="center"/>
              <w:rPr>
                <w:color w:val="000000" w:themeColor="text1"/>
                <w:spacing w:val="-2"/>
                <w:szCs w:val="21"/>
                <w14:textFill>
                  <w14:solidFill>
                    <w14:schemeClr w14:val="tx1"/>
                  </w14:solidFill>
                </w14:textFill>
              </w:rPr>
            </w:pPr>
          </w:p>
        </w:tc>
        <w:tc>
          <w:tcPr>
            <w:tcW w:w="739" w:type="pct"/>
            <w:vAlign w:val="center"/>
          </w:tcPr>
          <w:p w14:paraId="0AA08FE0">
            <w:pPr>
              <w:spacing w:line="240" w:lineRule="exact"/>
              <w:jc w:val="center"/>
              <w:rPr>
                <w:color w:val="000000" w:themeColor="text1"/>
                <w:spacing w:val="-2"/>
                <w:szCs w:val="21"/>
                <w14:textFill>
                  <w14:solidFill>
                    <w14:schemeClr w14:val="tx1"/>
                  </w14:solidFill>
                </w14:textFill>
              </w:rPr>
            </w:pPr>
            <w:r>
              <w:rPr>
                <w:color w:val="000000" w:themeColor="text1"/>
                <w:spacing w:val="-2"/>
                <w:szCs w:val="21"/>
                <w14:textFill>
                  <w14:solidFill>
                    <w14:schemeClr w14:val="tx1"/>
                  </w14:solidFill>
                </w14:textFill>
              </w:rPr>
              <w:t>E</w:t>
            </w:r>
            <w:r>
              <w:rPr>
                <w:rFonts w:hint="eastAsia"/>
                <w:color w:val="000000" w:themeColor="text1"/>
                <w:spacing w:val="-2"/>
                <w:szCs w:val="21"/>
                <w14:textFill>
                  <w14:solidFill>
                    <w14:schemeClr w14:val="tx1"/>
                  </w14:solidFill>
                </w14:textFill>
              </w:rPr>
              <w:t>3</w:t>
            </w:r>
          </w:p>
        </w:tc>
      </w:tr>
      <w:bookmarkEnd w:id="12"/>
    </w:tbl>
    <w:p w14:paraId="523C2B14">
      <w:pPr>
        <w:bidi w:val="0"/>
        <w:rPr>
          <w:color w:val="000000" w:themeColor="text1"/>
          <w14:textFill>
            <w14:solidFill>
              <w14:schemeClr w14:val="tx1"/>
            </w14:solidFill>
          </w14:textFill>
        </w:rPr>
      </w:pPr>
    </w:p>
    <w:p w14:paraId="08AC855A">
      <w:pPr>
        <w:tabs>
          <w:tab w:val="left" w:pos="1260"/>
        </w:tabs>
        <w:jc w:val="center"/>
        <w:rPr>
          <w:b/>
          <w:color w:val="000000" w:themeColor="text1"/>
          <w:szCs w:val="21"/>
          <w14:textFill>
            <w14:solidFill>
              <w14:schemeClr w14:val="tx1"/>
            </w14:solidFill>
          </w14:textFill>
        </w:rPr>
      </w:pPr>
      <w:bookmarkStart w:id="13" w:name="_Hlk82441917"/>
      <w:r>
        <w:rPr>
          <w:color w:val="000000" w:themeColor="text1"/>
          <w14:textFill>
            <w14:solidFill>
              <w14:schemeClr w14:val="tx1"/>
            </w14:solidFill>
          </w14:textFill>
        </w:rPr>
        <w:drawing>
          <wp:inline distT="0" distB="0" distL="114300" distR="114300">
            <wp:extent cx="4803775" cy="4197350"/>
            <wp:effectExtent l="0" t="0" r="15875"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803775" cy="4197350"/>
                    </a:xfrm>
                    <a:prstGeom prst="rect">
                      <a:avLst/>
                    </a:prstGeom>
                    <a:noFill/>
                    <a:ln>
                      <a:noFill/>
                    </a:ln>
                  </pic:spPr>
                </pic:pic>
              </a:graphicData>
            </a:graphic>
          </wp:inline>
        </w:drawing>
      </w:r>
    </w:p>
    <w:bookmarkEnd w:id="13"/>
    <w:p w14:paraId="617FB25A">
      <w:pPr>
        <w:adjustRightInd w:val="0"/>
        <w:snapToGrid w:val="0"/>
        <w:spacing w:line="36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图1-1环境敏感目标位置图</w:t>
      </w:r>
    </w:p>
    <w:p w14:paraId="1A5FFB3E">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）环境</w:t>
      </w:r>
      <w:r>
        <w:rPr>
          <w:rFonts w:hint="eastAsia"/>
          <w:color w:val="000000" w:themeColor="text1"/>
          <w:sz w:val="24"/>
          <w14:textFill>
            <w14:solidFill>
              <w14:schemeClr w14:val="tx1"/>
            </w14:solidFill>
          </w14:textFill>
        </w:rPr>
        <w:t>风险判定</w:t>
      </w:r>
    </w:p>
    <w:p w14:paraId="6F3627AD">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①</w:t>
      </w:r>
      <w:r>
        <w:rPr>
          <w:rFonts w:hint="eastAsia"/>
          <w:bCs/>
          <w:color w:val="000000" w:themeColor="text1"/>
          <w:sz w:val="24"/>
          <w14:textFill>
            <w14:solidFill>
              <w14:schemeClr w14:val="tx1"/>
            </w14:solidFill>
          </w14:textFill>
        </w:rPr>
        <w:t>大气</w:t>
      </w:r>
      <w:r>
        <w:rPr>
          <w:bCs/>
          <w:color w:val="000000" w:themeColor="text1"/>
          <w:sz w:val="24"/>
          <w14:textFill>
            <w14:solidFill>
              <w14:schemeClr w14:val="tx1"/>
            </w14:solidFill>
          </w14:textFill>
        </w:rPr>
        <w:t>环境敏感程度分级</w:t>
      </w:r>
    </w:p>
    <w:p w14:paraId="0B9D13DC">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依据环境敏感目标环境敏感性及人口密度划分环境风险受体的敏感性，共分为三种类型，E1为环境高度敏感区，E2为环境中度敏感区，E3为环境低度敏感区，分级原则见表1</w:t>
      </w:r>
      <w:r>
        <w:rPr>
          <w:rFonts w:hint="eastAsia"/>
          <w:color w:val="000000" w:themeColor="text1"/>
          <w:sz w:val="24"/>
          <w14:textFill>
            <w14:solidFill>
              <w14:schemeClr w14:val="tx1"/>
            </w14:solidFill>
          </w14:textFill>
        </w:rPr>
        <w:t>.3-8</w:t>
      </w:r>
      <w:r>
        <w:rPr>
          <w:color w:val="000000" w:themeColor="text1"/>
          <w:sz w:val="24"/>
          <w14:textFill>
            <w14:solidFill>
              <w14:schemeClr w14:val="tx1"/>
            </w14:solidFill>
          </w14:textFill>
        </w:rPr>
        <w:t>。</w:t>
      </w:r>
    </w:p>
    <w:p w14:paraId="675F3107">
      <w:pPr>
        <w:adjustRightInd w:val="0"/>
        <w:snapToGrid w:val="0"/>
        <w:ind w:firstLine="482" w:firstLineChars="200"/>
        <w:jc w:val="center"/>
        <w:rPr>
          <w:rFonts w:hint="eastAsia"/>
          <w:b/>
          <w:color w:val="000000" w:themeColor="text1"/>
          <w:sz w:val="24"/>
          <w14:textFill>
            <w14:solidFill>
              <w14:schemeClr w14:val="tx1"/>
            </w14:solidFill>
          </w14:textFill>
        </w:rPr>
      </w:pPr>
    </w:p>
    <w:p w14:paraId="2A952CA3">
      <w:pPr>
        <w:adjustRightInd w:val="0"/>
        <w:snapToGrid w:val="0"/>
        <w:ind w:firstLine="482" w:firstLineChars="200"/>
        <w:jc w:val="center"/>
        <w:rPr>
          <w:rFonts w:hint="eastAsia"/>
          <w:b/>
          <w:color w:val="000000" w:themeColor="text1"/>
          <w:sz w:val="24"/>
          <w14:textFill>
            <w14:solidFill>
              <w14:schemeClr w14:val="tx1"/>
            </w14:solidFill>
          </w14:textFill>
        </w:rPr>
      </w:pPr>
    </w:p>
    <w:p w14:paraId="45CDCF1A">
      <w:pPr>
        <w:adjustRightInd w:val="0"/>
        <w:snapToGrid w:val="0"/>
        <w:ind w:firstLine="482" w:firstLineChars="200"/>
        <w:jc w:val="center"/>
        <w:rPr>
          <w:rFonts w:hint="eastAsia"/>
          <w:b/>
          <w:color w:val="000000" w:themeColor="text1"/>
          <w:sz w:val="24"/>
          <w14:textFill>
            <w14:solidFill>
              <w14:schemeClr w14:val="tx1"/>
            </w14:solidFill>
          </w14:textFill>
        </w:rPr>
      </w:pPr>
    </w:p>
    <w:p w14:paraId="3D4E012A">
      <w:pPr>
        <w:adjustRightInd w:val="0"/>
        <w:snapToGrid w:val="0"/>
        <w:ind w:firstLine="482" w:firstLineChars="200"/>
        <w:jc w:val="center"/>
        <w:rPr>
          <w:rFonts w:hint="eastAsia"/>
          <w:b/>
          <w:color w:val="000000" w:themeColor="text1"/>
          <w:sz w:val="24"/>
          <w14:textFill>
            <w14:solidFill>
              <w14:schemeClr w14:val="tx1"/>
            </w14:solidFill>
          </w14:textFill>
        </w:rPr>
      </w:pPr>
    </w:p>
    <w:p w14:paraId="2D5DCF13">
      <w:pPr>
        <w:adjustRightInd w:val="0"/>
        <w:snapToGrid w:val="0"/>
        <w:ind w:firstLine="482" w:firstLineChars="200"/>
        <w:jc w:val="center"/>
        <w:rPr>
          <w:rFonts w:hint="eastAsia"/>
          <w:b/>
          <w:color w:val="000000" w:themeColor="text1"/>
          <w:sz w:val="24"/>
          <w14:textFill>
            <w14:solidFill>
              <w14:schemeClr w14:val="tx1"/>
            </w14:solidFill>
          </w14:textFill>
        </w:rPr>
      </w:pPr>
    </w:p>
    <w:p w14:paraId="1ED2FFEF">
      <w:pPr>
        <w:adjustRightInd w:val="0"/>
        <w:snapToGrid w:val="0"/>
        <w:ind w:firstLine="482" w:firstLineChars="200"/>
        <w:jc w:val="center"/>
        <w:rPr>
          <w:rFonts w:hint="eastAsia"/>
          <w:b/>
          <w:color w:val="000000" w:themeColor="text1"/>
          <w:sz w:val="24"/>
          <w14:textFill>
            <w14:solidFill>
              <w14:schemeClr w14:val="tx1"/>
            </w14:solidFill>
          </w14:textFill>
        </w:rPr>
      </w:pPr>
    </w:p>
    <w:p w14:paraId="34DD27B2">
      <w:pPr>
        <w:adjustRightInd w:val="0"/>
        <w:snapToGrid w:val="0"/>
        <w:ind w:firstLine="482" w:firstLineChars="200"/>
        <w:jc w:val="center"/>
        <w:rPr>
          <w:rFonts w:hint="eastAsia"/>
          <w:b/>
          <w:color w:val="000000" w:themeColor="text1"/>
          <w:sz w:val="24"/>
          <w14:textFill>
            <w14:solidFill>
              <w14:schemeClr w14:val="tx1"/>
            </w14:solidFill>
          </w14:textFill>
        </w:rPr>
      </w:pPr>
    </w:p>
    <w:p w14:paraId="7E0C4D30">
      <w:pPr>
        <w:adjustRightInd w:val="0"/>
        <w:snapToGrid w:val="0"/>
        <w:ind w:firstLine="482" w:firstLineChars="200"/>
        <w:jc w:val="center"/>
        <w:rPr>
          <w:rFonts w:hint="eastAsia"/>
          <w:b/>
          <w:color w:val="000000" w:themeColor="text1"/>
          <w:sz w:val="24"/>
          <w14:textFill>
            <w14:solidFill>
              <w14:schemeClr w14:val="tx1"/>
            </w14:solidFill>
          </w14:textFill>
        </w:rPr>
      </w:pPr>
    </w:p>
    <w:p w14:paraId="240F83B7">
      <w:pPr>
        <w:adjustRightInd w:val="0"/>
        <w:snapToGrid w:val="0"/>
        <w:ind w:firstLine="482" w:firstLineChars="20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1.3-8</w:t>
      </w:r>
      <w:r>
        <w:rPr>
          <w:b/>
          <w:color w:val="000000" w:themeColor="text1"/>
          <w:sz w:val="24"/>
          <w14:textFill>
            <w14:solidFill>
              <w14:schemeClr w14:val="tx1"/>
            </w14:solidFill>
          </w14:textFill>
        </w:rPr>
        <w:t xml:space="preserve">   大气环境敏感程度分级</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70"/>
        <w:gridCol w:w="8274"/>
      </w:tblGrid>
      <w:tr w14:paraId="207F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2" w:type="pct"/>
            <w:vAlign w:val="center"/>
          </w:tcPr>
          <w:p w14:paraId="023CBE14">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分级</w:t>
            </w:r>
          </w:p>
        </w:tc>
        <w:tc>
          <w:tcPr>
            <w:tcW w:w="4678" w:type="pct"/>
            <w:vAlign w:val="center"/>
          </w:tcPr>
          <w:p w14:paraId="6F54BA63">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大气环境敏感性</w:t>
            </w:r>
          </w:p>
        </w:tc>
      </w:tr>
      <w:tr w14:paraId="201D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2" w:type="pct"/>
            <w:vAlign w:val="center"/>
          </w:tcPr>
          <w:p w14:paraId="518D10B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E1</w:t>
            </w:r>
          </w:p>
        </w:tc>
        <w:tc>
          <w:tcPr>
            <w:tcW w:w="4678" w:type="pct"/>
            <w:vAlign w:val="center"/>
          </w:tcPr>
          <w:p w14:paraId="2BC783F1">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14:paraId="7C47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2" w:type="pct"/>
            <w:vAlign w:val="center"/>
          </w:tcPr>
          <w:p w14:paraId="2634C34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E2</w:t>
            </w:r>
          </w:p>
        </w:tc>
        <w:tc>
          <w:tcPr>
            <w:tcW w:w="4678" w:type="pct"/>
            <w:vAlign w:val="center"/>
          </w:tcPr>
          <w:p w14:paraId="513513D9">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14:paraId="22C0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2" w:type="pct"/>
            <w:vAlign w:val="center"/>
          </w:tcPr>
          <w:p w14:paraId="5734330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E3</w:t>
            </w:r>
          </w:p>
        </w:tc>
        <w:tc>
          <w:tcPr>
            <w:tcW w:w="4678" w:type="pct"/>
            <w:vAlign w:val="center"/>
          </w:tcPr>
          <w:p w14:paraId="0896F84E">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周边5km范围内居住区、医疗卫生、文化教育、科研、行政办公等机构人口总数小于1万人；或周边500m范围内人口总数小于500人；油气、化学品输送管线管段周边200m范围内，每千米管段人口数小于100人</w:t>
            </w:r>
          </w:p>
        </w:tc>
      </w:tr>
    </w:tbl>
    <w:p w14:paraId="092C295E">
      <w:pPr>
        <w:adjustRightInd w:val="0"/>
        <w:snapToGrid w:val="0"/>
        <w:ind w:firstLine="480" w:firstLineChars="200"/>
        <w:rPr>
          <w:color w:val="000000" w:themeColor="text1"/>
          <w:sz w:val="24"/>
          <w14:textFill>
            <w14:solidFill>
              <w14:schemeClr w14:val="tx1"/>
            </w14:solidFill>
          </w14:textFill>
        </w:rPr>
      </w:pPr>
    </w:p>
    <w:p w14:paraId="4AC2AA1C">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本项目周边5km范围居民人数为</w:t>
      </w:r>
      <w:r>
        <w:rPr>
          <w:rFonts w:hint="eastAsia"/>
          <w:color w:val="000000" w:themeColor="text1"/>
          <w:sz w:val="24"/>
          <w:lang w:val="en-US" w:eastAsia="zh-CN"/>
          <w14:textFill>
            <w14:solidFill>
              <w14:schemeClr w14:val="tx1"/>
            </w14:solidFill>
          </w14:textFill>
        </w:rPr>
        <w:t>13513</w:t>
      </w:r>
      <w:r>
        <w:rPr>
          <w:color w:val="000000" w:themeColor="text1"/>
          <w:sz w:val="24"/>
          <w14:textFill>
            <w14:solidFill>
              <w14:schemeClr w14:val="tx1"/>
            </w14:solidFill>
          </w14:textFill>
        </w:rPr>
        <w:t>人，且500m范围居住人数</w:t>
      </w:r>
      <w:r>
        <w:rPr>
          <w:rFonts w:hint="eastAsia"/>
          <w:color w:val="000000" w:themeColor="text1"/>
          <w:sz w:val="24"/>
          <w14:textFill>
            <w14:solidFill>
              <w14:schemeClr w14:val="tx1"/>
            </w14:solidFill>
          </w14:textFill>
        </w:rPr>
        <w:t>约</w:t>
      </w:r>
      <w:r>
        <w:rPr>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450</w:t>
      </w:r>
      <w:r>
        <w:rPr>
          <w:rFonts w:hint="eastAsia"/>
          <w:color w:val="000000" w:themeColor="text1"/>
          <w:sz w:val="24"/>
          <w14:textFill>
            <w14:solidFill>
              <w14:schemeClr w14:val="tx1"/>
            </w14:solidFill>
          </w14:textFill>
        </w:rPr>
        <w:t>人</w:t>
      </w:r>
      <w:r>
        <w:rPr>
          <w:color w:val="000000" w:themeColor="text1"/>
          <w:sz w:val="24"/>
          <w14:textFill>
            <w14:solidFill>
              <w14:schemeClr w14:val="tx1"/>
            </w14:solidFill>
          </w14:textFill>
        </w:rPr>
        <w:t>，因此由表1</w:t>
      </w:r>
      <w:r>
        <w:rPr>
          <w:rFonts w:hint="eastAsia"/>
          <w:color w:val="000000" w:themeColor="text1"/>
          <w:sz w:val="24"/>
          <w14:textFill>
            <w14:solidFill>
              <w14:schemeClr w14:val="tx1"/>
            </w14:solidFill>
          </w14:textFill>
        </w:rPr>
        <w:t>.3-8</w:t>
      </w:r>
      <w:r>
        <w:rPr>
          <w:color w:val="000000" w:themeColor="text1"/>
          <w:sz w:val="24"/>
          <w14:textFill>
            <w14:solidFill>
              <w14:schemeClr w14:val="tx1"/>
            </w14:solidFill>
          </w14:textFill>
        </w:rPr>
        <w:t>可知，本项目的环境敏感度为E</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环境</w:t>
      </w:r>
      <w:r>
        <w:rPr>
          <w:rFonts w:hint="eastAsia"/>
          <w:color w:val="000000" w:themeColor="text1"/>
          <w:sz w:val="24"/>
          <w14:textFill>
            <w14:solidFill>
              <w14:schemeClr w14:val="tx1"/>
            </w14:solidFill>
          </w14:textFill>
        </w:rPr>
        <w:t>低</w:t>
      </w:r>
      <w:r>
        <w:rPr>
          <w:color w:val="000000" w:themeColor="text1"/>
          <w:sz w:val="24"/>
          <w14:textFill>
            <w14:solidFill>
              <w14:schemeClr w14:val="tx1"/>
            </w14:solidFill>
          </w14:textFill>
        </w:rPr>
        <w:t>敏感区。</w:t>
      </w:r>
    </w:p>
    <w:p w14:paraId="2904C672">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②地表水环境敏感程度分级</w:t>
      </w:r>
    </w:p>
    <w:p w14:paraId="373DC7D3">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依据事故情况下危险物质泄漏到水体的排放点受纳地表水体功能敏感性，与下游环境敏感目标情况，共分为三种类型，E1为环境高度敏感区，E2为环境中度敏感区，E3为环境低度敏感区，分级原则见表1.3-9。其中地表水功能敏感性分区和环境敏感目标分级见表1.3-10和表1.3-11。</w:t>
      </w:r>
    </w:p>
    <w:p w14:paraId="5827BD45">
      <w:pPr>
        <w:adjustRightInd w:val="0"/>
        <w:snapToGrid w:val="0"/>
        <w:ind w:firstLine="482" w:firstLineChars="2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.3-9</w:t>
      </w:r>
      <w:r>
        <w:rPr>
          <w:b/>
          <w:color w:val="000000" w:themeColor="text1"/>
          <w:sz w:val="24"/>
          <w14:textFill>
            <w14:solidFill>
              <w14:schemeClr w14:val="tx1"/>
            </w14:solidFill>
          </w14:textFill>
        </w:rPr>
        <w:t xml:space="preserve">  地表水环境敏感程度分级</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6"/>
        <w:gridCol w:w="1986"/>
        <w:gridCol w:w="1986"/>
        <w:gridCol w:w="1988"/>
      </w:tblGrid>
      <w:tr w14:paraId="16CA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9" w:type="pct"/>
            <w:vMerge w:val="restart"/>
            <w:vAlign w:val="center"/>
          </w:tcPr>
          <w:p w14:paraId="0794F52F">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敏感目标</w:t>
            </w:r>
          </w:p>
        </w:tc>
        <w:tc>
          <w:tcPr>
            <w:tcW w:w="3331" w:type="pct"/>
            <w:gridSpan w:val="3"/>
            <w:vAlign w:val="center"/>
          </w:tcPr>
          <w:p w14:paraId="788EBBE0">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地表水环境敏感特征</w:t>
            </w:r>
          </w:p>
        </w:tc>
      </w:tr>
      <w:tr w14:paraId="454F5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9" w:type="pct"/>
            <w:vMerge w:val="continue"/>
            <w:vAlign w:val="center"/>
          </w:tcPr>
          <w:p w14:paraId="710CC703">
            <w:pPr>
              <w:adjustRightInd w:val="0"/>
              <w:snapToGrid w:val="0"/>
              <w:jc w:val="center"/>
              <w:rPr>
                <w:b/>
                <w:color w:val="000000" w:themeColor="text1"/>
                <w:szCs w:val="21"/>
                <w14:textFill>
                  <w14:solidFill>
                    <w14:schemeClr w14:val="tx1"/>
                  </w14:solidFill>
                </w14:textFill>
              </w:rPr>
            </w:pPr>
          </w:p>
        </w:tc>
        <w:tc>
          <w:tcPr>
            <w:tcW w:w="1110" w:type="pct"/>
            <w:vAlign w:val="center"/>
          </w:tcPr>
          <w:p w14:paraId="123BA74B">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F1</w:t>
            </w:r>
          </w:p>
        </w:tc>
        <w:tc>
          <w:tcPr>
            <w:tcW w:w="1110" w:type="pct"/>
            <w:vAlign w:val="center"/>
          </w:tcPr>
          <w:p w14:paraId="158D9CA0">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F2</w:t>
            </w:r>
          </w:p>
        </w:tc>
        <w:tc>
          <w:tcPr>
            <w:tcW w:w="1110" w:type="pct"/>
            <w:vAlign w:val="center"/>
          </w:tcPr>
          <w:p w14:paraId="74BE5853">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F3</w:t>
            </w:r>
          </w:p>
        </w:tc>
      </w:tr>
      <w:tr w14:paraId="5A78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9" w:type="pct"/>
            <w:vAlign w:val="center"/>
          </w:tcPr>
          <w:p w14:paraId="10A890BA">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S1</w:t>
            </w:r>
          </w:p>
        </w:tc>
        <w:tc>
          <w:tcPr>
            <w:tcW w:w="1110" w:type="pct"/>
            <w:vAlign w:val="center"/>
          </w:tcPr>
          <w:p w14:paraId="2DC4D808">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E1</w:t>
            </w:r>
          </w:p>
        </w:tc>
        <w:tc>
          <w:tcPr>
            <w:tcW w:w="1110" w:type="pct"/>
            <w:vAlign w:val="center"/>
          </w:tcPr>
          <w:p w14:paraId="73A0880A">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E1</w:t>
            </w:r>
          </w:p>
        </w:tc>
        <w:tc>
          <w:tcPr>
            <w:tcW w:w="1110" w:type="pct"/>
            <w:vAlign w:val="center"/>
          </w:tcPr>
          <w:p w14:paraId="708FDF5E">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E2</w:t>
            </w:r>
          </w:p>
        </w:tc>
      </w:tr>
      <w:tr w14:paraId="3040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9" w:type="pct"/>
            <w:vAlign w:val="center"/>
          </w:tcPr>
          <w:p w14:paraId="6E959411">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S2</w:t>
            </w:r>
          </w:p>
        </w:tc>
        <w:tc>
          <w:tcPr>
            <w:tcW w:w="1110" w:type="pct"/>
            <w:vAlign w:val="center"/>
          </w:tcPr>
          <w:p w14:paraId="7B5E3F84">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E1</w:t>
            </w:r>
          </w:p>
        </w:tc>
        <w:tc>
          <w:tcPr>
            <w:tcW w:w="1110" w:type="pct"/>
            <w:vAlign w:val="center"/>
          </w:tcPr>
          <w:p w14:paraId="69B7A828">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E2</w:t>
            </w:r>
          </w:p>
        </w:tc>
        <w:tc>
          <w:tcPr>
            <w:tcW w:w="1110" w:type="pct"/>
            <w:vAlign w:val="center"/>
          </w:tcPr>
          <w:p w14:paraId="45BAF473">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E3</w:t>
            </w:r>
          </w:p>
        </w:tc>
      </w:tr>
      <w:tr w14:paraId="7074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9" w:type="pct"/>
            <w:vAlign w:val="center"/>
          </w:tcPr>
          <w:p w14:paraId="40CCB529">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S3</w:t>
            </w:r>
          </w:p>
        </w:tc>
        <w:tc>
          <w:tcPr>
            <w:tcW w:w="1110" w:type="pct"/>
            <w:vAlign w:val="center"/>
          </w:tcPr>
          <w:p w14:paraId="084ECBCD">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E1</w:t>
            </w:r>
          </w:p>
        </w:tc>
        <w:tc>
          <w:tcPr>
            <w:tcW w:w="1110" w:type="pct"/>
            <w:vAlign w:val="center"/>
          </w:tcPr>
          <w:p w14:paraId="51ED2C25">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E2</w:t>
            </w:r>
          </w:p>
        </w:tc>
        <w:tc>
          <w:tcPr>
            <w:tcW w:w="1110" w:type="pct"/>
            <w:vAlign w:val="center"/>
          </w:tcPr>
          <w:p w14:paraId="12C37BE2">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E3</w:t>
            </w:r>
          </w:p>
        </w:tc>
      </w:tr>
    </w:tbl>
    <w:p w14:paraId="386AED97">
      <w:pPr>
        <w:adjustRightInd w:val="0"/>
        <w:snapToGrid w:val="0"/>
        <w:ind w:firstLine="482" w:firstLineChars="200"/>
        <w:jc w:val="center"/>
        <w:rPr>
          <w:b/>
          <w:color w:val="000000" w:themeColor="text1"/>
          <w:szCs w:val="21"/>
          <w14:textFill>
            <w14:solidFill>
              <w14:schemeClr w14:val="tx1"/>
            </w14:solidFill>
          </w14:textFill>
        </w:rPr>
      </w:pPr>
      <w:r>
        <w:rPr>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.3-10</w:t>
      </w:r>
      <w:r>
        <w:rPr>
          <w:b/>
          <w:color w:val="000000" w:themeColor="text1"/>
          <w:sz w:val="24"/>
          <w14:textFill>
            <w14:solidFill>
              <w14:schemeClr w14:val="tx1"/>
            </w14:solidFill>
          </w14:textFill>
        </w:rPr>
        <w:t xml:space="preserve">  地表水功能敏感性分区</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8"/>
        <w:gridCol w:w="7558"/>
      </w:tblGrid>
      <w:tr w14:paraId="046C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76" w:type="pct"/>
            <w:vAlign w:val="center"/>
          </w:tcPr>
          <w:p w14:paraId="792999FC">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分级</w:t>
            </w:r>
          </w:p>
        </w:tc>
        <w:tc>
          <w:tcPr>
            <w:tcW w:w="4224" w:type="pct"/>
            <w:vAlign w:val="center"/>
          </w:tcPr>
          <w:p w14:paraId="4C055A79">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地表水环境敏感性分区</w:t>
            </w:r>
          </w:p>
        </w:tc>
      </w:tr>
      <w:tr w14:paraId="4C6D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pct"/>
            <w:vAlign w:val="center"/>
          </w:tcPr>
          <w:p w14:paraId="58263ED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敏感F1</w:t>
            </w:r>
          </w:p>
        </w:tc>
        <w:tc>
          <w:tcPr>
            <w:tcW w:w="4224" w:type="pct"/>
            <w:vAlign w:val="center"/>
          </w:tcPr>
          <w:p w14:paraId="4E45FFCB">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排放点进入地表水水域环境功能为类，或海水水质分类第一类；</w:t>
            </w:r>
          </w:p>
          <w:p w14:paraId="6E72FD56">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或以发生事故时，危险物质泄漏到水体的排放点算起，排放进入受纳河流最大流速时，24h流经范围涉跨国界的。</w:t>
            </w:r>
          </w:p>
        </w:tc>
      </w:tr>
      <w:tr w14:paraId="0672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pct"/>
            <w:vAlign w:val="center"/>
          </w:tcPr>
          <w:p w14:paraId="2BDE7C7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较敏感F2</w:t>
            </w:r>
          </w:p>
        </w:tc>
        <w:tc>
          <w:tcPr>
            <w:tcW w:w="4224" w:type="pct"/>
            <w:vAlign w:val="center"/>
          </w:tcPr>
          <w:p w14:paraId="11589E92">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排放点进入地表水水域环境功能为类，或海水水质分类第二类；</w:t>
            </w:r>
          </w:p>
          <w:p w14:paraId="0FC7FE44">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或以发生事故时，危险物质泄漏到水体的排放点算起，排放进入受纳河流最大流速时，24h流经范围涉跨省界的。</w:t>
            </w:r>
          </w:p>
        </w:tc>
      </w:tr>
      <w:tr w14:paraId="364D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pct"/>
            <w:vAlign w:val="center"/>
          </w:tcPr>
          <w:p w14:paraId="6408610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低敏感F3</w:t>
            </w:r>
          </w:p>
        </w:tc>
        <w:tc>
          <w:tcPr>
            <w:tcW w:w="4224" w:type="pct"/>
            <w:vAlign w:val="center"/>
          </w:tcPr>
          <w:p w14:paraId="307FEA51">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上述地区之外的其他地区</w:t>
            </w:r>
          </w:p>
        </w:tc>
      </w:tr>
    </w:tbl>
    <w:p w14:paraId="29BD40A9">
      <w:pPr>
        <w:adjustRightInd w:val="0"/>
        <w:snapToGrid w:val="0"/>
        <w:ind w:firstLine="482" w:firstLineChars="200"/>
        <w:jc w:val="center"/>
        <w:rPr>
          <w:b/>
          <w:color w:val="000000" w:themeColor="text1"/>
          <w:sz w:val="24"/>
          <w14:textFill>
            <w14:solidFill>
              <w14:schemeClr w14:val="tx1"/>
            </w14:solidFill>
          </w14:textFill>
        </w:rPr>
      </w:pPr>
    </w:p>
    <w:p w14:paraId="5921610C">
      <w:pPr>
        <w:adjustRightInd w:val="0"/>
        <w:snapToGrid w:val="0"/>
        <w:ind w:firstLine="482" w:firstLineChars="200"/>
        <w:jc w:val="center"/>
        <w:rPr>
          <w:b/>
          <w:color w:val="000000" w:themeColor="text1"/>
          <w:sz w:val="24"/>
          <w14:textFill>
            <w14:solidFill>
              <w14:schemeClr w14:val="tx1"/>
            </w14:solidFill>
          </w14:textFill>
        </w:rPr>
      </w:pPr>
    </w:p>
    <w:p w14:paraId="2C5A770C">
      <w:pPr>
        <w:adjustRightInd w:val="0"/>
        <w:snapToGrid w:val="0"/>
        <w:ind w:firstLine="482" w:firstLineChars="200"/>
        <w:jc w:val="center"/>
        <w:rPr>
          <w:b/>
          <w:color w:val="000000" w:themeColor="text1"/>
          <w:sz w:val="24"/>
          <w14:textFill>
            <w14:solidFill>
              <w14:schemeClr w14:val="tx1"/>
            </w14:solidFill>
          </w14:textFill>
        </w:rPr>
      </w:pPr>
    </w:p>
    <w:p w14:paraId="3D85EB83">
      <w:pPr>
        <w:adjustRightInd w:val="0"/>
        <w:snapToGrid w:val="0"/>
        <w:ind w:firstLine="482" w:firstLineChars="200"/>
        <w:jc w:val="center"/>
        <w:rPr>
          <w:b/>
          <w:color w:val="000000" w:themeColor="text1"/>
          <w:sz w:val="24"/>
          <w14:textFill>
            <w14:solidFill>
              <w14:schemeClr w14:val="tx1"/>
            </w14:solidFill>
          </w14:textFill>
        </w:rPr>
      </w:pPr>
    </w:p>
    <w:p w14:paraId="040FDEF1">
      <w:pPr>
        <w:adjustRightInd w:val="0"/>
        <w:snapToGrid w:val="0"/>
        <w:ind w:firstLine="482" w:firstLineChars="200"/>
        <w:jc w:val="center"/>
        <w:rPr>
          <w:b/>
          <w:color w:val="000000" w:themeColor="text1"/>
          <w:sz w:val="24"/>
          <w14:textFill>
            <w14:solidFill>
              <w14:schemeClr w14:val="tx1"/>
            </w14:solidFill>
          </w14:textFill>
        </w:rPr>
      </w:pPr>
    </w:p>
    <w:p w14:paraId="623759DC">
      <w:pPr>
        <w:adjustRightInd w:val="0"/>
        <w:snapToGrid w:val="0"/>
        <w:ind w:firstLine="482" w:firstLineChars="200"/>
        <w:jc w:val="center"/>
        <w:rPr>
          <w:b/>
          <w:color w:val="000000" w:themeColor="text1"/>
          <w:sz w:val="24"/>
          <w14:textFill>
            <w14:solidFill>
              <w14:schemeClr w14:val="tx1"/>
            </w14:solidFill>
          </w14:textFill>
        </w:rPr>
      </w:pPr>
    </w:p>
    <w:p w14:paraId="0C136209">
      <w:pPr>
        <w:adjustRightInd w:val="0"/>
        <w:snapToGrid w:val="0"/>
        <w:ind w:firstLine="482" w:firstLineChars="200"/>
        <w:jc w:val="center"/>
        <w:rPr>
          <w:b/>
          <w:color w:val="000000" w:themeColor="text1"/>
          <w:sz w:val="24"/>
          <w14:textFill>
            <w14:solidFill>
              <w14:schemeClr w14:val="tx1"/>
            </w14:solidFill>
          </w14:textFill>
        </w:rPr>
      </w:pPr>
    </w:p>
    <w:p w14:paraId="128746DD">
      <w:pPr>
        <w:adjustRightInd w:val="0"/>
        <w:snapToGrid w:val="0"/>
        <w:ind w:firstLine="482" w:firstLineChars="2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.3-11</w:t>
      </w:r>
      <w:r>
        <w:rPr>
          <w:b/>
          <w:color w:val="000000" w:themeColor="text1"/>
          <w:sz w:val="24"/>
          <w14:textFill>
            <w14:solidFill>
              <w14:schemeClr w14:val="tx1"/>
            </w14:solidFill>
          </w14:textFill>
        </w:rPr>
        <w:t xml:space="preserve">  环境敏感目标分级</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7948"/>
      </w:tblGrid>
      <w:tr w14:paraId="2B1B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 w:type="pct"/>
            <w:vAlign w:val="center"/>
          </w:tcPr>
          <w:p w14:paraId="6AB63C63">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分级</w:t>
            </w:r>
          </w:p>
        </w:tc>
        <w:tc>
          <w:tcPr>
            <w:tcW w:w="4441" w:type="pct"/>
            <w:vAlign w:val="center"/>
          </w:tcPr>
          <w:p w14:paraId="6C379354">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环境敏感目标</w:t>
            </w:r>
          </w:p>
        </w:tc>
      </w:tr>
      <w:tr w14:paraId="1E78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 w:type="pct"/>
            <w:vAlign w:val="center"/>
          </w:tcPr>
          <w:p w14:paraId="6ADBB948">
            <w:pPr>
              <w:adjustRightInd w:val="0"/>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S1</w:t>
            </w:r>
          </w:p>
        </w:tc>
        <w:tc>
          <w:tcPr>
            <w:tcW w:w="4441" w:type="pct"/>
            <w:vAlign w:val="center"/>
          </w:tcPr>
          <w:p w14:paraId="0A5FF64C">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发生事故时，危险物质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w:t>
            </w:r>
            <w:r>
              <w:rPr>
                <w:rFonts w:hint="eastAsia"/>
                <w:color w:val="000000" w:themeColor="text1"/>
                <w:szCs w:val="21"/>
                <w14:textFill>
                  <w14:solidFill>
                    <w14:schemeClr w14:val="tx1"/>
                  </w14:solidFill>
                </w14:textFill>
              </w:rPr>
              <w:t>珍稀</w:t>
            </w:r>
            <w:r>
              <w:rPr>
                <w:color w:val="000000" w:themeColor="text1"/>
                <w:szCs w:val="21"/>
                <w14:textFill>
                  <w14:solidFill>
                    <w14:schemeClr w14:val="tx1"/>
                  </w14:solidFill>
                </w14:textFill>
              </w:rPr>
              <w:t>濒危野生动植物天然集中分布区；重要水生生物的自然产卵场及索饵场、越冬场和洄游通道；世界文化和自然遗产地；红树林、瑚礁等滨海湿地生态系统；珍稀、濒危海洋生物的天然集中分布区；海洋特别保护区；海上自然保护区；盐场保护区；海水浴场；海洋自然历史遗迹；风景名胜区；或其他特殊重要保护区域</w:t>
            </w:r>
          </w:p>
        </w:tc>
      </w:tr>
      <w:tr w14:paraId="5684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 w:type="pct"/>
            <w:vAlign w:val="center"/>
          </w:tcPr>
          <w:p w14:paraId="0D1CAB15">
            <w:pPr>
              <w:adjustRightInd w:val="0"/>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S2</w:t>
            </w:r>
          </w:p>
        </w:tc>
        <w:tc>
          <w:tcPr>
            <w:tcW w:w="4441" w:type="pct"/>
            <w:vAlign w:val="center"/>
          </w:tcPr>
          <w:p w14:paraId="1FDC03A5">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发生事故时，危险物质漏到内陆水体的排放点下游（顺水流向）10km范围内、近岸海域一个潮周期水质点可能达到的最大水平距离的两倍范围内，有如下一类或多类环境风险受体的：水产养殖区、天然渔场、森林公园、地质公园、滨海风景游览区及具有重要经济价值的海洋生物生存区域</w:t>
            </w:r>
          </w:p>
        </w:tc>
      </w:tr>
      <w:tr w14:paraId="395E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 w:type="pct"/>
            <w:vAlign w:val="center"/>
          </w:tcPr>
          <w:p w14:paraId="3936FC3C">
            <w:pPr>
              <w:adjustRightInd w:val="0"/>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S3</w:t>
            </w:r>
          </w:p>
        </w:tc>
        <w:tc>
          <w:tcPr>
            <w:tcW w:w="4441" w:type="pct"/>
            <w:vAlign w:val="center"/>
          </w:tcPr>
          <w:p w14:paraId="0D776B5B">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排放点下游（顺水流向）10km范围、近岸海域一个潮周期水质点可能达到的最大水平距离的两倍范围内无上述类型1和类型2包括的敏感保护目标</w:t>
            </w:r>
          </w:p>
        </w:tc>
      </w:tr>
    </w:tbl>
    <w:p w14:paraId="42A17619">
      <w:pPr>
        <w:adjustRightInd w:val="0"/>
        <w:snapToGrid w:val="0"/>
        <w:spacing w:line="360" w:lineRule="auto"/>
        <w:ind w:firstLine="480" w:firstLineChars="200"/>
        <w:rPr>
          <w:color w:val="000000" w:themeColor="text1"/>
          <w:sz w:val="24"/>
          <w14:textFill>
            <w14:solidFill>
              <w14:schemeClr w14:val="tx1"/>
            </w14:solidFill>
          </w14:textFill>
        </w:rPr>
      </w:pPr>
    </w:p>
    <w:p w14:paraId="4A73D606">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项目生活污水经化粪池处理后排入园区污水管网送钦州港大榄坪污水处理厂处理后，深海（</w:t>
      </w:r>
      <w:r>
        <w:rPr>
          <w:color w:val="000000" w:themeColor="text1"/>
          <w:sz w:val="24"/>
          <w14:textFill>
            <w14:solidFill>
              <w14:schemeClr w14:val="tx1"/>
            </w14:solidFill>
          </w14:textFill>
        </w:rPr>
        <w:t>108°39′12.00″E，21°39′15″N）</w:t>
      </w:r>
      <w:r>
        <w:rPr>
          <w:rFonts w:hint="eastAsia"/>
          <w:color w:val="000000" w:themeColor="text1"/>
          <w:sz w:val="24"/>
          <w14:textFill>
            <w14:solidFill>
              <w14:schemeClr w14:val="tx1"/>
            </w14:solidFill>
          </w14:textFill>
        </w:rPr>
        <w:t>排放，排放口海域属四类海水环境功能区。因此，地表水功能敏感性分级为F3。</w:t>
      </w:r>
    </w:p>
    <w:p w14:paraId="0FBD3F55">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项目事故废水</w:t>
      </w:r>
      <w:r>
        <w:rPr>
          <w:rFonts w:hint="eastAsia"/>
          <w:color w:val="000000" w:themeColor="text1"/>
          <w:sz w:val="24"/>
          <w:lang w:val="en-US" w:eastAsia="zh-CN"/>
          <w14:textFill>
            <w14:solidFill>
              <w14:schemeClr w14:val="tx1"/>
            </w14:solidFill>
          </w14:textFill>
        </w:rPr>
        <w:t>或者消防废水</w:t>
      </w:r>
      <w:r>
        <w:rPr>
          <w:color w:val="000000" w:themeColor="text1"/>
          <w:sz w:val="24"/>
          <w14:textFill>
            <w14:solidFill>
              <w14:schemeClr w14:val="tx1"/>
            </w14:solidFill>
          </w14:textFill>
        </w:rPr>
        <w:t>可能随雨水通过场区雨水沟汇入周边地表水体，</w:t>
      </w:r>
      <w:r>
        <w:rPr>
          <w:rFonts w:hint="eastAsia"/>
          <w:color w:val="000000" w:themeColor="text1"/>
          <w:sz w:val="24"/>
          <w14:textFill>
            <w14:solidFill>
              <w14:schemeClr w14:val="tx1"/>
            </w14:solidFill>
          </w14:textFill>
        </w:rPr>
        <w:t>废水排放点下游（顺水流向）10 km范围、近岸海域一个潮周期水质点可能达到的最大水平距离的两倍范围内有海月湾旅游度假区、犀丽湾（东南6.6km）</w:t>
      </w:r>
      <w:r>
        <w:rPr>
          <w:color w:val="000000" w:themeColor="text1"/>
          <w:sz w:val="24"/>
          <w14:textFill>
            <w14:solidFill>
              <w14:schemeClr w14:val="tx1"/>
            </w14:solidFill>
          </w14:textFill>
        </w:rPr>
        <w:t>。因此，敏感目标分级为S</w:t>
      </w:r>
      <w:r>
        <w:rPr>
          <w:rFonts w:hint="eastAsia"/>
          <w:color w:val="000000" w:themeColor="text1"/>
          <w:sz w:val="24"/>
          <w14:textFill>
            <w14:solidFill>
              <w14:schemeClr w14:val="tx1"/>
            </w14:solidFill>
          </w14:textFill>
        </w:rPr>
        <w:t>1。</w:t>
      </w:r>
    </w:p>
    <w:p w14:paraId="7112B997">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因此项目地表水环境敏感程度分级为E</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w:t>
      </w:r>
    </w:p>
    <w:p w14:paraId="668ECDA3">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③</w:t>
      </w:r>
      <w:r>
        <w:rPr>
          <w:bCs/>
          <w:color w:val="000000" w:themeColor="text1"/>
          <w:sz w:val="24"/>
          <w14:textFill>
            <w14:solidFill>
              <w14:schemeClr w14:val="tx1"/>
            </w14:solidFill>
          </w14:textFill>
        </w:rPr>
        <w:t>地</w:t>
      </w:r>
      <w:r>
        <w:rPr>
          <w:rFonts w:hint="eastAsia"/>
          <w:bCs/>
          <w:color w:val="000000" w:themeColor="text1"/>
          <w:sz w:val="24"/>
          <w14:textFill>
            <w14:solidFill>
              <w14:schemeClr w14:val="tx1"/>
            </w14:solidFill>
          </w14:textFill>
        </w:rPr>
        <w:t>下</w:t>
      </w:r>
      <w:r>
        <w:rPr>
          <w:bCs/>
          <w:color w:val="000000" w:themeColor="text1"/>
          <w:sz w:val="24"/>
          <w14:textFill>
            <w14:solidFill>
              <w14:schemeClr w14:val="tx1"/>
            </w14:solidFill>
          </w14:textFill>
        </w:rPr>
        <w:t>水环境敏感程度分级</w:t>
      </w:r>
    </w:p>
    <w:p w14:paraId="1DF7D502">
      <w:pPr>
        <w:pStyle w:val="7"/>
        <w:keepNex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表 1.3-12</w:t>
      </w:r>
      <w:r>
        <w:rPr>
          <w:color w:val="000000" w:themeColor="text1"/>
          <w:sz w:val="24"/>
          <w:szCs w:val="24"/>
          <w14:textFill>
            <w14:solidFill>
              <w14:schemeClr w14:val="tx1"/>
            </w14:solidFill>
          </w14:textFill>
        </w:rPr>
        <w:t xml:space="preserve">   </w:t>
      </w:r>
      <w:r>
        <w:rPr>
          <w:rFonts w:hint="eastAsia" w:cs="Times New Roman"/>
          <w:bCs/>
          <w:color w:val="000000" w:themeColor="text1"/>
          <w:sz w:val="24"/>
          <w:szCs w:val="24"/>
          <w14:textFill>
            <w14:solidFill>
              <w14:schemeClr w14:val="tx1"/>
            </w14:solidFill>
          </w14:textFill>
        </w:rPr>
        <w:t>地下水环境敏感程度分级</w:t>
      </w:r>
    </w:p>
    <w:tbl>
      <w:tblPr>
        <w:tblStyle w:val="24"/>
        <w:tblW w:w="8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1914"/>
        <w:gridCol w:w="2545"/>
        <w:gridCol w:w="2439"/>
      </w:tblGrid>
      <w:tr w14:paraId="1F92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7" w:type="dxa"/>
            <w:vMerge w:val="restart"/>
            <w:tcBorders>
              <w:top w:val="single" w:color="auto" w:sz="4" w:space="0"/>
              <w:left w:val="single" w:color="auto" w:sz="4" w:space="0"/>
              <w:bottom w:val="single" w:color="auto" w:sz="4" w:space="0"/>
              <w:right w:val="single" w:color="auto" w:sz="4" w:space="0"/>
            </w:tcBorders>
            <w:vAlign w:val="center"/>
          </w:tcPr>
          <w:p w14:paraId="47B377E8">
            <w:pPr>
              <w:spacing w:line="240" w:lineRule="atLeast"/>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环境敏感目标</w:t>
            </w:r>
          </w:p>
        </w:tc>
        <w:tc>
          <w:tcPr>
            <w:tcW w:w="6898" w:type="dxa"/>
            <w:gridSpan w:val="3"/>
            <w:tcBorders>
              <w:top w:val="single" w:color="auto" w:sz="4" w:space="0"/>
              <w:left w:val="single" w:color="auto" w:sz="4" w:space="0"/>
              <w:bottom w:val="single" w:color="auto" w:sz="4" w:space="0"/>
              <w:right w:val="single" w:color="auto" w:sz="4" w:space="0"/>
            </w:tcBorders>
            <w:vAlign w:val="center"/>
          </w:tcPr>
          <w:p w14:paraId="4B0BD260">
            <w:pPr>
              <w:spacing w:line="240" w:lineRule="atLeast"/>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地下水环境敏感特征</w:t>
            </w:r>
          </w:p>
        </w:tc>
      </w:tr>
      <w:tr w14:paraId="5C33D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7" w:type="dxa"/>
            <w:vMerge w:val="continue"/>
            <w:tcBorders>
              <w:top w:val="single" w:color="auto" w:sz="4" w:space="0"/>
              <w:left w:val="single" w:color="auto" w:sz="4" w:space="0"/>
              <w:bottom w:val="single" w:color="auto" w:sz="4" w:space="0"/>
              <w:right w:val="single" w:color="auto" w:sz="4" w:space="0"/>
            </w:tcBorders>
            <w:vAlign w:val="center"/>
          </w:tcPr>
          <w:p w14:paraId="55CDAF0E">
            <w:pPr>
              <w:widowControl/>
              <w:jc w:val="left"/>
              <w:rPr>
                <w:b/>
                <w:color w:val="000000" w:themeColor="text1"/>
                <w:szCs w:val="21"/>
                <w14:textFill>
                  <w14:solidFill>
                    <w14:schemeClr w14:val="tx1"/>
                  </w14:solidFill>
                </w14:textFill>
              </w:rPr>
            </w:pPr>
          </w:p>
        </w:tc>
        <w:tc>
          <w:tcPr>
            <w:tcW w:w="1914" w:type="dxa"/>
            <w:tcBorders>
              <w:top w:val="single" w:color="auto" w:sz="4" w:space="0"/>
              <w:left w:val="single" w:color="auto" w:sz="4" w:space="0"/>
              <w:bottom w:val="single" w:color="auto" w:sz="4" w:space="0"/>
              <w:right w:val="single" w:color="auto" w:sz="4" w:space="0"/>
            </w:tcBorders>
            <w:vAlign w:val="center"/>
          </w:tcPr>
          <w:p w14:paraId="4EC17EF5">
            <w:pPr>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G1</w:t>
            </w:r>
          </w:p>
        </w:tc>
        <w:tc>
          <w:tcPr>
            <w:tcW w:w="2545" w:type="dxa"/>
            <w:tcBorders>
              <w:top w:val="single" w:color="auto" w:sz="4" w:space="0"/>
              <w:left w:val="single" w:color="auto" w:sz="4" w:space="0"/>
              <w:bottom w:val="single" w:color="auto" w:sz="4" w:space="0"/>
              <w:right w:val="single" w:color="auto" w:sz="4" w:space="0"/>
            </w:tcBorders>
            <w:vAlign w:val="center"/>
          </w:tcPr>
          <w:p w14:paraId="703052CB">
            <w:pPr>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G2</w:t>
            </w:r>
          </w:p>
        </w:tc>
        <w:tc>
          <w:tcPr>
            <w:tcW w:w="2439" w:type="dxa"/>
            <w:tcBorders>
              <w:top w:val="single" w:color="auto" w:sz="4" w:space="0"/>
              <w:left w:val="single" w:color="auto" w:sz="4" w:space="0"/>
              <w:bottom w:val="single" w:color="auto" w:sz="4" w:space="0"/>
              <w:right w:val="single" w:color="auto" w:sz="4" w:space="0"/>
            </w:tcBorders>
            <w:vAlign w:val="center"/>
          </w:tcPr>
          <w:p w14:paraId="08E53521">
            <w:pPr>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G3</w:t>
            </w:r>
          </w:p>
        </w:tc>
      </w:tr>
      <w:tr w14:paraId="2765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7" w:type="dxa"/>
            <w:tcBorders>
              <w:top w:val="single" w:color="auto" w:sz="4" w:space="0"/>
              <w:left w:val="single" w:color="auto" w:sz="4" w:space="0"/>
              <w:bottom w:val="single" w:color="auto" w:sz="4" w:space="0"/>
              <w:right w:val="single" w:color="auto" w:sz="4" w:space="0"/>
            </w:tcBorders>
            <w:vAlign w:val="center"/>
          </w:tcPr>
          <w:p w14:paraId="4CE6C2DE">
            <w:pPr>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D1</w:t>
            </w:r>
          </w:p>
        </w:tc>
        <w:tc>
          <w:tcPr>
            <w:tcW w:w="1914" w:type="dxa"/>
            <w:tcBorders>
              <w:top w:val="single" w:color="auto" w:sz="4" w:space="0"/>
              <w:left w:val="single" w:color="auto" w:sz="4" w:space="0"/>
              <w:bottom w:val="single" w:color="auto" w:sz="4" w:space="0"/>
              <w:right w:val="single" w:color="auto" w:sz="4" w:space="0"/>
            </w:tcBorders>
            <w:vAlign w:val="center"/>
          </w:tcPr>
          <w:p w14:paraId="4BCEAF1E">
            <w:pPr>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E1</w:t>
            </w:r>
          </w:p>
        </w:tc>
        <w:tc>
          <w:tcPr>
            <w:tcW w:w="2545" w:type="dxa"/>
            <w:tcBorders>
              <w:top w:val="single" w:color="auto" w:sz="4" w:space="0"/>
              <w:left w:val="single" w:color="auto" w:sz="4" w:space="0"/>
              <w:bottom w:val="single" w:color="auto" w:sz="4" w:space="0"/>
              <w:right w:val="single" w:color="auto" w:sz="4" w:space="0"/>
            </w:tcBorders>
            <w:vAlign w:val="center"/>
          </w:tcPr>
          <w:p w14:paraId="5320DE06">
            <w:pPr>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E1</w:t>
            </w:r>
          </w:p>
        </w:tc>
        <w:tc>
          <w:tcPr>
            <w:tcW w:w="2439" w:type="dxa"/>
            <w:tcBorders>
              <w:top w:val="single" w:color="auto" w:sz="4" w:space="0"/>
              <w:left w:val="single" w:color="auto" w:sz="4" w:space="0"/>
              <w:bottom w:val="single" w:color="auto" w:sz="4" w:space="0"/>
              <w:right w:val="single" w:color="auto" w:sz="4" w:space="0"/>
            </w:tcBorders>
            <w:vAlign w:val="center"/>
          </w:tcPr>
          <w:p w14:paraId="2EF27B00">
            <w:pPr>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E2</w:t>
            </w:r>
          </w:p>
        </w:tc>
      </w:tr>
      <w:tr w14:paraId="4FAE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7" w:type="dxa"/>
            <w:tcBorders>
              <w:top w:val="single" w:color="auto" w:sz="4" w:space="0"/>
              <w:left w:val="single" w:color="auto" w:sz="4" w:space="0"/>
              <w:bottom w:val="single" w:color="auto" w:sz="4" w:space="0"/>
              <w:right w:val="single" w:color="auto" w:sz="4" w:space="0"/>
            </w:tcBorders>
            <w:vAlign w:val="center"/>
          </w:tcPr>
          <w:p w14:paraId="7B37292F">
            <w:pPr>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D2</w:t>
            </w:r>
          </w:p>
        </w:tc>
        <w:tc>
          <w:tcPr>
            <w:tcW w:w="1914" w:type="dxa"/>
            <w:tcBorders>
              <w:top w:val="single" w:color="auto" w:sz="4" w:space="0"/>
              <w:left w:val="single" w:color="auto" w:sz="4" w:space="0"/>
              <w:bottom w:val="single" w:color="auto" w:sz="4" w:space="0"/>
              <w:right w:val="single" w:color="auto" w:sz="4" w:space="0"/>
            </w:tcBorders>
            <w:vAlign w:val="center"/>
          </w:tcPr>
          <w:p w14:paraId="0E33DA7A">
            <w:pPr>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E1</w:t>
            </w:r>
          </w:p>
        </w:tc>
        <w:tc>
          <w:tcPr>
            <w:tcW w:w="2545" w:type="dxa"/>
            <w:tcBorders>
              <w:top w:val="single" w:color="auto" w:sz="4" w:space="0"/>
              <w:left w:val="single" w:color="auto" w:sz="4" w:space="0"/>
              <w:bottom w:val="single" w:color="auto" w:sz="4" w:space="0"/>
              <w:right w:val="single" w:color="auto" w:sz="4" w:space="0"/>
            </w:tcBorders>
            <w:vAlign w:val="center"/>
          </w:tcPr>
          <w:p w14:paraId="76512B18">
            <w:pPr>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E2</w:t>
            </w:r>
          </w:p>
        </w:tc>
        <w:tc>
          <w:tcPr>
            <w:tcW w:w="2439" w:type="dxa"/>
            <w:tcBorders>
              <w:top w:val="single" w:color="auto" w:sz="4" w:space="0"/>
              <w:left w:val="single" w:color="auto" w:sz="4" w:space="0"/>
              <w:bottom w:val="single" w:color="auto" w:sz="4" w:space="0"/>
              <w:right w:val="single" w:color="auto" w:sz="4" w:space="0"/>
            </w:tcBorders>
            <w:vAlign w:val="center"/>
          </w:tcPr>
          <w:p w14:paraId="22EF4170">
            <w:pPr>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E3</w:t>
            </w:r>
          </w:p>
        </w:tc>
      </w:tr>
      <w:tr w14:paraId="3053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7" w:type="dxa"/>
            <w:tcBorders>
              <w:top w:val="single" w:color="auto" w:sz="4" w:space="0"/>
              <w:left w:val="single" w:color="auto" w:sz="4" w:space="0"/>
              <w:bottom w:val="single" w:color="auto" w:sz="4" w:space="0"/>
              <w:right w:val="single" w:color="auto" w:sz="4" w:space="0"/>
            </w:tcBorders>
            <w:vAlign w:val="center"/>
          </w:tcPr>
          <w:p w14:paraId="69F8F906">
            <w:pPr>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D3</w:t>
            </w:r>
          </w:p>
        </w:tc>
        <w:tc>
          <w:tcPr>
            <w:tcW w:w="1914" w:type="dxa"/>
            <w:tcBorders>
              <w:top w:val="single" w:color="auto" w:sz="4" w:space="0"/>
              <w:left w:val="single" w:color="auto" w:sz="4" w:space="0"/>
              <w:bottom w:val="single" w:color="auto" w:sz="4" w:space="0"/>
              <w:right w:val="single" w:color="auto" w:sz="4" w:space="0"/>
            </w:tcBorders>
            <w:vAlign w:val="center"/>
          </w:tcPr>
          <w:p w14:paraId="0F7650BF">
            <w:pPr>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E2</w:t>
            </w:r>
          </w:p>
        </w:tc>
        <w:tc>
          <w:tcPr>
            <w:tcW w:w="2545" w:type="dxa"/>
            <w:tcBorders>
              <w:top w:val="single" w:color="auto" w:sz="4" w:space="0"/>
              <w:left w:val="single" w:color="auto" w:sz="4" w:space="0"/>
              <w:bottom w:val="single" w:color="auto" w:sz="4" w:space="0"/>
              <w:right w:val="single" w:color="auto" w:sz="4" w:space="0"/>
            </w:tcBorders>
            <w:vAlign w:val="center"/>
          </w:tcPr>
          <w:p w14:paraId="490462A3">
            <w:pPr>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E2</w:t>
            </w:r>
          </w:p>
        </w:tc>
        <w:tc>
          <w:tcPr>
            <w:tcW w:w="2439" w:type="dxa"/>
            <w:tcBorders>
              <w:top w:val="single" w:color="auto" w:sz="4" w:space="0"/>
              <w:left w:val="single" w:color="auto" w:sz="4" w:space="0"/>
              <w:bottom w:val="single" w:color="auto" w:sz="4" w:space="0"/>
              <w:right w:val="single" w:color="auto" w:sz="4" w:space="0"/>
            </w:tcBorders>
            <w:vAlign w:val="center"/>
          </w:tcPr>
          <w:p w14:paraId="4848EA58">
            <w:pPr>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E3</w:t>
            </w:r>
          </w:p>
        </w:tc>
      </w:tr>
    </w:tbl>
    <w:p w14:paraId="2E2DCC5D">
      <w:pPr>
        <w:rPr>
          <w:color w:val="000000" w:themeColor="text1"/>
          <w14:textFill>
            <w14:solidFill>
              <w14:schemeClr w14:val="tx1"/>
            </w14:solidFill>
          </w14:textFill>
        </w:rPr>
      </w:pPr>
    </w:p>
    <w:p w14:paraId="28D2A945">
      <w:pPr>
        <w:rPr>
          <w:color w:val="000000" w:themeColor="text1"/>
          <w14:textFill>
            <w14:solidFill>
              <w14:schemeClr w14:val="tx1"/>
            </w14:solidFill>
          </w14:textFill>
        </w:rPr>
      </w:pPr>
    </w:p>
    <w:p w14:paraId="5D71691A">
      <w:pPr>
        <w:pStyle w:val="7"/>
        <w:keepNext/>
        <w:rPr>
          <w:color w:val="000000" w:themeColor="text1"/>
          <w:sz w:val="24"/>
          <w:szCs w:val="24"/>
          <w14:textFill>
            <w14:solidFill>
              <w14:schemeClr w14:val="tx1"/>
            </w14:solidFill>
          </w14:textFill>
        </w:rPr>
      </w:pPr>
    </w:p>
    <w:p w14:paraId="1421FC66">
      <w:pPr>
        <w:rPr>
          <w:color w:val="000000" w:themeColor="text1"/>
          <w14:textFill>
            <w14:solidFill>
              <w14:schemeClr w14:val="tx1"/>
            </w14:solidFill>
          </w14:textFill>
        </w:rPr>
      </w:pPr>
    </w:p>
    <w:p w14:paraId="6289BD98">
      <w:pPr>
        <w:rPr>
          <w:color w:val="000000" w:themeColor="text1"/>
          <w14:textFill>
            <w14:solidFill>
              <w14:schemeClr w14:val="tx1"/>
            </w14:solidFill>
          </w14:textFill>
        </w:rPr>
      </w:pPr>
    </w:p>
    <w:p w14:paraId="3D3C4085">
      <w:pPr>
        <w:rPr>
          <w:color w:val="000000" w:themeColor="text1"/>
          <w14:textFill>
            <w14:solidFill>
              <w14:schemeClr w14:val="tx1"/>
            </w14:solidFill>
          </w14:textFill>
        </w:rPr>
      </w:pPr>
    </w:p>
    <w:p w14:paraId="3461B719">
      <w:pPr>
        <w:rPr>
          <w:color w:val="000000" w:themeColor="text1"/>
          <w14:textFill>
            <w14:solidFill>
              <w14:schemeClr w14:val="tx1"/>
            </w14:solidFill>
          </w14:textFill>
        </w:rPr>
      </w:pPr>
    </w:p>
    <w:p w14:paraId="7EC1E14E">
      <w:pPr>
        <w:pStyle w:val="7"/>
        <w:keepNext/>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表 1.3-13</w:t>
      </w:r>
      <w:r>
        <w:rPr>
          <w:color w:val="000000" w:themeColor="text1"/>
          <w:sz w:val="24"/>
          <w:szCs w:val="24"/>
          <w14:textFill>
            <w14:solidFill>
              <w14:schemeClr w14:val="tx1"/>
            </w14:solidFill>
          </w14:textFill>
        </w:rPr>
        <w:t xml:space="preserve">   </w:t>
      </w:r>
      <w:r>
        <w:rPr>
          <w:rFonts w:hint="eastAsia" w:cs="Times New Roman"/>
          <w:color w:val="000000" w:themeColor="text1"/>
          <w:sz w:val="24"/>
          <w:szCs w:val="24"/>
          <w14:textFill>
            <w14:solidFill>
              <w14:schemeClr w14:val="tx1"/>
            </w14:solidFill>
          </w14:textFill>
        </w:rPr>
        <w:t>地下水功能敏感性分区</w:t>
      </w:r>
    </w:p>
    <w:tbl>
      <w:tblPr>
        <w:tblStyle w:val="24"/>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6780"/>
      </w:tblGrid>
      <w:tr w14:paraId="6526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0" w:type="dxa"/>
            <w:tcBorders>
              <w:top w:val="single" w:color="auto" w:sz="4" w:space="0"/>
              <w:left w:val="single" w:color="auto" w:sz="4" w:space="0"/>
              <w:bottom w:val="single" w:color="auto" w:sz="4" w:space="0"/>
              <w:right w:val="single" w:color="auto" w:sz="4" w:space="0"/>
            </w:tcBorders>
            <w:vAlign w:val="center"/>
          </w:tcPr>
          <w:p w14:paraId="6EED6A04">
            <w:pPr>
              <w:spacing w:line="240" w:lineRule="atLeast"/>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敏感性</w:t>
            </w:r>
          </w:p>
        </w:tc>
        <w:tc>
          <w:tcPr>
            <w:tcW w:w="6780" w:type="dxa"/>
            <w:tcBorders>
              <w:top w:val="single" w:color="auto" w:sz="4" w:space="0"/>
              <w:left w:val="single" w:color="auto" w:sz="4" w:space="0"/>
              <w:bottom w:val="single" w:color="auto" w:sz="4" w:space="0"/>
              <w:right w:val="single" w:color="auto" w:sz="4" w:space="0"/>
            </w:tcBorders>
            <w:vAlign w:val="center"/>
          </w:tcPr>
          <w:p w14:paraId="2508FEE3">
            <w:pPr>
              <w:spacing w:line="240" w:lineRule="atLeast"/>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地下水环境敏感性特征</w:t>
            </w:r>
          </w:p>
        </w:tc>
      </w:tr>
      <w:tr w14:paraId="21ED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0" w:type="dxa"/>
            <w:tcBorders>
              <w:top w:val="single" w:color="auto" w:sz="4" w:space="0"/>
              <w:left w:val="single" w:color="auto" w:sz="4" w:space="0"/>
              <w:bottom w:val="single" w:color="auto" w:sz="4" w:space="0"/>
              <w:right w:val="single" w:color="auto" w:sz="4" w:space="0"/>
            </w:tcBorders>
            <w:vAlign w:val="center"/>
          </w:tcPr>
          <w:p w14:paraId="242255A3">
            <w:pPr>
              <w:spacing w:line="240" w:lineRule="atLeas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敏感</w:t>
            </w:r>
            <w:r>
              <w:rPr>
                <w:bCs/>
                <w:color w:val="000000" w:themeColor="text1"/>
                <w:szCs w:val="21"/>
                <w14:textFill>
                  <w14:solidFill>
                    <w14:schemeClr w14:val="tx1"/>
                  </w14:solidFill>
                </w14:textFill>
              </w:rPr>
              <w:t>G1</w:t>
            </w:r>
          </w:p>
        </w:tc>
        <w:tc>
          <w:tcPr>
            <w:tcW w:w="6780" w:type="dxa"/>
            <w:tcBorders>
              <w:top w:val="single" w:color="auto" w:sz="4" w:space="0"/>
              <w:left w:val="single" w:color="auto" w:sz="4" w:space="0"/>
              <w:bottom w:val="single" w:color="auto" w:sz="4" w:space="0"/>
              <w:right w:val="single" w:color="auto" w:sz="4" w:space="0"/>
            </w:tcBorders>
            <w:vAlign w:val="center"/>
          </w:tcPr>
          <w:p w14:paraId="543C21E9">
            <w:pPr>
              <w:widowControl/>
              <w:spacing w:line="240" w:lineRule="atLeast"/>
              <w:jc w:val="left"/>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集中式饮用水水源（包括已建成的在用、备用、应急水源，在建和规划的饮用水水源）准保护区；除集中式饮用水水源以外的国家或地方政府设定的与地下水环境的其他保护区，如热水、矿泉水、温泉等特殊地下水资源保护区</w:t>
            </w:r>
          </w:p>
        </w:tc>
      </w:tr>
      <w:tr w14:paraId="52C9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0" w:type="dxa"/>
            <w:tcBorders>
              <w:top w:val="single" w:color="auto" w:sz="4" w:space="0"/>
              <w:left w:val="single" w:color="auto" w:sz="4" w:space="0"/>
              <w:bottom w:val="single" w:color="auto" w:sz="4" w:space="0"/>
              <w:right w:val="single" w:color="auto" w:sz="4" w:space="0"/>
            </w:tcBorders>
            <w:vAlign w:val="center"/>
          </w:tcPr>
          <w:p w14:paraId="38866AD5">
            <w:pPr>
              <w:spacing w:line="240" w:lineRule="atLeas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较敏感</w:t>
            </w:r>
            <w:r>
              <w:rPr>
                <w:bCs/>
                <w:color w:val="000000" w:themeColor="text1"/>
                <w:szCs w:val="21"/>
                <w14:textFill>
                  <w14:solidFill>
                    <w14:schemeClr w14:val="tx1"/>
                  </w14:solidFill>
                </w14:textFill>
              </w:rPr>
              <w:t>G2</w:t>
            </w:r>
          </w:p>
        </w:tc>
        <w:tc>
          <w:tcPr>
            <w:tcW w:w="6780" w:type="dxa"/>
            <w:tcBorders>
              <w:top w:val="single" w:color="auto" w:sz="4" w:space="0"/>
              <w:left w:val="single" w:color="auto" w:sz="4" w:space="0"/>
              <w:bottom w:val="single" w:color="auto" w:sz="4" w:space="0"/>
              <w:right w:val="single" w:color="auto" w:sz="4" w:space="0"/>
            </w:tcBorders>
            <w:vAlign w:val="center"/>
          </w:tcPr>
          <w:p w14:paraId="17BD4340">
            <w:pPr>
              <w:widowControl/>
              <w:spacing w:line="240" w:lineRule="atLeast"/>
              <w:jc w:val="left"/>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color w:val="000000" w:themeColor="text1"/>
                <w:kern w:val="0"/>
                <w:szCs w:val="21"/>
                <w:vertAlign w:val="superscript"/>
                <w:lang w:bidi="ar"/>
                <w14:textFill>
                  <w14:solidFill>
                    <w14:schemeClr w14:val="tx1"/>
                  </w14:solidFill>
                </w14:textFill>
              </w:rPr>
              <w:t>a</w:t>
            </w:r>
          </w:p>
        </w:tc>
      </w:tr>
      <w:tr w14:paraId="0D36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0" w:type="dxa"/>
            <w:tcBorders>
              <w:top w:val="single" w:color="auto" w:sz="4" w:space="0"/>
              <w:left w:val="single" w:color="auto" w:sz="4" w:space="0"/>
              <w:bottom w:val="single" w:color="auto" w:sz="4" w:space="0"/>
              <w:right w:val="single" w:color="auto" w:sz="4" w:space="0"/>
            </w:tcBorders>
            <w:vAlign w:val="center"/>
          </w:tcPr>
          <w:p w14:paraId="1D39E3A4">
            <w:pPr>
              <w:spacing w:line="240" w:lineRule="atLeas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不敏感</w:t>
            </w:r>
            <w:r>
              <w:rPr>
                <w:bCs/>
                <w:color w:val="000000" w:themeColor="text1"/>
                <w:szCs w:val="21"/>
                <w14:textFill>
                  <w14:solidFill>
                    <w14:schemeClr w14:val="tx1"/>
                  </w14:solidFill>
                </w14:textFill>
              </w:rPr>
              <w:t>G3</w:t>
            </w:r>
          </w:p>
        </w:tc>
        <w:tc>
          <w:tcPr>
            <w:tcW w:w="6780" w:type="dxa"/>
            <w:tcBorders>
              <w:top w:val="single" w:color="auto" w:sz="4" w:space="0"/>
              <w:left w:val="single" w:color="auto" w:sz="4" w:space="0"/>
              <w:bottom w:val="single" w:color="auto" w:sz="4" w:space="0"/>
              <w:right w:val="single" w:color="auto" w:sz="4" w:space="0"/>
            </w:tcBorders>
            <w:vAlign w:val="center"/>
          </w:tcPr>
          <w:p w14:paraId="50DEC4F2">
            <w:pPr>
              <w:spacing w:line="240" w:lineRule="atLeas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上述地区之外的其他地区</w:t>
            </w:r>
          </w:p>
        </w:tc>
      </w:tr>
      <w:tr w14:paraId="6BF8B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0" w:type="dxa"/>
            <w:gridSpan w:val="2"/>
            <w:tcBorders>
              <w:top w:val="single" w:color="auto" w:sz="4" w:space="0"/>
              <w:left w:val="single" w:color="auto" w:sz="4" w:space="0"/>
              <w:bottom w:val="single" w:color="auto" w:sz="4" w:space="0"/>
              <w:right w:val="single" w:color="auto" w:sz="4" w:space="0"/>
            </w:tcBorders>
            <w:vAlign w:val="center"/>
          </w:tcPr>
          <w:p w14:paraId="7AC829CE">
            <w:pPr>
              <w:widowControl/>
              <w:spacing w:line="240" w:lineRule="atLeast"/>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a“</w:t>
            </w:r>
            <w:r>
              <w:rPr>
                <w:rFonts w:hint="eastAsia"/>
                <w:color w:val="000000" w:themeColor="text1"/>
                <w:kern w:val="0"/>
                <w:szCs w:val="21"/>
                <w:lang w:bidi="ar"/>
                <w14:textFill>
                  <w14:solidFill>
                    <w14:schemeClr w14:val="tx1"/>
                  </w14:solidFill>
                </w14:textFill>
              </w:rPr>
              <w:t>环境敏感区</w:t>
            </w:r>
            <w:r>
              <w:rPr>
                <w:color w:val="000000" w:themeColor="text1"/>
                <w:kern w:val="0"/>
                <w:szCs w:val="21"/>
                <w:lang w:bidi="ar"/>
                <w14:textFill>
                  <w14:solidFill>
                    <w14:schemeClr w14:val="tx1"/>
                  </w14:solidFill>
                </w14:textFill>
              </w:rPr>
              <w:t>”</w:t>
            </w:r>
            <w:r>
              <w:rPr>
                <w:rFonts w:hint="eastAsia"/>
                <w:color w:val="000000" w:themeColor="text1"/>
                <w:kern w:val="0"/>
                <w:szCs w:val="21"/>
                <w:lang w:bidi="ar"/>
                <w14:textFill>
                  <w14:solidFill>
                    <w14:schemeClr w14:val="tx1"/>
                  </w14:solidFill>
                </w14:textFill>
              </w:rPr>
              <w:t>是指《建设项目环境影响评价分类管理名录》中所界定的涉及地下水的环境敏感区</w:t>
            </w:r>
          </w:p>
        </w:tc>
      </w:tr>
    </w:tbl>
    <w:p w14:paraId="3F328013">
      <w:pPr>
        <w:pStyle w:val="7"/>
        <w:keepNext/>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表1.3-14 </w:t>
      </w:r>
      <w:r>
        <w:rPr>
          <w:color w:val="000000" w:themeColor="text1"/>
          <w14:textFill>
            <w14:solidFill>
              <w14:schemeClr w14:val="tx1"/>
            </w14:solidFill>
          </w14:textFill>
        </w:rPr>
        <w:t xml:space="preserve">   </w:t>
      </w:r>
      <w:r>
        <w:rPr>
          <w:rFonts w:hint="eastAsia" w:cs="Times New Roman"/>
          <w:color w:val="000000" w:themeColor="text1"/>
          <w:szCs w:val="21"/>
          <w14:textFill>
            <w14:solidFill>
              <w14:schemeClr w14:val="tx1"/>
            </w14:solidFill>
          </w14:textFill>
        </w:rPr>
        <w:t>包气带防污性能分级</w:t>
      </w:r>
    </w:p>
    <w:tbl>
      <w:tblPr>
        <w:tblStyle w:val="24"/>
        <w:tblW w:w="8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7136"/>
      </w:tblGrid>
      <w:tr w14:paraId="65C4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9" w:type="dxa"/>
            <w:tcBorders>
              <w:top w:val="single" w:color="auto" w:sz="4" w:space="0"/>
              <w:left w:val="single" w:color="auto" w:sz="4" w:space="0"/>
              <w:bottom w:val="single" w:color="auto" w:sz="4" w:space="0"/>
              <w:right w:val="single" w:color="auto" w:sz="4" w:space="0"/>
            </w:tcBorders>
            <w:vAlign w:val="center"/>
          </w:tcPr>
          <w:p w14:paraId="0F683B70">
            <w:pPr>
              <w:spacing w:line="240" w:lineRule="atLeast"/>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分级</w:t>
            </w:r>
          </w:p>
        </w:tc>
        <w:tc>
          <w:tcPr>
            <w:tcW w:w="7136" w:type="dxa"/>
            <w:tcBorders>
              <w:top w:val="single" w:color="auto" w:sz="4" w:space="0"/>
              <w:left w:val="single" w:color="auto" w:sz="4" w:space="0"/>
              <w:bottom w:val="single" w:color="auto" w:sz="4" w:space="0"/>
              <w:right w:val="single" w:color="auto" w:sz="4" w:space="0"/>
            </w:tcBorders>
            <w:vAlign w:val="center"/>
          </w:tcPr>
          <w:p w14:paraId="2CBCE5B2">
            <w:pPr>
              <w:spacing w:line="240" w:lineRule="atLeast"/>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包气带岩土的渗透性能</w:t>
            </w:r>
          </w:p>
        </w:tc>
      </w:tr>
      <w:tr w14:paraId="2F90C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9" w:type="dxa"/>
            <w:tcBorders>
              <w:top w:val="single" w:color="auto" w:sz="4" w:space="0"/>
              <w:left w:val="single" w:color="auto" w:sz="4" w:space="0"/>
              <w:bottom w:val="single" w:color="auto" w:sz="4" w:space="0"/>
              <w:right w:val="single" w:color="auto" w:sz="4" w:space="0"/>
            </w:tcBorders>
            <w:vAlign w:val="center"/>
          </w:tcPr>
          <w:p w14:paraId="440900D5">
            <w:pPr>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D3</w:t>
            </w:r>
          </w:p>
        </w:tc>
        <w:tc>
          <w:tcPr>
            <w:tcW w:w="7136" w:type="dxa"/>
            <w:tcBorders>
              <w:top w:val="single" w:color="auto" w:sz="4" w:space="0"/>
              <w:left w:val="single" w:color="auto" w:sz="4" w:space="0"/>
              <w:bottom w:val="single" w:color="auto" w:sz="4" w:space="0"/>
              <w:right w:val="single" w:color="auto" w:sz="4" w:space="0"/>
            </w:tcBorders>
            <w:vAlign w:val="center"/>
          </w:tcPr>
          <w:p w14:paraId="2871C49F">
            <w:pPr>
              <w:widowControl/>
              <w:spacing w:line="240" w:lineRule="atLeast"/>
              <w:jc w:val="center"/>
              <w:rPr>
                <w:bCs/>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Mb≥1.0m</w:t>
            </w:r>
            <w:r>
              <w:rPr>
                <w:rFonts w:hint="eastAsia"/>
                <w:color w:val="000000" w:themeColor="text1"/>
                <w:kern w:val="0"/>
                <w:szCs w:val="21"/>
                <w:lang w:bidi="ar"/>
                <w14:textFill>
                  <w14:solidFill>
                    <w14:schemeClr w14:val="tx1"/>
                  </w14:solidFill>
                </w14:textFill>
              </w:rPr>
              <w:t>，</w:t>
            </w:r>
            <w:r>
              <w:rPr>
                <w:i/>
                <w:color w:val="000000" w:themeColor="text1"/>
                <w:kern w:val="0"/>
                <w:szCs w:val="21"/>
                <w:lang w:bidi="ar"/>
                <w14:textFill>
                  <w14:solidFill>
                    <w14:schemeClr w14:val="tx1"/>
                  </w14:solidFill>
                </w14:textFill>
              </w:rPr>
              <w:t>K</w:t>
            </w:r>
            <w:r>
              <w:rPr>
                <w:color w:val="000000" w:themeColor="text1"/>
                <w:kern w:val="0"/>
                <w:szCs w:val="21"/>
                <w:lang w:bidi="ar"/>
                <w14:textFill>
                  <w14:solidFill>
                    <w14:schemeClr w14:val="tx1"/>
                  </w14:solidFill>
                </w14:textFill>
              </w:rPr>
              <w:t>≤1.0×10</w:t>
            </w:r>
            <w:r>
              <w:rPr>
                <w:color w:val="000000" w:themeColor="text1"/>
                <w:kern w:val="0"/>
                <w:szCs w:val="21"/>
                <w:vertAlign w:val="superscript"/>
                <w:lang w:bidi="ar"/>
                <w14:textFill>
                  <w14:solidFill>
                    <w14:schemeClr w14:val="tx1"/>
                  </w14:solidFill>
                </w14:textFill>
              </w:rPr>
              <w:t>-6</w:t>
            </w:r>
            <w:r>
              <w:rPr>
                <w:color w:val="000000" w:themeColor="text1"/>
                <w:kern w:val="0"/>
                <w:szCs w:val="21"/>
                <w:lang w:bidi="ar"/>
                <w14:textFill>
                  <w14:solidFill>
                    <w14:schemeClr w14:val="tx1"/>
                  </w14:solidFill>
                </w14:textFill>
              </w:rPr>
              <w:t>cm/s</w:t>
            </w:r>
            <w:r>
              <w:rPr>
                <w:rFonts w:hint="eastAsia"/>
                <w:color w:val="000000" w:themeColor="text1"/>
                <w:kern w:val="0"/>
                <w:szCs w:val="21"/>
                <w:lang w:bidi="ar"/>
                <w14:textFill>
                  <w14:solidFill>
                    <w14:schemeClr w14:val="tx1"/>
                  </w14:solidFill>
                </w14:textFill>
              </w:rPr>
              <w:t>，且分布连续、稳定</w:t>
            </w:r>
          </w:p>
        </w:tc>
      </w:tr>
      <w:tr w14:paraId="5C62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9" w:type="dxa"/>
            <w:tcBorders>
              <w:top w:val="single" w:color="auto" w:sz="4" w:space="0"/>
              <w:left w:val="single" w:color="auto" w:sz="4" w:space="0"/>
              <w:bottom w:val="single" w:color="auto" w:sz="4" w:space="0"/>
              <w:right w:val="single" w:color="auto" w:sz="4" w:space="0"/>
            </w:tcBorders>
            <w:vAlign w:val="center"/>
          </w:tcPr>
          <w:p w14:paraId="60576EB7">
            <w:pPr>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D2</w:t>
            </w:r>
          </w:p>
        </w:tc>
        <w:tc>
          <w:tcPr>
            <w:tcW w:w="7136" w:type="dxa"/>
            <w:tcBorders>
              <w:top w:val="single" w:color="auto" w:sz="4" w:space="0"/>
              <w:left w:val="single" w:color="auto" w:sz="4" w:space="0"/>
              <w:bottom w:val="single" w:color="auto" w:sz="4" w:space="0"/>
              <w:right w:val="single" w:color="auto" w:sz="4" w:space="0"/>
            </w:tcBorders>
            <w:vAlign w:val="center"/>
          </w:tcPr>
          <w:p w14:paraId="153F5413">
            <w:pPr>
              <w:widowControl/>
              <w:spacing w:line="240" w:lineRule="atLeast"/>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0.5m≤Mb</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1.0m</w:t>
            </w:r>
            <w:r>
              <w:rPr>
                <w:rFonts w:hint="eastAsia"/>
                <w:color w:val="000000" w:themeColor="text1"/>
                <w:kern w:val="0"/>
                <w:szCs w:val="21"/>
                <w:lang w:bidi="ar"/>
                <w14:textFill>
                  <w14:solidFill>
                    <w14:schemeClr w14:val="tx1"/>
                  </w14:solidFill>
                </w14:textFill>
              </w:rPr>
              <w:t>，</w:t>
            </w:r>
            <w:r>
              <w:rPr>
                <w:i/>
                <w:color w:val="000000" w:themeColor="text1"/>
                <w:kern w:val="0"/>
                <w:szCs w:val="21"/>
                <w:lang w:bidi="ar"/>
                <w14:textFill>
                  <w14:solidFill>
                    <w14:schemeClr w14:val="tx1"/>
                  </w14:solidFill>
                </w14:textFill>
              </w:rPr>
              <w:t>K</w:t>
            </w:r>
            <w:r>
              <w:rPr>
                <w:color w:val="000000" w:themeColor="text1"/>
                <w:kern w:val="0"/>
                <w:szCs w:val="21"/>
                <w:lang w:bidi="ar"/>
                <w14:textFill>
                  <w14:solidFill>
                    <w14:schemeClr w14:val="tx1"/>
                  </w14:solidFill>
                </w14:textFill>
              </w:rPr>
              <w:t>≤1.0×10</w:t>
            </w:r>
            <w:r>
              <w:rPr>
                <w:color w:val="000000" w:themeColor="text1"/>
                <w:kern w:val="0"/>
                <w:szCs w:val="21"/>
                <w:vertAlign w:val="superscript"/>
                <w:lang w:bidi="ar"/>
                <w14:textFill>
                  <w14:solidFill>
                    <w14:schemeClr w14:val="tx1"/>
                  </w14:solidFill>
                </w14:textFill>
              </w:rPr>
              <w:t>-6</w:t>
            </w:r>
            <w:r>
              <w:rPr>
                <w:color w:val="000000" w:themeColor="text1"/>
                <w:kern w:val="0"/>
                <w:szCs w:val="21"/>
                <w:lang w:bidi="ar"/>
                <w14:textFill>
                  <w14:solidFill>
                    <w14:schemeClr w14:val="tx1"/>
                  </w14:solidFill>
                </w14:textFill>
              </w:rPr>
              <w:t>cm/s</w:t>
            </w:r>
            <w:r>
              <w:rPr>
                <w:rFonts w:hint="eastAsia"/>
                <w:color w:val="000000" w:themeColor="text1"/>
                <w:kern w:val="0"/>
                <w:szCs w:val="21"/>
                <w:lang w:bidi="ar"/>
                <w14:textFill>
                  <w14:solidFill>
                    <w14:schemeClr w14:val="tx1"/>
                  </w14:solidFill>
                </w14:textFill>
              </w:rPr>
              <w:t>，且分布连续、稳定</w:t>
            </w:r>
          </w:p>
          <w:p w14:paraId="39891E77">
            <w:pPr>
              <w:widowControl/>
              <w:spacing w:line="240" w:lineRule="atLeast"/>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Mb≥1.0m</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1.0×10</w:t>
            </w:r>
            <w:r>
              <w:rPr>
                <w:color w:val="000000" w:themeColor="text1"/>
                <w:kern w:val="0"/>
                <w:szCs w:val="21"/>
                <w:vertAlign w:val="superscript"/>
                <w:lang w:bidi="ar"/>
                <w14:textFill>
                  <w14:solidFill>
                    <w14:schemeClr w14:val="tx1"/>
                  </w14:solidFill>
                </w14:textFill>
              </w:rPr>
              <w:t>-6</w:t>
            </w:r>
            <w:r>
              <w:rPr>
                <w:color w:val="000000" w:themeColor="text1"/>
                <w:kern w:val="0"/>
                <w:szCs w:val="21"/>
                <w:lang w:bidi="ar"/>
                <w14:textFill>
                  <w14:solidFill>
                    <w14:schemeClr w14:val="tx1"/>
                  </w14:solidFill>
                </w14:textFill>
              </w:rPr>
              <w:t>cm/s</w:t>
            </w:r>
            <w:r>
              <w:rPr>
                <w:rFonts w:hint="eastAsia"/>
                <w:color w:val="000000" w:themeColor="text1"/>
                <w:kern w:val="0"/>
                <w:szCs w:val="21"/>
                <w:lang w:bidi="ar"/>
                <w14:textFill>
                  <w14:solidFill>
                    <w14:schemeClr w14:val="tx1"/>
                  </w14:solidFill>
                </w14:textFill>
              </w:rPr>
              <w:t>＜</w:t>
            </w:r>
            <w:r>
              <w:rPr>
                <w:i/>
                <w:color w:val="000000" w:themeColor="text1"/>
                <w:kern w:val="0"/>
                <w:szCs w:val="21"/>
                <w:lang w:bidi="ar"/>
                <w14:textFill>
                  <w14:solidFill>
                    <w14:schemeClr w14:val="tx1"/>
                  </w14:solidFill>
                </w14:textFill>
              </w:rPr>
              <w:t>K</w:t>
            </w:r>
            <w:r>
              <w:rPr>
                <w:color w:val="000000" w:themeColor="text1"/>
                <w:kern w:val="0"/>
                <w:szCs w:val="21"/>
                <w:lang w:bidi="ar"/>
                <w14:textFill>
                  <w14:solidFill>
                    <w14:schemeClr w14:val="tx1"/>
                  </w14:solidFill>
                </w14:textFill>
              </w:rPr>
              <w:t>≤1.0×10</w:t>
            </w:r>
            <w:r>
              <w:rPr>
                <w:color w:val="000000" w:themeColor="text1"/>
                <w:kern w:val="0"/>
                <w:szCs w:val="21"/>
                <w:vertAlign w:val="superscript"/>
                <w:lang w:bidi="ar"/>
                <w14:textFill>
                  <w14:solidFill>
                    <w14:schemeClr w14:val="tx1"/>
                  </w14:solidFill>
                </w14:textFill>
              </w:rPr>
              <w:t>-4</w:t>
            </w:r>
            <w:r>
              <w:rPr>
                <w:color w:val="000000" w:themeColor="text1"/>
                <w:kern w:val="0"/>
                <w:szCs w:val="21"/>
                <w:lang w:bidi="ar"/>
                <w14:textFill>
                  <w14:solidFill>
                    <w14:schemeClr w14:val="tx1"/>
                  </w14:solidFill>
                </w14:textFill>
              </w:rPr>
              <w:t>cm/s</w:t>
            </w:r>
            <w:r>
              <w:rPr>
                <w:rFonts w:hint="eastAsia"/>
                <w:color w:val="000000" w:themeColor="text1"/>
                <w:kern w:val="0"/>
                <w:szCs w:val="21"/>
                <w:lang w:bidi="ar"/>
                <w14:textFill>
                  <w14:solidFill>
                    <w14:schemeClr w14:val="tx1"/>
                  </w14:solidFill>
                </w14:textFill>
              </w:rPr>
              <w:t>，且分布连续、稳定</w:t>
            </w:r>
          </w:p>
        </w:tc>
      </w:tr>
      <w:tr w14:paraId="718F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9" w:type="dxa"/>
            <w:tcBorders>
              <w:top w:val="single" w:color="auto" w:sz="4" w:space="0"/>
              <w:left w:val="single" w:color="auto" w:sz="4" w:space="0"/>
              <w:bottom w:val="single" w:color="auto" w:sz="4" w:space="0"/>
              <w:right w:val="single" w:color="auto" w:sz="4" w:space="0"/>
            </w:tcBorders>
            <w:vAlign w:val="center"/>
          </w:tcPr>
          <w:p w14:paraId="4C9EC97A">
            <w:pPr>
              <w:spacing w:line="240" w:lineRule="atLeas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D1</w:t>
            </w:r>
          </w:p>
        </w:tc>
        <w:tc>
          <w:tcPr>
            <w:tcW w:w="7136" w:type="dxa"/>
            <w:tcBorders>
              <w:top w:val="single" w:color="auto" w:sz="4" w:space="0"/>
              <w:left w:val="single" w:color="auto" w:sz="4" w:space="0"/>
              <w:bottom w:val="single" w:color="auto" w:sz="4" w:space="0"/>
              <w:right w:val="single" w:color="auto" w:sz="4" w:space="0"/>
            </w:tcBorders>
            <w:vAlign w:val="center"/>
          </w:tcPr>
          <w:p w14:paraId="02A43B9E">
            <w:pPr>
              <w:widowControl/>
              <w:spacing w:line="240" w:lineRule="atLeast"/>
              <w:jc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岩（土）层不满足上述</w:t>
            </w:r>
            <w:r>
              <w:rPr>
                <w:color w:val="000000" w:themeColor="text1"/>
                <w:kern w:val="0"/>
                <w:szCs w:val="21"/>
                <w:lang w:bidi="ar"/>
                <w14:textFill>
                  <w14:solidFill>
                    <w14:schemeClr w14:val="tx1"/>
                  </w14:solidFill>
                </w14:textFill>
              </w:rPr>
              <w:t>“D2”</w:t>
            </w:r>
            <w:r>
              <w:rPr>
                <w:rFonts w:hint="eastAsia"/>
                <w:color w:val="000000" w:themeColor="text1"/>
                <w:kern w:val="0"/>
                <w:szCs w:val="21"/>
                <w:lang w:bidi="ar"/>
                <w14:textFill>
                  <w14:solidFill>
                    <w14:schemeClr w14:val="tx1"/>
                  </w14:solidFill>
                </w14:textFill>
              </w:rPr>
              <w:t>和</w:t>
            </w:r>
            <w:r>
              <w:rPr>
                <w:color w:val="000000" w:themeColor="text1"/>
                <w:kern w:val="0"/>
                <w:szCs w:val="21"/>
                <w:lang w:bidi="ar"/>
                <w14:textFill>
                  <w14:solidFill>
                    <w14:schemeClr w14:val="tx1"/>
                  </w14:solidFill>
                </w14:textFill>
              </w:rPr>
              <w:t>“D3”</w:t>
            </w:r>
            <w:r>
              <w:rPr>
                <w:rFonts w:hint="eastAsia"/>
                <w:color w:val="000000" w:themeColor="text1"/>
                <w:kern w:val="0"/>
                <w:szCs w:val="21"/>
                <w:lang w:bidi="ar"/>
                <w14:textFill>
                  <w14:solidFill>
                    <w14:schemeClr w14:val="tx1"/>
                  </w14:solidFill>
                </w14:textFill>
              </w:rPr>
              <w:t>条件</w:t>
            </w:r>
          </w:p>
        </w:tc>
      </w:tr>
      <w:tr w14:paraId="5926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5" w:type="dxa"/>
            <w:gridSpan w:val="2"/>
            <w:tcBorders>
              <w:top w:val="single" w:color="auto" w:sz="4" w:space="0"/>
              <w:left w:val="single" w:color="auto" w:sz="4" w:space="0"/>
              <w:bottom w:val="single" w:color="auto" w:sz="4" w:space="0"/>
              <w:right w:val="single" w:color="auto" w:sz="4" w:space="0"/>
            </w:tcBorders>
            <w:vAlign w:val="center"/>
          </w:tcPr>
          <w:p w14:paraId="374E7D38">
            <w:pPr>
              <w:widowControl/>
              <w:spacing w:line="240" w:lineRule="atLeast"/>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Mb</w:t>
            </w:r>
            <w:r>
              <w:rPr>
                <w:rFonts w:hint="eastAsia"/>
                <w:color w:val="000000" w:themeColor="text1"/>
                <w:kern w:val="0"/>
                <w:szCs w:val="21"/>
                <w:lang w:bidi="ar"/>
                <w14:textFill>
                  <w14:solidFill>
                    <w14:schemeClr w14:val="tx1"/>
                  </w14:solidFill>
                </w14:textFill>
              </w:rPr>
              <w:t>：岩土层单层厚度。</w:t>
            </w:r>
            <w:r>
              <w:rPr>
                <w:color w:val="000000" w:themeColor="text1"/>
                <w:kern w:val="0"/>
                <w:szCs w:val="21"/>
                <w:lang w:bidi="ar"/>
                <w14:textFill>
                  <w14:solidFill>
                    <w14:schemeClr w14:val="tx1"/>
                  </w14:solidFill>
                </w14:textFill>
              </w:rPr>
              <w:t xml:space="preserve"> </w:t>
            </w:r>
            <w:r>
              <w:rPr>
                <w:i/>
                <w:color w:val="000000" w:themeColor="text1"/>
                <w:kern w:val="0"/>
                <w:szCs w:val="21"/>
                <w:lang w:bidi="ar"/>
                <w14:textFill>
                  <w14:solidFill>
                    <w14:schemeClr w14:val="tx1"/>
                  </w14:solidFill>
                </w14:textFill>
              </w:rPr>
              <w:t>K</w:t>
            </w:r>
            <w:r>
              <w:rPr>
                <w:rFonts w:hint="eastAsia"/>
                <w:color w:val="000000" w:themeColor="text1"/>
                <w:kern w:val="0"/>
                <w:szCs w:val="21"/>
                <w:lang w:bidi="ar"/>
                <w14:textFill>
                  <w14:solidFill>
                    <w14:schemeClr w14:val="tx1"/>
                  </w14:solidFill>
                </w14:textFill>
              </w:rPr>
              <w:t>：渗透系数。</w:t>
            </w:r>
          </w:p>
        </w:tc>
      </w:tr>
    </w:tbl>
    <w:p w14:paraId="2D183DE3">
      <w:pPr>
        <w:adjustRightInd w:val="0"/>
        <w:snapToGrid w:val="0"/>
        <w:spacing w:line="360" w:lineRule="auto"/>
        <w:ind w:firstLine="420" w:firstLineChars="200"/>
        <w:rPr>
          <w:bCs/>
          <w:color w:val="000000" w:themeColor="text1"/>
          <w14:textFill>
            <w14:solidFill>
              <w14:schemeClr w14:val="tx1"/>
            </w14:solidFill>
          </w14:textFill>
        </w:rPr>
      </w:pPr>
    </w:p>
    <w:p w14:paraId="4B396A9F">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项目周边村屯饮用水源为自来水，项目所在位置不属于G（1）G2情况，根据表1.3-13，项目不在附近水源地的上游补给区，因此地下水环境敏感特征为不敏感</w:t>
      </w:r>
      <w:r>
        <w:rPr>
          <w:bCs/>
          <w:color w:val="000000" w:themeColor="text1"/>
          <w:sz w:val="24"/>
          <w14:textFill>
            <w14:solidFill>
              <w14:schemeClr w14:val="tx1"/>
            </w14:solidFill>
          </w14:textFill>
        </w:rPr>
        <w:t>G3</w:t>
      </w:r>
      <w:r>
        <w:rPr>
          <w:rFonts w:hint="eastAsia"/>
          <w:bCs/>
          <w:color w:val="000000" w:themeColor="text1"/>
          <w:sz w:val="24"/>
          <w14:textFill>
            <w14:solidFill>
              <w14:schemeClr w14:val="tx1"/>
            </w14:solidFill>
          </w14:textFill>
        </w:rPr>
        <w:t>。项目所在场地原为海域，属于海岸阶地地貌，经人工吹填砂形成，场地较为平整，K约为0.002cm/s，包气带防污性能分级为弱，防污性能弱（D1）。因此项目地下水环境敏感性为</w:t>
      </w:r>
      <w:r>
        <w:rPr>
          <w:bCs/>
          <w:color w:val="000000" w:themeColor="text1"/>
          <w:sz w:val="24"/>
          <w14:textFill>
            <w14:solidFill>
              <w14:schemeClr w14:val="tx1"/>
            </w14:solidFill>
          </w14:textFill>
        </w:rPr>
        <w:t>E</w:t>
      </w:r>
      <w:r>
        <w:rPr>
          <w:rFonts w:hint="eastAsia"/>
          <w:bCs/>
          <w:color w:val="000000" w:themeColor="text1"/>
          <w:sz w:val="24"/>
          <w14:textFill>
            <w14:solidFill>
              <w14:schemeClr w14:val="tx1"/>
            </w14:solidFill>
          </w14:textFill>
        </w:rPr>
        <w:t>2。</w:t>
      </w:r>
    </w:p>
    <w:p w14:paraId="7666CAAA">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根据表</w:t>
      </w:r>
      <w:r>
        <w:rPr>
          <w:rFonts w:hint="eastAsia"/>
          <w:color w:val="000000" w:themeColor="text1"/>
          <w:sz w:val="24"/>
          <w14:textFill>
            <w14:solidFill>
              <w14:schemeClr w14:val="tx1"/>
            </w14:solidFill>
          </w14:textFill>
        </w:rPr>
        <w:t>1.3-</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进行建设项目环境风险潜势划分，根据表</w:t>
      </w:r>
      <w:r>
        <w:rPr>
          <w:rFonts w:hint="eastAsia"/>
          <w:color w:val="000000" w:themeColor="text1"/>
          <w:sz w:val="24"/>
          <w14:textFill>
            <w14:solidFill>
              <w14:schemeClr w14:val="tx1"/>
            </w14:solidFill>
          </w14:textFill>
        </w:rPr>
        <w:t>1.3-</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确定评价工作等级。</w:t>
      </w:r>
    </w:p>
    <w:p w14:paraId="6079E2DA">
      <w:pPr>
        <w:pStyle w:val="52"/>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表</w:t>
      </w:r>
      <w:r>
        <w:rPr>
          <w:rFonts w:hint="eastAsia"/>
          <w:color w:val="000000" w:themeColor="text1"/>
          <w:sz w:val="24"/>
          <w:szCs w:val="24"/>
          <w14:textFill>
            <w14:solidFill>
              <w14:schemeClr w14:val="tx1"/>
            </w14:solidFill>
          </w14:textFill>
        </w:rPr>
        <w:t>1.3-15</w:t>
      </w:r>
      <w:r>
        <w:rPr>
          <w:color w:val="000000" w:themeColor="text1"/>
          <w:sz w:val="24"/>
          <w:szCs w:val="24"/>
          <w14:textFill>
            <w14:solidFill>
              <w14:schemeClr w14:val="tx1"/>
            </w14:solidFill>
          </w14:textFill>
        </w:rPr>
        <w:t xml:space="preserve">  建设项目环境风险潜势划分</w:t>
      </w:r>
    </w:p>
    <w:tbl>
      <w:tblPr>
        <w:tblStyle w:val="24"/>
        <w:tblW w:w="874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32"/>
        <w:gridCol w:w="1703"/>
        <w:gridCol w:w="1703"/>
        <w:gridCol w:w="1703"/>
        <w:gridCol w:w="1704"/>
      </w:tblGrid>
      <w:tr w14:paraId="5DDBF3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32" w:type="dxa"/>
            <w:vMerge w:val="restart"/>
            <w:tcBorders>
              <w:top w:val="single" w:color="auto" w:sz="6" w:space="0"/>
              <w:left w:val="single" w:color="auto" w:sz="6" w:space="0"/>
              <w:right w:val="single" w:color="auto" w:sz="6" w:space="0"/>
            </w:tcBorders>
            <w:tcMar>
              <w:top w:w="0" w:type="dxa"/>
              <w:left w:w="0" w:type="dxa"/>
              <w:bottom w:w="0" w:type="dxa"/>
              <w:right w:w="0" w:type="dxa"/>
            </w:tcMar>
            <w:vAlign w:val="center"/>
          </w:tcPr>
          <w:p w14:paraId="3F00B237">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环境敏感程度（E）</w:t>
            </w:r>
          </w:p>
        </w:tc>
        <w:tc>
          <w:tcPr>
            <w:tcW w:w="6813" w:type="dxa"/>
            <w:gridSpan w:val="4"/>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18C1CCD6">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危险物质及工艺系统危险性（P）</w:t>
            </w:r>
          </w:p>
        </w:tc>
      </w:tr>
      <w:tr w14:paraId="51A80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32" w:type="dxa"/>
            <w:vMerge w:val="continue"/>
            <w:tcBorders>
              <w:left w:val="single" w:color="auto" w:sz="6" w:space="0"/>
              <w:bottom w:val="single" w:color="auto" w:sz="6" w:space="0"/>
              <w:right w:val="single" w:color="auto" w:sz="6" w:space="0"/>
            </w:tcBorders>
            <w:tcMar>
              <w:top w:w="0" w:type="dxa"/>
              <w:left w:w="0" w:type="dxa"/>
              <w:bottom w:w="0" w:type="dxa"/>
              <w:right w:w="0" w:type="dxa"/>
            </w:tcMar>
            <w:vAlign w:val="center"/>
          </w:tcPr>
          <w:p w14:paraId="5A2A92AF">
            <w:pPr>
              <w:adjustRightInd w:val="0"/>
              <w:snapToGrid w:val="0"/>
              <w:jc w:val="center"/>
              <w:rPr>
                <w:b/>
                <w:bCs/>
                <w:color w:val="000000" w:themeColor="text1"/>
                <w:szCs w:val="21"/>
                <w14:textFill>
                  <w14:solidFill>
                    <w14:schemeClr w14:val="tx1"/>
                  </w14:solidFill>
                </w14:textFill>
              </w:rPr>
            </w:pPr>
          </w:p>
        </w:tc>
        <w:tc>
          <w:tcPr>
            <w:tcW w:w="1703"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2E4A2283">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极高危害（P1）</w:t>
            </w:r>
          </w:p>
        </w:tc>
        <w:tc>
          <w:tcPr>
            <w:tcW w:w="1703"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6D1AB462">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高度危害（P2）</w:t>
            </w:r>
          </w:p>
        </w:tc>
        <w:tc>
          <w:tcPr>
            <w:tcW w:w="1703"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348707AB">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中度危害（P3）</w:t>
            </w:r>
          </w:p>
        </w:tc>
        <w:tc>
          <w:tcPr>
            <w:tcW w:w="1704"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3B3DEC89">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轻度危害（P4）</w:t>
            </w:r>
          </w:p>
        </w:tc>
      </w:tr>
      <w:tr w14:paraId="24984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3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370F37A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环境高度敏感区（E1）</w:t>
            </w:r>
          </w:p>
        </w:tc>
        <w:tc>
          <w:tcPr>
            <w:tcW w:w="1703"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5DD7624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Ⅳ</w:t>
            </w:r>
            <w:r>
              <w:rPr>
                <w:color w:val="000000" w:themeColor="text1"/>
                <w:szCs w:val="21"/>
                <w:vertAlign w:val="superscript"/>
                <w14:textFill>
                  <w14:solidFill>
                    <w14:schemeClr w14:val="tx1"/>
                  </w14:solidFill>
                </w14:textFill>
              </w:rPr>
              <w:t>+</w:t>
            </w:r>
          </w:p>
        </w:tc>
        <w:tc>
          <w:tcPr>
            <w:tcW w:w="1703"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2AE3133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Ⅳ</w:t>
            </w:r>
          </w:p>
        </w:tc>
        <w:tc>
          <w:tcPr>
            <w:tcW w:w="1703"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6466013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c>
          <w:tcPr>
            <w:tcW w:w="1704"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384AB1EB">
            <w:pPr>
              <w:adjustRightInd w:val="0"/>
              <w:snapToGrid w:val="0"/>
              <w:jc w:val="center"/>
              <w:rPr>
                <w:color w:val="000000" w:themeColor="text1"/>
                <w:szCs w:val="21"/>
                <w:vertAlign w:val="superscript"/>
                <w14:textFill>
                  <w14:solidFill>
                    <w14:schemeClr w14:val="tx1"/>
                  </w14:solidFill>
                </w14:textFill>
              </w:rPr>
            </w:pPr>
            <w:r>
              <w:rPr>
                <w:color w:val="000000" w:themeColor="text1"/>
                <w:szCs w:val="21"/>
                <w14:textFill>
                  <w14:solidFill>
                    <w14:schemeClr w14:val="tx1"/>
                  </w14:solidFill>
                </w14:textFill>
              </w:rPr>
              <w:t>Ⅲ</w:t>
            </w:r>
          </w:p>
        </w:tc>
      </w:tr>
      <w:tr w14:paraId="4DC850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3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0174D10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环境中度敏感区（E2）</w:t>
            </w:r>
          </w:p>
        </w:tc>
        <w:tc>
          <w:tcPr>
            <w:tcW w:w="1703"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79846DC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Ⅳ</w:t>
            </w:r>
          </w:p>
        </w:tc>
        <w:tc>
          <w:tcPr>
            <w:tcW w:w="1703"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68757DB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c>
          <w:tcPr>
            <w:tcW w:w="1703"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7E656B1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c>
          <w:tcPr>
            <w:tcW w:w="1704"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13CA2A6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Ⅱ</w:t>
            </w:r>
          </w:p>
        </w:tc>
      </w:tr>
      <w:tr w14:paraId="3E2DB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3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8BBD45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环境低度敏感区（E3）</w:t>
            </w:r>
          </w:p>
        </w:tc>
        <w:tc>
          <w:tcPr>
            <w:tcW w:w="1703"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78CDB15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c>
          <w:tcPr>
            <w:tcW w:w="1703"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06196F7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w:t>
            </w:r>
          </w:p>
        </w:tc>
        <w:tc>
          <w:tcPr>
            <w:tcW w:w="1703"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18D5CA5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Ⅱ</w:t>
            </w:r>
          </w:p>
        </w:tc>
        <w:tc>
          <w:tcPr>
            <w:tcW w:w="1704"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5CBF9E6E">
            <w:pPr>
              <w:adjustRightInd w:val="0"/>
              <w:snapToGrid w:val="0"/>
              <w:jc w:val="center"/>
              <w:rPr>
                <w:color w:val="000000" w:themeColor="text1"/>
                <w:szCs w:val="21"/>
                <w14:textFill>
                  <w14:solidFill>
                    <w14:schemeClr w14:val="tx1"/>
                  </w14:solidFill>
                </w14:textFill>
              </w:rPr>
            </w:pPr>
            <w:bookmarkStart w:id="14" w:name="_Hlk82440882"/>
            <w:r>
              <w:rPr>
                <w:color w:val="000000" w:themeColor="text1"/>
                <w:szCs w:val="21"/>
                <w14:textFill>
                  <w14:solidFill>
                    <w14:schemeClr w14:val="tx1"/>
                  </w14:solidFill>
                </w14:textFill>
              </w:rPr>
              <w:t>Ⅰ</w:t>
            </w:r>
            <w:bookmarkEnd w:id="14"/>
          </w:p>
        </w:tc>
      </w:tr>
      <w:tr w14:paraId="39AF5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8745" w:type="dxa"/>
            <w:gridSpan w:val="5"/>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B063F17">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注：Ⅳ</w:t>
            </w:r>
            <w:r>
              <w:rPr>
                <w:color w:val="000000" w:themeColor="text1"/>
                <w:szCs w:val="21"/>
                <w:vertAlign w:val="superscript"/>
                <w14:textFill>
                  <w14:solidFill>
                    <w14:schemeClr w14:val="tx1"/>
                  </w14:solidFill>
                </w14:textFill>
              </w:rPr>
              <w:t>+</w:t>
            </w:r>
            <w:r>
              <w:rPr>
                <w:color w:val="000000" w:themeColor="text1"/>
                <w:szCs w:val="21"/>
                <w14:textFill>
                  <w14:solidFill>
                    <w14:schemeClr w14:val="tx1"/>
                  </w14:solidFill>
                </w14:textFill>
              </w:rPr>
              <w:t>为极高环境风险</w:t>
            </w:r>
            <w:r>
              <w:rPr>
                <w:rFonts w:hint="eastAsia"/>
                <w:color w:val="000000" w:themeColor="text1"/>
                <w:szCs w:val="21"/>
                <w14:textFill>
                  <w14:solidFill>
                    <w14:schemeClr w14:val="tx1"/>
                  </w14:solidFill>
                </w14:textFill>
              </w:rPr>
              <w:t>。</w:t>
            </w:r>
          </w:p>
        </w:tc>
      </w:tr>
    </w:tbl>
    <w:p w14:paraId="160365DE">
      <w:pPr>
        <w:rPr>
          <w:color w:val="000000" w:themeColor="text1"/>
          <w14:textFill>
            <w14:solidFill>
              <w14:schemeClr w14:val="tx1"/>
            </w14:solidFill>
          </w14:textFill>
        </w:rPr>
      </w:pPr>
    </w:p>
    <w:p w14:paraId="160AA55B">
      <w:pPr>
        <w:pStyle w:val="52"/>
        <w:spacing w:line="240" w:lineRule="auto"/>
        <w:ind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表</w:t>
      </w:r>
      <w:r>
        <w:rPr>
          <w:rFonts w:hint="eastAsia"/>
          <w:color w:val="000000" w:themeColor="text1"/>
          <w:sz w:val="24"/>
          <w:szCs w:val="24"/>
          <w14:textFill>
            <w14:solidFill>
              <w14:schemeClr w14:val="tx1"/>
            </w14:solidFill>
          </w14:textFill>
        </w:rPr>
        <w:t>1.3-16</w:t>
      </w:r>
      <w:r>
        <w:rPr>
          <w:color w:val="000000" w:themeColor="text1"/>
          <w:sz w:val="24"/>
          <w:szCs w:val="24"/>
          <w14:textFill>
            <w14:solidFill>
              <w14:schemeClr w14:val="tx1"/>
            </w14:solidFill>
          </w14:textFill>
        </w:rPr>
        <w:t xml:space="preserve">  评价工作等级划分</w:t>
      </w:r>
    </w:p>
    <w:tbl>
      <w:tblPr>
        <w:tblStyle w:val="2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96"/>
        <w:gridCol w:w="1965"/>
        <w:gridCol w:w="1770"/>
        <w:gridCol w:w="2029"/>
        <w:gridCol w:w="1285"/>
      </w:tblGrid>
      <w:tr w14:paraId="4C19C2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9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317648F6">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环境风险潜势</w:t>
            </w:r>
          </w:p>
        </w:tc>
        <w:tc>
          <w:tcPr>
            <w:tcW w:w="1965"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21D9C1FD">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Ⅳ、Ⅳ</w:t>
            </w:r>
            <w:r>
              <w:rPr>
                <w:b/>
                <w:bCs/>
                <w:color w:val="000000" w:themeColor="text1"/>
                <w:kern w:val="0"/>
                <w:szCs w:val="21"/>
                <w:vertAlign w:val="superscript"/>
                <w14:textFill>
                  <w14:solidFill>
                    <w14:schemeClr w14:val="tx1"/>
                  </w14:solidFill>
                </w14:textFill>
              </w:rPr>
              <w:t>+</w:t>
            </w:r>
          </w:p>
        </w:tc>
        <w:tc>
          <w:tcPr>
            <w:tcW w:w="1770"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39F3B85D">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Ⅲ</w:t>
            </w:r>
          </w:p>
        </w:tc>
        <w:tc>
          <w:tcPr>
            <w:tcW w:w="2029"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55F49D21">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Ⅱ</w:t>
            </w:r>
          </w:p>
        </w:tc>
        <w:tc>
          <w:tcPr>
            <w:tcW w:w="1285"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243CD08F">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Ⅰ</w:t>
            </w:r>
          </w:p>
        </w:tc>
      </w:tr>
      <w:tr w14:paraId="401D8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9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3369790">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评价工作等级</w:t>
            </w:r>
          </w:p>
        </w:tc>
        <w:tc>
          <w:tcPr>
            <w:tcW w:w="1965"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3061282F">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一</w:t>
            </w:r>
          </w:p>
        </w:tc>
        <w:tc>
          <w:tcPr>
            <w:tcW w:w="1770"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1A4F67BF">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二</w:t>
            </w:r>
          </w:p>
        </w:tc>
        <w:tc>
          <w:tcPr>
            <w:tcW w:w="2029"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734BC79A">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三</w:t>
            </w:r>
          </w:p>
        </w:tc>
        <w:tc>
          <w:tcPr>
            <w:tcW w:w="1285"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14:paraId="3D354825">
            <w:pPr>
              <w:adjustRightInd w:val="0"/>
              <w:snapToGrid w:val="0"/>
              <w:jc w:val="center"/>
              <w:rPr>
                <w:b/>
                <w:bCs/>
                <w:color w:val="000000" w:themeColor="text1"/>
                <w:kern w:val="0"/>
                <w:szCs w:val="21"/>
                <w:vertAlign w:val="superscript"/>
                <w14:textFill>
                  <w14:solidFill>
                    <w14:schemeClr w14:val="tx1"/>
                  </w14:solidFill>
                </w14:textFill>
              </w:rPr>
            </w:pPr>
            <w:r>
              <w:rPr>
                <w:b/>
                <w:bCs/>
                <w:color w:val="000000" w:themeColor="text1"/>
                <w:kern w:val="0"/>
                <w:szCs w:val="21"/>
                <w14:textFill>
                  <w14:solidFill>
                    <w14:schemeClr w14:val="tx1"/>
                  </w14:solidFill>
                </w14:textFill>
              </w:rPr>
              <w:t>简单分析</w:t>
            </w:r>
            <w:r>
              <w:rPr>
                <w:b/>
                <w:bCs/>
                <w:color w:val="000000" w:themeColor="text1"/>
                <w:kern w:val="0"/>
                <w:szCs w:val="21"/>
                <w:vertAlign w:val="superscript"/>
                <w14:textFill>
                  <w14:solidFill>
                    <w14:schemeClr w14:val="tx1"/>
                  </w14:solidFill>
                </w14:textFill>
              </w:rPr>
              <w:t>a</w:t>
            </w:r>
          </w:p>
        </w:tc>
      </w:tr>
      <w:tr w14:paraId="7A5B99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45" w:type="dxa"/>
            <w:gridSpan w:val="5"/>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8E45347">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a是相对于详细评价工作内容而言，在描述危险物质、环境影响途径、环境危害后果、风险防范措施等方面给出定性的说明。见附录A。</w:t>
            </w:r>
          </w:p>
        </w:tc>
      </w:tr>
    </w:tbl>
    <w:p w14:paraId="3CC3EC5C">
      <w:pPr>
        <w:pStyle w:val="5"/>
        <w:ind w:firstLine="480" w:firstLineChars="200"/>
        <w:rPr>
          <w:color w:val="000000" w:themeColor="text1"/>
          <w:sz w:val="24"/>
          <w14:textFill>
            <w14:solidFill>
              <w14:schemeClr w14:val="tx1"/>
            </w14:solidFill>
          </w14:textFill>
        </w:rPr>
      </w:pPr>
    </w:p>
    <w:p w14:paraId="270D0071">
      <w:pPr>
        <w:pStyle w:val="5"/>
        <w:spacing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本项目P值为P2，</w:t>
      </w:r>
      <w:r>
        <w:rPr>
          <w:color w:val="000000" w:themeColor="text1"/>
          <w:sz w:val="24"/>
          <w:u w:val="single"/>
          <w14:textFill>
            <w14:solidFill>
              <w14:schemeClr w14:val="tx1"/>
            </w14:solidFill>
          </w14:textFill>
        </w:rPr>
        <w:t>大气环境地表水环境敏感程度E值为E</w:t>
      </w:r>
      <w:r>
        <w:rPr>
          <w:rFonts w:hint="eastAsia"/>
          <w:color w:val="000000" w:themeColor="text1"/>
          <w:sz w:val="24"/>
          <w:u w:val="single"/>
          <w14:textFill>
            <w14:solidFill>
              <w14:schemeClr w14:val="tx1"/>
            </w14:solidFill>
          </w14:textFill>
        </w:rPr>
        <w:t>2</w:t>
      </w:r>
      <w:r>
        <w:rPr>
          <w:color w:val="000000" w:themeColor="text1"/>
          <w:sz w:val="24"/>
          <w:u w:val="single"/>
          <w14:textFill>
            <w14:solidFill>
              <w14:schemeClr w14:val="tx1"/>
            </w14:solidFill>
          </w14:textFill>
        </w:rPr>
        <w:t>，</w:t>
      </w:r>
      <w:r>
        <w:rPr>
          <w:rFonts w:hint="eastAsia"/>
          <w:color w:val="000000" w:themeColor="text1"/>
          <w:sz w:val="24"/>
          <w:u w:val="single"/>
          <w14:textFill>
            <w14:solidFill>
              <w14:schemeClr w14:val="tx1"/>
            </w14:solidFill>
          </w14:textFill>
        </w:rPr>
        <w:t>地下水环境敏感程度为E2，</w:t>
      </w:r>
      <w:r>
        <w:rPr>
          <w:color w:val="000000" w:themeColor="text1"/>
          <w:sz w:val="24"/>
          <w:u w:val="single"/>
          <w14:textFill>
            <w14:solidFill>
              <w14:schemeClr w14:val="tx1"/>
            </w14:solidFill>
          </w14:textFill>
        </w:rPr>
        <w:t>大气</w:t>
      </w:r>
      <w:r>
        <w:rPr>
          <w:rFonts w:hint="eastAsia"/>
          <w:color w:val="000000" w:themeColor="text1"/>
          <w:sz w:val="24"/>
          <w:u w:val="single"/>
          <w:lang w:eastAsia="zh-CN"/>
          <w14:textFill>
            <w14:solidFill>
              <w14:schemeClr w14:val="tx1"/>
            </w14:solidFill>
          </w14:textFill>
        </w:rPr>
        <w:t>、</w:t>
      </w:r>
      <w:r>
        <w:rPr>
          <w:color w:val="000000" w:themeColor="text1"/>
          <w:sz w:val="24"/>
          <w:u w:val="single"/>
          <w14:textFill>
            <w14:solidFill>
              <w14:schemeClr w14:val="tx1"/>
            </w14:solidFill>
          </w14:textFill>
        </w:rPr>
        <w:t>地表水</w:t>
      </w:r>
      <w:r>
        <w:rPr>
          <w:rFonts w:hint="eastAsia"/>
          <w:color w:val="000000" w:themeColor="text1"/>
          <w:sz w:val="24"/>
          <w:u w:val="single"/>
          <w14:textFill>
            <w14:solidFill>
              <w14:schemeClr w14:val="tx1"/>
            </w14:solidFill>
          </w14:textFill>
        </w:rPr>
        <w:t>、地下水</w:t>
      </w:r>
      <w:r>
        <w:rPr>
          <w:color w:val="000000" w:themeColor="text1"/>
          <w:sz w:val="24"/>
          <w:u w:val="single"/>
          <w14:textFill>
            <w14:solidFill>
              <w14:schemeClr w14:val="tx1"/>
            </w14:solidFill>
          </w14:textFill>
        </w:rPr>
        <w:t>对应的环境风险潜势均为Ⅲ。</w:t>
      </w:r>
      <w:r>
        <w:rPr>
          <w:rFonts w:hint="eastAsia"/>
          <w:color w:val="000000" w:themeColor="text1"/>
          <w:sz w:val="24"/>
          <w14:textFill>
            <w14:solidFill>
              <w14:schemeClr w14:val="tx1"/>
            </w14:solidFill>
          </w14:textFill>
        </w:rPr>
        <w:t>因此</w:t>
      </w:r>
      <w:r>
        <w:rPr>
          <w:color w:val="000000" w:themeColor="text1"/>
          <w:sz w:val="24"/>
          <w14:textFill>
            <w14:solidFill>
              <w14:schemeClr w14:val="tx1"/>
            </w14:solidFill>
          </w14:textFill>
        </w:rPr>
        <w:t>本项目环境风险</w:t>
      </w:r>
      <w:r>
        <w:rPr>
          <w:color w:val="000000" w:themeColor="text1"/>
          <w:kern w:val="0"/>
          <w:sz w:val="24"/>
          <w14:textFill>
            <w14:solidFill>
              <w14:schemeClr w14:val="tx1"/>
            </w14:solidFill>
          </w14:textFill>
        </w:rPr>
        <w:t>潜势综合等级为</w:t>
      </w:r>
      <w:r>
        <w:rPr>
          <w:color w:val="000000" w:themeColor="text1"/>
          <w:sz w:val="24"/>
          <w14:textFill>
            <w14:solidFill>
              <w14:schemeClr w14:val="tx1"/>
            </w14:solidFill>
          </w14:textFill>
        </w:rPr>
        <w:t>Ⅲ</w:t>
      </w:r>
      <w:r>
        <w:rPr>
          <w:color w:val="000000" w:themeColor="text1"/>
          <w:kern w:val="0"/>
          <w:sz w:val="24"/>
          <w14:textFill>
            <w14:solidFill>
              <w14:schemeClr w14:val="tx1"/>
            </w14:solidFill>
          </w14:textFill>
        </w:rPr>
        <w:t>级。</w:t>
      </w:r>
    </w:p>
    <w:p w14:paraId="38D6B6E8">
      <w:pPr>
        <w:pStyle w:val="3"/>
        <w:spacing w:before="0" w:after="0" w:line="360" w:lineRule="auto"/>
        <w:rPr>
          <w:rFonts w:ascii="Times New Roman" w:hAnsi="Times New Roman" w:eastAsia="宋体"/>
          <w:color w:val="000000" w:themeColor="text1"/>
          <w14:textFill>
            <w14:solidFill>
              <w14:schemeClr w14:val="tx1"/>
            </w14:solidFill>
          </w14:textFill>
        </w:rPr>
      </w:pPr>
      <w:bookmarkStart w:id="15" w:name="_Toc13279"/>
      <w:r>
        <w:rPr>
          <w:rFonts w:ascii="Times New Roman" w:hAnsi="Times New Roman" w:eastAsia="宋体"/>
          <w:color w:val="000000" w:themeColor="text1"/>
          <w14:textFill>
            <w14:solidFill>
              <w14:schemeClr w14:val="tx1"/>
            </w14:solidFill>
          </w14:textFill>
        </w:rPr>
        <w:t>1.4</w:t>
      </w:r>
      <w:r>
        <w:rPr>
          <w:rFonts w:hint="eastAsia" w:ascii="Times New Roman" w:hAnsi="Times New Roman" w:eastAsia="宋体"/>
          <w:color w:val="000000" w:themeColor="text1"/>
          <w14:textFill>
            <w14:solidFill>
              <w14:schemeClr w14:val="tx1"/>
            </w14:solidFill>
          </w14:textFill>
        </w:rPr>
        <w:t>环境风险</w:t>
      </w:r>
      <w:r>
        <w:rPr>
          <w:rFonts w:ascii="Times New Roman" w:hAnsi="Times New Roman" w:eastAsia="宋体"/>
          <w:color w:val="000000" w:themeColor="text1"/>
          <w14:textFill>
            <w14:solidFill>
              <w14:schemeClr w14:val="tx1"/>
            </w14:solidFill>
          </w14:textFill>
        </w:rPr>
        <w:t>评价</w:t>
      </w:r>
      <w:r>
        <w:rPr>
          <w:rFonts w:hint="eastAsia" w:ascii="Times New Roman" w:hAnsi="Times New Roman" w:eastAsia="宋体"/>
          <w:color w:val="000000" w:themeColor="text1"/>
          <w14:textFill>
            <w14:solidFill>
              <w14:schemeClr w14:val="tx1"/>
            </w14:solidFill>
          </w14:textFill>
        </w:rPr>
        <w:t>等级</w:t>
      </w:r>
      <w:bookmarkEnd w:id="15"/>
    </w:p>
    <w:p w14:paraId="2033C38A">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根据《建设项目环境风险评价技术导则》（HJ/T169-2018）评价工作等级划分，</w:t>
      </w:r>
      <w:r>
        <w:rPr>
          <w:color w:val="000000" w:themeColor="text1"/>
          <w:sz w:val="24"/>
          <w:u w:val="single"/>
          <w14:textFill>
            <w14:solidFill>
              <w14:schemeClr w14:val="tx1"/>
            </w14:solidFill>
          </w14:textFill>
        </w:rPr>
        <w:t>本项目大气</w:t>
      </w:r>
      <w:r>
        <w:rPr>
          <w:rFonts w:hint="eastAsia"/>
          <w:color w:val="000000" w:themeColor="text1"/>
          <w:sz w:val="24"/>
          <w:u w:val="single"/>
          <w:lang w:eastAsia="zh-CN"/>
          <w14:textFill>
            <w14:solidFill>
              <w14:schemeClr w14:val="tx1"/>
            </w14:solidFill>
          </w14:textFill>
        </w:rPr>
        <w:t>、</w:t>
      </w:r>
      <w:r>
        <w:rPr>
          <w:color w:val="000000" w:themeColor="text1"/>
          <w:sz w:val="24"/>
          <w:u w:val="single"/>
          <w14:textFill>
            <w14:solidFill>
              <w14:schemeClr w14:val="tx1"/>
            </w14:solidFill>
          </w14:textFill>
        </w:rPr>
        <w:t>地表水</w:t>
      </w:r>
      <w:r>
        <w:rPr>
          <w:rFonts w:hint="eastAsia"/>
          <w:color w:val="000000" w:themeColor="text1"/>
          <w:sz w:val="24"/>
          <w:u w:val="single"/>
          <w14:textFill>
            <w14:solidFill>
              <w14:schemeClr w14:val="tx1"/>
            </w14:solidFill>
          </w14:textFill>
        </w:rPr>
        <w:t>、地下水</w:t>
      </w:r>
      <w:r>
        <w:rPr>
          <w:color w:val="000000" w:themeColor="text1"/>
          <w:sz w:val="24"/>
          <w:u w:val="single"/>
          <w14:textFill>
            <w14:solidFill>
              <w14:schemeClr w14:val="tx1"/>
            </w14:solidFill>
          </w14:textFill>
        </w:rPr>
        <w:t>环境风险评价等级为二级。</w:t>
      </w:r>
      <w:r>
        <w:rPr>
          <w:color w:val="000000" w:themeColor="text1"/>
          <w:sz w:val="24"/>
          <w14:textFill>
            <w14:solidFill>
              <w14:schemeClr w14:val="tx1"/>
            </w14:solidFill>
          </w14:textFill>
        </w:rPr>
        <w:t>因此，本项目环境风险评价等级为二级。</w:t>
      </w:r>
    </w:p>
    <w:p w14:paraId="7CE15620">
      <w:pPr>
        <w:pStyle w:val="3"/>
        <w:spacing w:before="0" w:after="0" w:line="360" w:lineRule="auto"/>
        <w:rPr>
          <w:rFonts w:ascii="Times New Roman" w:hAnsi="Times New Roman" w:eastAsia="宋体"/>
          <w:color w:val="000000" w:themeColor="text1"/>
          <w14:textFill>
            <w14:solidFill>
              <w14:schemeClr w14:val="tx1"/>
            </w14:solidFill>
          </w14:textFill>
        </w:rPr>
      </w:pPr>
      <w:bookmarkStart w:id="16" w:name="_Toc20892"/>
      <w:r>
        <w:rPr>
          <w:rFonts w:ascii="Times New Roman" w:hAnsi="Times New Roman" w:eastAsia="宋体"/>
          <w:color w:val="000000" w:themeColor="text1"/>
          <w14:textFill>
            <w14:solidFill>
              <w14:schemeClr w14:val="tx1"/>
            </w14:solidFill>
          </w14:textFill>
        </w:rPr>
        <w:t>1.</w:t>
      </w:r>
      <w:r>
        <w:rPr>
          <w:rFonts w:hint="eastAsia" w:ascii="Times New Roman" w:hAnsi="Times New Roman" w:eastAsia="宋体"/>
          <w:color w:val="000000" w:themeColor="text1"/>
          <w14:textFill>
            <w14:solidFill>
              <w14:schemeClr w14:val="tx1"/>
            </w14:solidFill>
          </w14:textFill>
        </w:rPr>
        <w:t>5</w:t>
      </w:r>
      <w:r>
        <w:rPr>
          <w:rFonts w:ascii="Times New Roman" w:hAnsi="Times New Roman" w:eastAsia="宋体"/>
          <w:color w:val="000000" w:themeColor="text1"/>
          <w14:textFill>
            <w14:solidFill>
              <w14:schemeClr w14:val="tx1"/>
            </w14:solidFill>
          </w14:textFill>
        </w:rPr>
        <w:t>评价范围</w:t>
      </w:r>
      <w:bookmarkEnd w:id="16"/>
    </w:p>
    <w:p w14:paraId="6BB21763">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大气环境风险评价范围：厂界外5km区域范围。</w:t>
      </w:r>
    </w:p>
    <w:p w14:paraId="2A382448">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地表水环境风险评价范围：</w:t>
      </w:r>
      <w:r>
        <w:rPr>
          <w:rFonts w:hint="eastAsia"/>
          <w:color w:val="000000" w:themeColor="text1"/>
          <w:sz w:val="24"/>
          <w14:textFill>
            <w14:solidFill>
              <w14:schemeClr w14:val="tx1"/>
            </w14:solidFill>
          </w14:textFill>
        </w:rPr>
        <w:t>本项目无废水外排，地表水评价等级为三级B；事故状态下，危险物质可能通过厂区雨水管网流入周边地表水，项目最近地表水为东面1.4km的近岸海域。因此地表水环境风险评价范围为周边海域。</w:t>
      </w:r>
    </w:p>
    <w:p w14:paraId="452B5119">
      <w:pPr>
        <w:pStyle w:val="23"/>
        <w:spacing w:after="0" w:line="360" w:lineRule="auto"/>
        <w:ind w:left="0" w:leftChars="0" w:firstLine="480"/>
        <w:jc w:val="left"/>
        <w:rPr>
          <w:rFonts w:eastAsia="宋体"/>
          <w:color w:val="000000" w:themeColor="text1"/>
          <w:sz w:val="24"/>
          <w:u w:val="single"/>
          <w14:textFill>
            <w14:solidFill>
              <w14:schemeClr w14:val="tx1"/>
            </w14:solidFill>
          </w14:textFill>
        </w:rPr>
      </w:pPr>
      <w:r>
        <w:rPr>
          <w:rFonts w:hint="eastAsia" w:eastAsia="宋体"/>
          <w:color w:val="000000" w:themeColor="text1"/>
          <w:sz w:val="24"/>
          <w14:textFill>
            <w14:solidFill>
              <w14:schemeClr w14:val="tx1"/>
            </w14:solidFill>
          </w14:textFill>
        </w:rPr>
        <w:t>（3）地下水环境风险评价范围：调查评价面积6</w:t>
      </w:r>
      <w:r>
        <w:rPr>
          <w:rFonts w:eastAsia="宋体"/>
          <w:color w:val="000000" w:themeColor="text1"/>
          <w:sz w:val="24"/>
          <w14:textFill>
            <w14:solidFill>
              <w14:schemeClr w14:val="tx1"/>
            </w14:solidFill>
          </w14:textFill>
        </w:rPr>
        <w:t>~20</w:t>
      </w:r>
      <w:r>
        <w:rPr>
          <w:rFonts w:hint="eastAsia" w:eastAsia="宋体"/>
          <w:color w:val="000000" w:themeColor="text1"/>
          <w:sz w:val="24"/>
          <w14:textFill>
            <w14:solidFill>
              <w14:schemeClr w14:val="tx1"/>
            </w14:solidFill>
          </w14:textFill>
        </w:rPr>
        <w:t>km</w:t>
      </w:r>
      <w:r>
        <w:rPr>
          <w:rFonts w:eastAsia="宋体"/>
          <w:color w:val="000000" w:themeColor="text1"/>
          <w:sz w:val="24"/>
          <w:vertAlign w:val="superscript"/>
          <w14:textFill>
            <w14:solidFill>
              <w14:schemeClr w14:val="tx1"/>
            </w14:solidFill>
          </w14:textFill>
        </w:rPr>
        <w:t>2</w:t>
      </w:r>
      <w:r>
        <w:rPr>
          <w:rFonts w:hint="eastAsia" w:eastAsia="宋体"/>
          <w:color w:val="000000" w:themeColor="text1"/>
          <w:sz w:val="24"/>
          <w14:textFill>
            <w14:solidFill>
              <w14:schemeClr w14:val="tx1"/>
            </w14:solidFill>
          </w14:textFill>
        </w:rPr>
        <w:t>，本项目取6</w:t>
      </w:r>
      <w:r>
        <w:rPr>
          <w:rFonts w:eastAsia="宋体"/>
          <w:color w:val="000000" w:themeColor="text1"/>
          <w:sz w:val="24"/>
          <w14:textFill>
            <w14:solidFill>
              <w14:schemeClr w14:val="tx1"/>
            </w14:solidFill>
          </w14:textFill>
        </w:rPr>
        <w:t>k</w:t>
      </w:r>
      <w:r>
        <w:rPr>
          <w:rFonts w:hint="eastAsia" w:eastAsia="宋体"/>
          <w:color w:val="000000" w:themeColor="text1"/>
          <w:sz w:val="24"/>
          <w14:textFill>
            <w14:solidFill>
              <w14:schemeClr w14:val="tx1"/>
            </w14:solidFill>
          </w14:textFill>
        </w:rPr>
        <w:t>m</w:t>
      </w:r>
      <w:r>
        <w:rPr>
          <w:rFonts w:eastAsia="宋体"/>
          <w:color w:val="000000" w:themeColor="text1"/>
          <w:sz w:val="24"/>
          <w:vertAlign w:val="superscript"/>
          <w14:textFill>
            <w14:solidFill>
              <w14:schemeClr w14:val="tx1"/>
            </w14:solidFill>
          </w14:textFill>
        </w:rPr>
        <w:t>2</w:t>
      </w:r>
      <w:r>
        <w:rPr>
          <w:rFonts w:hint="eastAsia" w:eastAsia="宋体"/>
          <w:color w:val="000000" w:themeColor="text1"/>
          <w:sz w:val="24"/>
          <w14:textFill>
            <w14:solidFill>
              <w14:schemeClr w14:val="tx1"/>
            </w14:solidFill>
          </w14:textFill>
        </w:rPr>
        <w:t>。</w:t>
      </w:r>
    </w:p>
    <w:p w14:paraId="46D4A69D">
      <w:pPr>
        <w:pStyle w:val="2"/>
        <w:rPr>
          <w:color w:val="000000" w:themeColor="text1"/>
          <w14:textFill>
            <w14:solidFill>
              <w14:schemeClr w14:val="tx1"/>
            </w14:solidFill>
          </w14:textFill>
        </w:rPr>
      </w:pPr>
      <w:bookmarkStart w:id="17" w:name="_Toc4275"/>
      <w:r>
        <w:rPr>
          <w:rFonts w:hint="eastAsia"/>
          <w:color w:val="000000" w:themeColor="text1"/>
          <w14:textFill>
            <w14:solidFill>
              <w14:schemeClr w14:val="tx1"/>
            </w14:solidFill>
          </w14:textFill>
        </w:rPr>
        <w:t>2</w:t>
      </w:r>
      <w:r>
        <w:rPr>
          <w:color w:val="000000" w:themeColor="text1"/>
          <w14:textFill>
            <w14:solidFill>
              <w14:schemeClr w14:val="tx1"/>
            </w14:solidFill>
          </w14:textFill>
        </w:rPr>
        <w:t>风险识别</w:t>
      </w:r>
      <w:bookmarkEnd w:id="17"/>
    </w:p>
    <w:p w14:paraId="6708A14F">
      <w:pPr>
        <w:pStyle w:val="3"/>
        <w:spacing w:before="0" w:after="0" w:line="360" w:lineRule="auto"/>
        <w:rPr>
          <w:rFonts w:ascii="Times New Roman" w:hAnsi="Times New Roman" w:eastAsia="宋体"/>
          <w:color w:val="000000" w:themeColor="text1"/>
          <w14:textFill>
            <w14:solidFill>
              <w14:schemeClr w14:val="tx1"/>
            </w14:solidFill>
          </w14:textFill>
        </w:rPr>
      </w:pPr>
      <w:bookmarkStart w:id="18" w:name="_Toc31735"/>
      <w:r>
        <w:rPr>
          <w:rFonts w:hint="eastAsia" w:ascii="Times New Roman" w:hAnsi="Times New Roman" w:eastAsia="宋体"/>
          <w:color w:val="000000" w:themeColor="text1"/>
          <w14:textFill>
            <w14:solidFill>
              <w14:schemeClr w14:val="tx1"/>
            </w14:solidFill>
          </w14:textFill>
        </w:rPr>
        <w:t>2</w:t>
      </w:r>
      <w:r>
        <w:rPr>
          <w:rFonts w:ascii="Times New Roman" w:hAnsi="Times New Roman" w:eastAsia="宋体"/>
          <w:color w:val="000000" w:themeColor="text1"/>
          <w14:textFill>
            <w14:solidFill>
              <w14:schemeClr w14:val="tx1"/>
            </w14:solidFill>
          </w14:textFill>
        </w:rPr>
        <w:t>.1</w:t>
      </w:r>
      <w:bookmarkStart w:id="19" w:name="_Toc414957047"/>
      <w:r>
        <w:rPr>
          <w:rFonts w:ascii="Times New Roman" w:hAnsi="Times New Roman" w:eastAsia="宋体"/>
          <w:color w:val="000000" w:themeColor="text1"/>
          <w14:textFill>
            <w14:solidFill>
              <w14:schemeClr w14:val="tx1"/>
            </w14:solidFill>
          </w14:textFill>
        </w:rPr>
        <w:t>物质危险性识别</w:t>
      </w:r>
      <w:bookmarkEnd w:id="18"/>
      <w:bookmarkEnd w:id="19"/>
    </w:p>
    <w:p w14:paraId="51215074">
      <w:pPr>
        <w:pStyle w:val="53"/>
        <w:adjustRightInd/>
        <w:spacing w:after="0" w:line="360" w:lineRule="auto"/>
        <w:ind w:left="0" w:firstLine="480" w:firstLineChars="200"/>
        <w:rPr>
          <w:rFonts w:hint="default" w:ascii="Times New Roman" w:hAnsi="Times New Roman"/>
          <w:color w:val="000000" w:themeColor="text1"/>
          <w:szCs w:val="24"/>
          <w14:textFill>
            <w14:solidFill>
              <w14:schemeClr w14:val="tx1"/>
            </w14:solidFill>
          </w14:textFill>
        </w:rPr>
      </w:pPr>
      <w:r>
        <w:rPr>
          <w:rFonts w:hint="default" w:ascii="Times New Roman" w:hAnsi="Times New Roman"/>
          <w:color w:val="000000" w:themeColor="text1"/>
          <w14:textFill>
            <w14:solidFill>
              <w14:schemeClr w14:val="tx1"/>
            </w14:solidFill>
          </w14:textFill>
        </w:rPr>
        <w:t>根据《建设项目风险评价技术导则》（HJ169-2018）附录B，本项目涉及的危险物质主要为</w:t>
      </w:r>
      <w:r>
        <w:rPr>
          <w:rFonts w:ascii="Times New Roman" w:hAnsi="Times New Roman"/>
          <w:color w:val="000000" w:themeColor="text1"/>
          <w14:textFill>
            <w14:solidFill>
              <w14:schemeClr w14:val="tx1"/>
            </w14:solidFill>
          </w14:textFill>
        </w:rPr>
        <w:t>硫酸铵、</w:t>
      </w:r>
      <w:r>
        <w:rPr>
          <w:rFonts w:hint="default" w:ascii="Times New Roman" w:hAnsi="Times New Roman"/>
          <w:color w:val="000000" w:themeColor="text1"/>
          <w14:textFill>
            <w14:solidFill>
              <w14:schemeClr w14:val="tx1"/>
            </w14:solidFill>
          </w14:textFill>
        </w:rPr>
        <w:t>废机油</w:t>
      </w:r>
      <w:r>
        <w:rPr>
          <w:rFonts w:ascii="Times New Roman" w:hAnsi="Times New Roman"/>
          <w:color w:val="000000" w:themeColor="text1"/>
          <w14:textFill>
            <w14:solidFill>
              <w14:schemeClr w14:val="tx1"/>
            </w14:solidFill>
          </w14:textFill>
        </w:rPr>
        <w:t>以及硫酸铵遇高热产生的硫酸雾、氨气、二氧化硫</w:t>
      </w:r>
      <w:r>
        <w:rPr>
          <w:rFonts w:hint="default" w:ascii="Times New Roman" w:hAnsi="Times New Roman"/>
          <w:color w:val="000000" w:themeColor="text1"/>
          <w14:textFill>
            <w14:solidFill>
              <w14:schemeClr w14:val="tx1"/>
            </w14:solidFill>
          </w14:textFill>
        </w:rPr>
        <w:t>，危险特性分析见表</w:t>
      </w:r>
      <w:r>
        <w:rPr>
          <w:rFonts w:ascii="Times New Roman" w:hAnsi="Times New Roman"/>
          <w:color w:val="000000" w:themeColor="text1"/>
          <w14:textFill>
            <w14:solidFill>
              <w14:schemeClr w14:val="tx1"/>
            </w14:solidFill>
          </w14:textFill>
        </w:rPr>
        <w:t>2.1</w:t>
      </w:r>
      <w:r>
        <w:rPr>
          <w:rFonts w:hint="default" w:ascii="Times New Roman" w:hAnsi="Times New Roman"/>
          <w:color w:val="000000" w:themeColor="text1"/>
          <w14:textFill>
            <w14:solidFill>
              <w14:schemeClr w14:val="tx1"/>
            </w14:solidFill>
          </w14:textFill>
        </w:rPr>
        <w:t>-1</w:t>
      </w:r>
      <w:r>
        <w:rPr>
          <w:rFonts w:hint="default" w:ascii="Times New Roman" w:hAnsi="Times New Roman"/>
          <w:color w:val="000000" w:themeColor="text1"/>
          <w:szCs w:val="24"/>
          <w14:textFill>
            <w14:solidFill>
              <w14:schemeClr w14:val="tx1"/>
            </w14:solidFill>
          </w14:textFill>
        </w:rPr>
        <w:t>。</w:t>
      </w:r>
    </w:p>
    <w:p w14:paraId="306F2677">
      <w:pPr>
        <w:jc w:val="center"/>
        <w:rPr>
          <w:b/>
          <w:color w:val="000000" w:themeColor="text1"/>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2.1</w:t>
      </w:r>
      <w:r>
        <w:rPr>
          <w:b/>
          <w:color w:val="000000" w:themeColor="text1"/>
          <w:sz w:val="24"/>
          <w14:textFill>
            <w14:solidFill>
              <w14:schemeClr w14:val="tx1"/>
            </w14:solidFill>
          </w14:textFill>
        </w:rPr>
        <w:t>-1  本项目危险物质的特性分析</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68"/>
        <w:gridCol w:w="796"/>
        <w:gridCol w:w="712"/>
        <w:gridCol w:w="856"/>
        <w:gridCol w:w="847"/>
        <w:gridCol w:w="1341"/>
        <w:gridCol w:w="1269"/>
        <w:gridCol w:w="940"/>
        <w:gridCol w:w="1252"/>
      </w:tblGrid>
      <w:tr w14:paraId="6A1F9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7" w:type="pct"/>
            <w:vAlign w:val="center"/>
          </w:tcPr>
          <w:p w14:paraId="33237D12">
            <w:pPr>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物质名称</w:t>
            </w:r>
          </w:p>
        </w:tc>
        <w:tc>
          <w:tcPr>
            <w:tcW w:w="453" w:type="pct"/>
            <w:vAlign w:val="center"/>
          </w:tcPr>
          <w:p w14:paraId="7381ED35">
            <w:pPr>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最大储存量</w:t>
            </w:r>
            <w:r>
              <w:rPr>
                <w:rFonts w:hint="eastAsia"/>
                <w:b/>
                <w:bCs/>
                <w:color w:val="000000" w:themeColor="text1"/>
                <w:szCs w:val="21"/>
                <w14:textFill>
                  <w14:solidFill>
                    <w14:schemeClr w14:val="tx1"/>
                  </w14:solidFill>
                </w14:textFill>
              </w:rPr>
              <w:t>t</w:t>
            </w:r>
          </w:p>
        </w:tc>
        <w:tc>
          <w:tcPr>
            <w:tcW w:w="405" w:type="pct"/>
            <w:vAlign w:val="center"/>
          </w:tcPr>
          <w:p w14:paraId="5A760A01">
            <w:pPr>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闪点℃</w:t>
            </w:r>
          </w:p>
        </w:tc>
        <w:tc>
          <w:tcPr>
            <w:tcW w:w="487" w:type="pct"/>
            <w:vAlign w:val="center"/>
          </w:tcPr>
          <w:p w14:paraId="7D6ABD06">
            <w:pPr>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燃烧性</w:t>
            </w:r>
          </w:p>
        </w:tc>
        <w:tc>
          <w:tcPr>
            <w:tcW w:w="482" w:type="pct"/>
            <w:vAlign w:val="center"/>
          </w:tcPr>
          <w:p w14:paraId="02E28845">
            <w:pPr>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爆炸极限%</w:t>
            </w:r>
          </w:p>
        </w:tc>
        <w:tc>
          <w:tcPr>
            <w:tcW w:w="763" w:type="pct"/>
            <w:vAlign w:val="center"/>
          </w:tcPr>
          <w:p w14:paraId="4792608F">
            <w:pPr>
              <w:spacing w:line="240" w:lineRule="atLeast"/>
              <w:jc w:val="center"/>
              <w:rPr>
                <w:b/>
                <w:bCs/>
                <w:color w:val="000000" w:themeColor="text1"/>
                <w:szCs w:val="21"/>
                <w:vertAlign w:val="subscript"/>
                <w14:textFill>
                  <w14:solidFill>
                    <w14:schemeClr w14:val="tx1"/>
                  </w14:solidFill>
                </w14:textFill>
              </w:rPr>
            </w:pPr>
            <w:r>
              <w:rPr>
                <w:b/>
                <w:bCs/>
                <w:color w:val="000000" w:themeColor="text1"/>
                <w:szCs w:val="21"/>
                <w14:textFill>
                  <w14:solidFill>
                    <w14:schemeClr w14:val="tx1"/>
                  </w14:solidFill>
                </w14:textFill>
              </w:rPr>
              <w:t>LD</w:t>
            </w:r>
            <w:r>
              <w:rPr>
                <w:b/>
                <w:bCs/>
                <w:color w:val="000000" w:themeColor="text1"/>
                <w:szCs w:val="21"/>
                <w:vertAlign w:val="subscript"/>
                <w14:textFill>
                  <w14:solidFill>
                    <w14:schemeClr w14:val="tx1"/>
                  </w14:solidFill>
                </w14:textFill>
              </w:rPr>
              <w:t>50</w:t>
            </w:r>
          </w:p>
          <w:p w14:paraId="558F2F35">
            <w:pPr>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（经口，mg/kg）</w:t>
            </w:r>
          </w:p>
        </w:tc>
        <w:tc>
          <w:tcPr>
            <w:tcW w:w="722" w:type="pct"/>
            <w:vAlign w:val="center"/>
          </w:tcPr>
          <w:p w14:paraId="7112EC40">
            <w:pPr>
              <w:spacing w:line="240" w:lineRule="atLeast"/>
              <w:jc w:val="center"/>
              <w:rPr>
                <w:b/>
                <w:bCs/>
                <w:color w:val="000000" w:themeColor="text1"/>
                <w:szCs w:val="21"/>
                <w:vertAlign w:val="subscript"/>
                <w14:textFill>
                  <w14:solidFill>
                    <w14:schemeClr w14:val="tx1"/>
                  </w14:solidFill>
                </w14:textFill>
              </w:rPr>
            </w:pPr>
            <w:r>
              <w:rPr>
                <w:b/>
                <w:bCs/>
                <w:color w:val="000000" w:themeColor="text1"/>
                <w:szCs w:val="21"/>
                <w14:textFill>
                  <w14:solidFill>
                    <w14:schemeClr w14:val="tx1"/>
                  </w14:solidFill>
                </w14:textFill>
              </w:rPr>
              <w:t>LC</w:t>
            </w:r>
            <w:r>
              <w:rPr>
                <w:b/>
                <w:bCs/>
                <w:color w:val="000000" w:themeColor="text1"/>
                <w:szCs w:val="21"/>
                <w:vertAlign w:val="subscript"/>
                <w14:textFill>
                  <w14:solidFill>
                    <w14:schemeClr w14:val="tx1"/>
                  </w14:solidFill>
                </w14:textFill>
              </w:rPr>
              <w:t>50</w:t>
            </w:r>
          </w:p>
          <w:p w14:paraId="7DFE57F2">
            <w:pPr>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（吸入，mg/m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535" w:type="pct"/>
            <w:vAlign w:val="center"/>
          </w:tcPr>
          <w:p w14:paraId="2180D321">
            <w:pPr>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毒性级别</w:t>
            </w:r>
          </w:p>
        </w:tc>
        <w:tc>
          <w:tcPr>
            <w:tcW w:w="712" w:type="pct"/>
            <w:vAlign w:val="center"/>
          </w:tcPr>
          <w:p w14:paraId="66306856">
            <w:pPr>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分布</w:t>
            </w:r>
          </w:p>
        </w:tc>
      </w:tr>
      <w:tr w14:paraId="5725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7" w:type="pct"/>
            <w:vAlign w:val="center"/>
          </w:tcPr>
          <w:p w14:paraId="584F50A2">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硫酸铵</w:t>
            </w:r>
          </w:p>
        </w:tc>
        <w:tc>
          <w:tcPr>
            <w:tcW w:w="453" w:type="pct"/>
            <w:vAlign w:val="center"/>
          </w:tcPr>
          <w:p w14:paraId="75D53D5A">
            <w:pPr>
              <w:adjustRightInd w:val="0"/>
              <w:snapToGrid w:val="0"/>
              <w:spacing w:line="240" w:lineRule="atLeas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u w:val="single"/>
                <w14:textFill>
                  <w14:solidFill>
                    <w14:schemeClr w14:val="tx1"/>
                  </w14:solidFill>
                </w14:textFill>
              </w:rPr>
              <w:t>1</w:t>
            </w:r>
            <w:r>
              <w:rPr>
                <w:rFonts w:hint="eastAsia"/>
                <w:color w:val="000000" w:themeColor="text1"/>
                <w:szCs w:val="21"/>
                <w:u w:val="single"/>
                <w:lang w:val="en-US" w:eastAsia="zh-CN"/>
                <w14:textFill>
                  <w14:solidFill>
                    <w14:schemeClr w14:val="tx1"/>
                  </w14:solidFill>
                </w14:textFill>
              </w:rPr>
              <w:t>0</w:t>
            </w:r>
            <w:r>
              <w:rPr>
                <w:rFonts w:hint="eastAsia"/>
                <w:color w:val="000000" w:themeColor="text1"/>
                <w:szCs w:val="21"/>
                <w:u w:val="single"/>
                <w14:textFill>
                  <w14:solidFill>
                    <w14:schemeClr w14:val="tx1"/>
                  </w14:solidFill>
                </w14:textFill>
              </w:rPr>
              <w:t>000</w:t>
            </w:r>
            <w:r>
              <w:rPr>
                <w:rFonts w:hint="eastAsia"/>
                <w:color w:val="000000" w:themeColor="text1"/>
                <w:szCs w:val="21"/>
                <w:u w:val="single"/>
                <w:lang w:val="en-US" w:eastAsia="zh-CN"/>
                <w14:textFill>
                  <w14:solidFill>
                    <w14:schemeClr w14:val="tx1"/>
                  </w14:solidFill>
                </w14:textFill>
              </w:rPr>
              <w:t>.2</w:t>
            </w:r>
          </w:p>
        </w:tc>
        <w:tc>
          <w:tcPr>
            <w:tcW w:w="405" w:type="pct"/>
            <w:vAlign w:val="center"/>
          </w:tcPr>
          <w:p w14:paraId="109F921F">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w:t>
            </w:r>
          </w:p>
        </w:tc>
        <w:tc>
          <w:tcPr>
            <w:tcW w:w="487" w:type="pct"/>
            <w:vAlign w:val="center"/>
          </w:tcPr>
          <w:p w14:paraId="54B55C71">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不可燃</w:t>
            </w:r>
          </w:p>
        </w:tc>
        <w:tc>
          <w:tcPr>
            <w:tcW w:w="482" w:type="pct"/>
            <w:vAlign w:val="center"/>
          </w:tcPr>
          <w:p w14:paraId="4CA84932">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15~28</w:t>
            </w:r>
          </w:p>
        </w:tc>
        <w:tc>
          <w:tcPr>
            <w:tcW w:w="763" w:type="pct"/>
            <w:vAlign w:val="center"/>
          </w:tcPr>
          <w:p w14:paraId="6F0CDD73">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3000</w:t>
            </w:r>
          </w:p>
        </w:tc>
        <w:tc>
          <w:tcPr>
            <w:tcW w:w="722" w:type="pct"/>
            <w:vAlign w:val="center"/>
          </w:tcPr>
          <w:p w14:paraId="5B988042">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35" w:type="pct"/>
            <w:vAlign w:val="center"/>
          </w:tcPr>
          <w:p w14:paraId="047D4B02">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微毒</w:t>
            </w:r>
          </w:p>
        </w:tc>
        <w:tc>
          <w:tcPr>
            <w:tcW w:w="712" w:type="pct"/>
            <w:vAlign w:val="center"/>
          </w:tcPr>
          <w:p w14:paraId="55B335D6">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原料库、生产车间、成品库</w:t>
            </w:r>
          </w:p>
        </w:tc>
      </w:tr>
      <w:tr w14:paraId="40802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7" w:type="pct"/>
            <w:vAlign w:val="center"/>
          </w:tcPr>
          <w:p w14:paraId="25B99EF3">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废机油</w:t>
            </w:r>
          </w:p>
        </w:tc>
        <w:tc>
          <w:tcPr>
            <w:tcW w:w="453" w:type="pct"/>
            <w:vAlign w:val="center"/>
          </w:tcPr>
          <w:p w14:paraId="5D139DE7">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2</w:t>
            </w:r>
          </w:p>
        </w:tc>
        <w:tc>
          <w:tcPr>
            <w:tcW w:w="405" w:type="pct"/>
            <w:vAlign w:val="center"/>
          </w:tcPr>
          <w:p w14:paraId="549D87A6">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76</w:t>
            </w:r>
          </w:p>
        </w:tc>
        <w:tc>
          <w:tcPr>
            <w:tcW w:w="487" w:type="pct"/>
            <w:vAlign w:val="center"/>
          </w:tcPr>
          <w:p w14:paraId="3A69D840">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易燃</w:t>
            </w:r>
          </w:p>
        </w:tc>
        <w:tc>
          <w:tcPr>
            <w:tcW w:w="482" w:type="pct"/>
            <w:vAlign w:val="center"/>
          </w:tcPr>
          <w:p w14:paraId="0999ED24">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63" w:type="pct"/>
            <w:vAlign w:val="center"/>
          </w:tcPr>
          <w:p w14:paraId="712B220B">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22" w:type="pct"/>
            <w:vAlign w:val="center"/>
          </w:tcPr>
          <w:p w14:paraId="1EC5E108">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35" w:type="pct"/>
            <w:vAlign w:val="center"/>
          </w:tcPr>
          <w:p w14:paraId="2856AC13">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低毒</w:t>
            </w:r>
          </w:p>
        </w:tc>
        <w:tc>
          <w:tcPr>
            <w:tcW w:w="712" w:type="pct"/>
            <w:vAlign w:val="center"/>
          </w:tcPr>
          <w:p w14:paraId="20142946">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危废暂存间</w:t>
            </w:r>
          </w:p>
        </w:tc>
      </w:tr>
      <w:tr w14:paraId="22BC3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7" w:type="pct"/>
            <w:vAlign w:val="center"/>
          </w:tcPr>
          <w:p w14:paraId="0EE61999">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硫酸雾</w:t>
            </w:r>
          </w:p>
        </w:tc>
        <w:tc>
          <w:tcPr>
            <w:tcW w:w="453" w:type="pct"/>
            <w:vAlign w:val="center"/>
          </w:tcPr>
          <w:p w14:paraId="548DC315">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05" w:type="pct"/>
            <w:vAlign w:val="center"/>
          </w:tcPr>
          <w:p w14:paraId="03E9A8EE">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87" w:type="pct"/>
            <w:vAlign w:val="center"/>
          </w:tcPr>
          <w:p w14:paraId="723070E8">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不可燃</w:t>
            </w:r>
          </w:p>
        </w:tc>
        <w:tc>
          <w:tcPr>
            <w:tcW w:w="482" w:type="pct"/>
            <w:vAlign w:val="center"/>
          </w:tcPr>
          <w:p w14:paraId="2B334727">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4.7~74.1</w:t>
            </w:r>
          </w:p>
        </w:tc>
        <w:tc>
          <w:tcPr>
            <w:tcW w:w="763" w:type="pct"/>
            <w:vAlign w:val="center"/>
          </w:tcPr>
          <w:p w14:paraId="34A5B8F4">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c>
          <w:tcPr>
            <w:tcW w:w="722" w:type="pct"/>
            <w:vAlign w:val="center"/>
          </w:tcPr>
          <w:p w14:paraId="27C11552">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35" w:type="pct"/>
            <w:vAlign w:val="center"/>
          </w:tcPr>
          <w:p w14:paraId="33052BA8">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中毒</w:t>
            </w:r>
          </w:p>
        </w:tc>
        <w:tc>
          <w:tcPr>
            <w:tcW w:w="712" w:type="pct"/>
            <w:vAlign w:val="center"/>
          </w:tcPr>
          <w:p w14:paraId="6C9C70DF">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w:t>
            </w:r>
          </w:p>
        </w:tc>
      </w:tr>
    </w:tbl>
    <w:p w14:paraId="15401A70">
      <w:pPr>
        <w:jc w:val="center"/>
        <w:rPr>
          <w:b/>
          <w:color w:val="000000" w:themeColor="text1"/>
          <w14:textFill>
            <w14:solidFill>
              <w14:schemeClr w14:val="tx1"/>
            </w14:solidFill>
          </w14:textFill>
        </w:rPr>
      </w:pPr>
      <w:r>
        <w:rPr>
          <w:rFonts w:hint="eastAsia"/>
          <w:b/>
          <w:color w:val="000000" w:themeColor="text1"/>
          <w:sz w:val="24"/>
          <w14:textFill>
            <w14:solidFill>
              <w14:schemeClr w14:val="tx1"/>
            </w14:solidFill>
          </w14:textFill>
        </w:rPr>
        <w:t>续</w:t>
      </w: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2.1</w:t>
      </w:r>
      <w:r>
        <w:rPr>
          <w:b/>
          <w:color w:val="000000" w:themeColor="text1"/>
          <w:sz w:val="24"/>
          <w14:textFill>
            <w14:solidFill>
              <w14:schemeClr w14:val="tx1"/>
            </w14:solidFill>
          </w14:textFill>
        </w:rPr>
        <w:t>-1  本项目危险物质的特性分析</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68"/>
        <w:gridCol w:w="796"/>
        <w:gridCol w:w="712"/>
        <w:gridCol w:w="856"/>
        <w:gridCol w:w="847"/>
        <w:gridCol w:w="1341"/>
        <w:gridCol w:w="1269"/>
        <w:gridCol w:w="940"/>
        <w:gridCol w:w="1252"/>
      </w:tblGrid>
      <w:tr w14:paraId="5035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7" w:type="pct"/>
            <w:vAlign w:val="center"/>
          </w:tcPr>
          <w:p w14:paraId="665C4667">
            <w:pPr>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物质名称</w:t>
            </w:r>
          </w:p>
        </w:tc>
        <w:tc>
          <w:tcPr>
            <w:tcW w:w="453" w:type="pct"/>
            <w:vAlign w:val="center"/>
          </w:tcPr>
          <w:p w14:paraId="0155968D">
            <w:pPr>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最大储存量</w:t>
            </w:r>
            <w:r>
              <w:rPr>
                <w:rFonts w:hint="eastAsia"/>
                <w:b/>
                <w:bCs/>
                <w:color w:val="000000" w:themeColor="text1"/>
                <w:szCs w:val="21"/>
                <w14:textFill>
                  <w14:solidFill>
                    <w14:schemeClr w14:val="tx1"/>
                  </w14:solidFill>
                </w14:textFill>
              </w:rPr>
              <w:t>t</w:t>
            </w:r>
          </w:p>
        </w:tc>
        <w:tc>
          <w:tcPr>
            <w:tcW w:w="405" w:type="pct"/>
            <w:vAlign w:val="center"/>
          </w:tcPr>
          <w:p w14:paraId="57D6F721">
            <w:pPr>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闪点℃</w:t>
            </w:r>
          </w:p>
        </w:tc>
        <w:tc>
          <w:tcPr>
            <w:tcW w:w="487" w:type="pct"/>
            <w:vAlign w:val="center"/>
          </w:tcPr>
          <w:p w14:paraId="759AEB27">
            <w:pPr>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燃烧性</w:t>
            </w:r>
          </w:p>
        </w:tc>
        <w:tc>
          <w:tcPr>
            <w:tcW w:w="482" w:type="pct"/>
            <w:vAlign w:val="center"/>
          </w:tcPr>
          <w:p w14:paraId="319759D7">
            <w:pPr>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爆炸极限%</w:t>
            </w:r>
          </w:p>
        </w:tc>
        <w:tc>
          <w:tcPr>
            <w:tcW w:w="763" w:type="pct"/>
            <w:vAlign w:val="center"/>
          </w:tcPr>
          <w:p w14:paraId="166E1ED9">
            <w:pPr>
              <w:spacing w:line="240" w:lineRule="atLeast"/>
              <w:jc w:val="center"/>
              <w:rPr>
                <w:b/>
                <w:bCs/>
                <w:color w:val="000000" w:themeColor="text1"/>
                <w:szCs w:val="21"/>
                <w:vertAlign w:val="subscript"/>
                <w14:textFill>
                  <w14:solidFill>
                    <w14:schemeClr w14:val="tx1"/>
                  </w14:solidFill>
                </w14:textFill>
              </w:rPr>
            </w:pPr>
            <w:r>
              <w:rPr>
                <w:b/>
                <w:bCs/>
                <w:color w:val="000000" w:themeColor="text1"/>
                <w:szCs w:val="21"/>
                <w14:textFill>
                  <w14:solidFill>
                    <w14:schemeClr w14:val="tx1"/>
                  </w14:solidFill>
                </w14:textFill>
              </w:rPr>
              <w:t>LD</w:t>
            </w:r>
            <w:r>
              <w:rPr>
                <w:b/>
                <w:bCs/>
                <w:color w:val="000000" w:themeColor="text1"/>
                <w:szCs w:val="21"/>
                <w:vertAlign w:val="subscript"/>
                <w14:textFill>
                  <w14:solidFill>
                    <w14:schemeClr w14:val="tx1"/>
                  </w14:solidFill>
                </w14:textFill>
              </w:rPr>
              <w:t>50</w:t>
            </w:r>
          </w:p>
          <w:p w14:paraId="535ED6AC">
            <w:pPr>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（经口，mg/kg）</w:t>
            </w:r>
          </w:p>
        </w:tc>
        <w:tc>
          <w:tcPr>
            <w:tcW w:w="722" w:type="pct"/>
            <w:vAlign w:val="center"/>
          </w:tcPr>
          <w:p w14:paraId="458D2312">
            <w:pPr>
              <w:spacing w:line="240" w:lineRule="atLeast"/>
              <w:jc w:val="center"/>
              <w:rPr>
                <w:b/>
                <w:bCs/>
                <w:color w:val="000000" w:themeColor="text1"/>
                <w:szCs w:val="21"/>
                <w:vertAlign w:val="subscript"/>
                <w14:textFill>
                  <w14:solidFill>
                    <w14:schemeClr w14:val="tx1"/>
                  </w14:solidFill>
                </w14:textFill>
              </w:rPr>
            </w:pPr>
            <w:r>
              <w:rPr>
                <w:b/>
                <w:bCs/>
                <w:color w:val="000000" w:themeColor="text1"/>
                <w:szCs w:val="21"/>
                <w14:textFill>
                  <w14:solidFill>
                    <w14:schemeClr w14:val="tx1"/>
                  </w14:solidFill>
                </w14:textFill>
              </w:rPr>
              <w:t>LC</w:t>
            </w:r>
            <w:r>
              <w:rPr>
                <w:b/>
                <w:bCs/>
                <w:color w:val="000000" w:themeColor="text1"/>
                <w:szCs w:val="21"/>
                <w:vertAlign w:val="subscript"/>
                <w14:textFill>
                  <w14:solidFill>
                    <w14:schemeClr w14:val="tx1"/>
                  </w14:solidFill>
                </w14:textFill>
              </w:rPr>
              <w:t>50</w:t>
            </w:r>
          </w:p>
          <w:p w14:paraId="5627C0C5">
            <w:pPr>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（吸入，mg/m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535" w:type="pct"/>
            <w:vAlign w:val="center"/>
          </w:tcPr>
          <w:p w14:paraId="6FE498D6">
            <w:pPr>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毒性级别</w:t>
            </w:r>
          </w:p>
        </w:tc>
        <w:tc>
          <w:tcPr>
            <w:tcW w:w="712" w:type="pct"/>
            <w:vAlign w:val="center"/>
          </w:tcPr>
          <w:p w14:paraId="233E563E">
            <w:pPr>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分布</w:t>
            </w:r>
          </w:p>
        </w:tc>
      </w:tr>
      <w:tr w14:paraId="5D1D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7" w:type="pct"/>
            <w:vAlign w:val="center"/>
          </w:tcPr>
          <w:p w14:paraId="4D8837FC">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氨气</w:t>
            </w:r>
          </w:p>
        </w:tc>
        <w:tc>
          <w:tcPr>
            <w:tcW w:w="453" w:type="pct"/>
            <w:vAlign w:val="center"/>
          </w:tcPr>
          <w:p w14:paraId="0E75C8A7">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05" w:type="pct"/>
            <w:vAlign w:val="center"/>
          </w:tcPr>
          <w:p w14:paraId="52BA265F">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w:t>
            </w:r>
          </w:p>
        </w:tc>
        <w:tc>
          <w:tcPr>
            <w:tcW w:w="487" w:type="pct"/>
            <w:vAlign w:val="center"/>
          </w:tcPr>
          <w:p w14:paraId="0085ADC3">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不易燃</w:t>
            </w:r>
          </w:p>
        </w:tc>
        <w:tc>
          <w:tcPr>
            <w:tcW w:w="482" w:type="pct"/>
            <w:vAlign w:val="center"/>
          </w:tcPr>
          <w:p w14:paraId="220E8014">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16.1~25</w:t>
            </w:r>
          </w:p>
        </w:tc>
        <w:tc>
          <w:tcPr>
            <w:tcW w:w="763" w:type="pct"/>
            <w:vAlign w:val="center"/>
          </w:tcPr>
          <w:p w14:paraId="4776DF73">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350</w:t>
            </w:r>
          </w:p>
        </w:tc>
        <w:tc>
          <w:tcPr>
            <w:tcW w:w="722" w:type="pct"/>
            <w:vAlign w:val="center"/>
          </w:tcPr>
          <w:p w14:paraId="275C3A09">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1390</w:t>
            </w:r>
          </w:p>
        </w:tc>
        <w:tc>
          <w:tcPr>
            <w:tcW w:w="535" w:type="pct"/>
            <w:vAlign w:val="center"/>
          </w:tcPr>
          <w:p w14:paraId="599C095A">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中毒</w:t>
            </w:r>
          </w:p>
        </w:tc>
        <w:tc>
          <w:tcPr>
            <w:tcW w:w="712" w:type="pct"/>
            <w:vAlign w:val="center"/>
          </w:tcPr>
          <w:p w14:paraId="1B6C4EE5">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w:t>
            </w:r>
          </w:p>
        </w:tc>
      </w:tr>
      <w:tr w14:paraId="4264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7" w:type="pct"/>
            <w:vAlign w:val="center"/>
          </w:tcPr>
          <w:p w14:paraId="2A59682D">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二氧化硫</w:t>
            </w:r>
          </w:p>
        </w:tc>
        <w:tc>
          <w:tcPr>
            <w:tcW w:w="453" w:type="pct"/>
            <w:vAlign w:val="center"/>
          </w:tcPr>
          <w:p w14:paraId="1AA14CE9">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05" w:type="pct"/>
            <w:vAlign w:val="center"/>
          </w:tcPr>
          <w:p w14:paraId="20F81237">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87" w:type="pct"/>
            <w:vAlign w:val="center"/>
          </w:tcPr>
          <w:p w14:paraId="77651246">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不可燃</w:t>
            </w:r>
          </w:p>
        </w:tc>
        <w:tc>
          <w:tcPr>
            <w:tcW w:w="482" w:type="pct"/>
            <w:vAlign w:val="center"/>
          </w:tcPr>
          <w:p w14:paraId="16D9BD15">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63" w:type="pct"/>
            <w:vAlign w:val="center"/>
          </w:tcPr>
          <w:p w14:paraId="1C329071">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22" w:type="pct"/>
            <w:vAlign w:val="center"/>
          </w:tcPr>
          <w:p w14:paraId="267F3A21">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6600</w:t>
            </w:r>
          </w:p>
        </w:tc>
        <w:tc>
          <w:tcPr>
            <w:tcW w:w="535" w:type="pct"/>
            <w:vAlign w:val="center"/>
          </w:tcPr>
          <w:p w14:paraId="702BABAA">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中毒</w:t>
            </w:r>
          </w:p>
        </w:tc>
        <w:tc>
          <w:tcPr>
            <w:tcW w:w="712" w:type="pct"/>
            <w:vAlign w:val="center"/>
          </w:tcPr>
          <w:p w14:paraId="1735D4DE">
            <w:pPr>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w:t>
            </w:r>
          </w:p>
        </w:tc>
      </w:tr>
    </w:tbl>
    <w:p w14:paraId="1A2888C8">
      <w:pPr>
        <w:pStyle w:val="53"/>
        <w:adjustRightInd/>
        <w:spacing w:after="0"/>
        <w:ind w:left="0" w:firstLine="480" w:firstLineChars="200"/>
        <w:rPr>
          <w:rFonts w:hint="default" w:ascii="Times New Roman" w:hAnsi="Times New Roman"/>
          <w:color w:val="000000" w:themeColor="text1"/>
          <w:szCs w:val="24"/>
          <w14:textFill>
            <w14:solidFill>
              <w14:schemeClr w14:val="tx1"/>
            </w14:solidFill>
          </w14:textFill>
        </w:rPr>
      </w:pPr>
    </w:p>
    <w:p w14:paraId="131C6C84">
      <w:pPr>
        <w:pStyle w:val="3"/>
        <w:spacing w:before="0" w:after="0" w:line="360" w:lineRule="auto"/>
        <w:rPr>
          <w:rFonts w:ascii="Times New Roman" w:hAnsi="Times New Roman" w:eastAsia="宋体"/>
          <w:color w:val="000000" w:themeColor="text1"/>
          <w14:textFill>
            <w14:solidFill>
              <w14:schemeClr w14:val="tx1"/>
            </w14:solidFill>
          </w14:textFill>
        </w:rPr>
      </w:pPr>
      <w:bookmarkStart w:id="20" w:name="_Toc11332"/>
      <w:r>
        <w:rPr>
          <w:rFonts w:hint="eastAsia" w:ascii="Times New Roman" w:hAnsi="Times New Roman" w:eastAsia="宋体"/>
          <w:color w:val="000000" w:themeColor="text1"/>
          <w14:textFill>
            <w14:solidFill>
              <w14:schemeClr w14:val="tx1"/>
            </w14:solidFill>
          </w14:textFill>
        </w:rPr>
        <w:t>2</w:t>
      </w:r>
      <w:r>
        <w:rPr>
          <w:rFonts w:ascii="Times New Roman" w:hAnsi="Times New Roman" w:eastAsia="宋体"/>
          <w:color w:val="000000" w:themeColor="text1"/>
          <w14:textFill>
            <w14:solidFill>
              <w14:schemeClr w14:val="tx1"/>
            </w14:solidFill>
          </w14:textFill>
        </w:rPr>
        <w:t>.2生产系统危险性识别</w:t>
      </w:r>
      <w:bookmarkEnd w:id="20"/>
    </w:p>
    <w:p w14:paraId="056D3756">
      <w:pPr>
        <w:spacing w:line="5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 xml:space="preserve"> 生产过程危险性识别</w:t>
      </w:r>
    </w:p>
    <w:p w14:paraId="6CF7C857">
      <w:pPr>
        <w:spacing w:line="50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生产车间涉及的设备、输送皮带等设施可能发生破裂、停电、设备故障、工作人员违章操作、误操作可能造成生产线不正常运转，发生洒落、倾倒等，从而引起具有毒性或腐蚀性的化学品泄漏，污染周边水体及地下水，属于危险单元</w:t>
      </w:r>
      <w:r>
        <w:rPr>
          <w:color w:val="000000" w:themeColor="text1"/>
          <w:sz w:val="24"/>
          <w14:textFill>
            <w14:solidFill>
              <w14:schemeClr w14:val="tx1"/>
            </w14:solidFill>
          </w14:textFill>
        </w:rPr>
        <w:t>。</w:t>
      </w:r>
    </w:p>
    <w:p w14:paraId="5C4AE49D">
      <w:pPr>
        <w:spacing w:line="500" w:lineRule="exact"/>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color w:val="000000" w:themeColor="text1"/>
          <w:sz w:val="24"/>
          <w14:textFill>
            <w14:solidFill>
              <w14:schemeClr w14:val="tx1"/>
            </w14:solidFill>
          </w14:textFill>
        </w:rPr>
        <w:t xml:space="preserve"> 储运过程危险性识别</w:t>
      </w:r>
    </w:p>
    <w:p w14:paraId="4AF84738">
      <w:pPr>
        <w:keepNext/>
        <w:keepLines/>
        <w:pageBreakBefore w:val="0"/>
        <w:widowControl w:val="0"/>
        <w:tabs>
          <w:tab w:val="left" w:pos="795"/>
        </w:tabs>
        <w:kinsoku/>
        <w:wordWrap/>
        <w:overflowPunct/>
        <w:topLinePunct w:val="0"/>
        <w:autoSpaceDE/>
        <w:autoSpaceDN/>
        <w:bidi w:val="0"/>
        <w:adjustRightInd/>
        <w:snapToGrid/>
        <w:spacing w:line="500" w:lineRule="exact"/>
        <w:ind w:left="794"/>
        <w:jc w:val="center"/>
        <w:textAlignment w:val="auto"/>
        <w:outlineLvl w:val="9"/>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表2.2-1</w:t>
      </w:r>
      <w:r>
        <w:rPr>
          <w:b/>
          <w:color w:val="000000" w:themeColor="text1"/>
          <w:sz w:val="24"/>
          <w14:textFill>
            <w14:solidFill>
              <w14:schemeClr w14:val="tx1"/>
            </w14:solidFill>
          </w14:textFill>
        </w:rPr>
        <w:t xml:space="preserve">  储运工程特性表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639"/>
        <w:gridCol w:w="1060"/>
        <w:gridCol w:w="1855"/>
        <w:gridCol w:w="1855"/>
        <w:gridCol w:w="1200"/>
      </w:tblGrid>
      <w:tr w14:paraId="4E2E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384" w:type="dxa"/>
            <w:tcBorders>
              <w:top w:val="single" w:color="auto" w:sz="4" w:space="0"/>
              <w:left w:val="single" w:color="auto" w:sz="4" w:space="0"/>
              <w:bottom w:val="single" w:color="auto" w:sz="4" w:space="0"/>
              <w:right w:val="single" w:color="auto" w:sz="4" w:space="0"/>
            </w:tcBorders>
            <w:vAlign w:val="center"/>
          </w:tcPr>
          <w:p w14:paraId="17F7E725">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储存点</w:t>
            </w:r>
          </w:p>
        </w:tc>
        <w:tc>
          <w:tcPr>
            <w:tcW w:w="1639" w:type="dxa"/>
            <w:tcBorders>
              <w:top w:val="single" w:color="auto" w:sz="4" w:space="0"/>
              <w:left w:val="single" w:color="auto" w:sz="4" w:space="0"/>
              <w:bottom w:val="single" w:color="auto" w:sz="4" w:space="0"/>
              <w:right w:val="single" w:color="auto" w:sz="4" w:space="0"/>
            </w:tcBorders>
            <w:vAlign w:val="center"/>
          </w:tcPr>
          <w:p w14:paraId="2AA021DB">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物料名称</w:t>
            </w:r>
          </w:p>
        </w:tc>
        <w:tc>
          <w:tcPr>
            <w:tcW w:w="1060" w:type="dxa"/>
            <w:tcBorders>
              <w:top w:val="single" w:color="auto" w:sz="4" w:space="0"/>
              <w:left w:val="single" w:color="auto" w:sz="4" w:space="0"/>
              <w:bottom w:val="single" w:color="auto" w:sz="4" w:space="0"/>
              <w:right w:val="single" w:color="auto" w:sz="4" w:space="0"/>
            </w:tcBorders>
            <w:vAlign w:val="center"/>
          </w:tcPr>
          <w:p w14:paraId="5EAB3812">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物料形态</w:t>
            </w:r>
          </w:p>
        </w:tc>
        <w:tc>
          <w:tcPr>
            <w:tcW w:w="1855" w:type="dxa"/>
            <w:tcBorders>
              <w:top w:val="single" w:color="auto" w:sz="4" w:space="0"/>
              <w:left w:val="single" w:color="auto" w:sz="4" w:space="0"/>
              <w:bottom w:val="single" w:color="auto" w:sz="4" w:space="0"/>
              <w:right w:val="single" w:color="auto" w:sz="4" w:space="0"/>
            </w:tcBorders>
            <w:vAlign w:val="center"/>
          </w:tcPr>
          <w:p w14:paraId="0B5E8839">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危险物质</w:t>
            </w:r>
          </w:p>
        </w:tc>
        <w:tc>
          <w:tcPr>
            <w:tcW w:w="1855" w:type="dxa"/>
            <w:tcBorders>
              <w:top w:val="single" w:color="auto" w:sz="4" w:space="0"/>
              <w:left w:val="single" w:color="auto" w:sz="4" w:space="0"/>
              <w:bottom w:val="single" w:color="auto" w:sz="4" w:space="0"/>
              <w:right w:val="single" w:color="auto" w:sz="4" w:space="0"/>
            </w:tcBorders>
            <w:vAlign w:val="center"/>
          </w:tcPr>
          <w:p w14:paraId="45689DD0">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特性</w:t>
            </w:r>
          </w:p>
        </w:tc>
        <w:tc>
          <w:tcPr>
            <w:tcW w:w="1200" w:type="dxa"/>
            <w:tcBorders>
              <w:top w:val="single" w:color="auto" w:sz="4" w:space="0"/>
              <w:left w:val="single" w:color="auto" w:sz="4" w:space="0"/>
              <w:bottom w:val="single" w:color="auto" w:sz="4" w:space="0"/>
              <w:right w:val="single" w:color="auto" w:sz="4" w:space="0"/>
            </w:tcBorders>
            <w:vAlign w:val="center"/>
          </w:tcPr>
          <w:p w14:paraId="54C45734">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储存状况</w:t>
            </w:r>
          </w:p>
        </w:tc>
      </w:tr>
      <w:tr w14:paraId="0367F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tcBorders>
              <w:top w:val="single" w:color="auto" w:sz="4" w:space="0"/>
              <w:left w:val="single" w:color="auto" w:sz="4" w:space="0"/>
              <w:right w:val="single" w:color="auto" w:sz="4" w:space="0"/>
            </w:tcBorders>
            <w:vAlign w:val="center"/>
          </w:tcPr>
          <w:p w14:paraId="7A11A68B">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原料库、成品库、生产车间</w:t>
            </w:r>
          </w:p>
        </w:tc>
        <w:tc>
          <w:tcPr>
            <w:tcW w:w="1639" w:type="dxa"/>
            <w:tcBorders>
              <w:top w:val="single" w:color="auto" w:sz="4" w:space="0"/>
              <w:left w:val="single" w:color="auto" w:sz="4" w:space="0"/>
              <w:bottom w:val="single" w:color="auto" w:sz="4" w:space="0"/>
              <w:right w:val="single" w:color="auto" w:sz="4" w:space="0"/>
            </w:tcBorders>
            <w:vAlign w:val="center"/>
          </w:tcPr>
          <w:p w14:paraId="0F4AED4E">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固体硫酸铵</w:t>
            </w:r>
          </w:p>
        </w:tc>
        <w:tc>
          <w:tcPr>
            <w:tcW w:w="1060" w:type="dxa"/>
            <w:tcBorders>
              <w:top w:val="single" w:color="auto" w:sz="4" w:space="0"/>
              <w:left w:val="single" w:color="auto" w:sz="4" w:space="0"/>
              <w:bottom w:val="single" w:color="auto" w:sz="4" w:space="0"/>
              <w:right w:val="single" w:color="auto" w:sz="4" w:space="0"/>
            </w:tcBorders>
            <w:vAlign w:val="center"/>
          </w:tcPr>
          <w:p w14:paraId="4517DC42">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855" w:type="dxa"/>
            <w:tcBorders>
              <w:top w:val="single" w:color="auto" w:sz="4" w:space="0"/>
              <w:left w:val="single" w:color="auto" w:sz="4" w:space="0"/>
              <w:bottom w:val="single" w:color="auto" w:sz="4" w:space="0"/>
              <w:right w:val="single" w:color="auto" w:sz="4" w:space="0"/>
            </w:tcBorders>
            <w:vAlign w:val="center"/>
          </w:tcPr>
          <w:p w14:paraId="31007520">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硫酸铵</w:t>
            </w:r>
          </w:p>
        </w:tc>
        <w:tc>
          <w:tcPr>
            <w:tcW w:w="1855" w:type="dxa"/>
            <w:tcBorders>
              <w:top w:val="single" w:color="auto" w:sz="4" w:space="0"/>
              <w:left w:val="single" w:color="auto" w:sz="4" w:space="0"/>
              <w:bottom w:val="single" w:color="auto" w:sz="4" w:space="0"/>
              <w:right w:val="single" w:color="auto" w:sz="4" w:space="0"/>
            </w:tcBorders>
            <w:vAlign w:val="center"/>
          </w:tcPr>
          <w:p w14:paraId="2FD8C6C2">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受热分解产生有毒的烟气</w:t>
            </w:r>
          </w:p>
        </w:tc>
        <w:tc>
          <w:tcPr>
            <w:tcW w:w="1200" w:type="dxa"/>
            <w:tcBorders>
              <w:top w:val="single" w:color="auto" w:sz="4" w:space="0"/>
              <w:left w:val="single" w:color="auto" w:sz="4" w:space="0"/>
              <w:bottom w:val="single" w:color="auto" w:sz="4" w:space="0"/>
              <w:right w:val="single" w:color="auto" w:sz="4" w:space="0"/>
            </w:tcBorders>
            <w:vAlign w:val="center"/>
          </w:tcPr>
          <w:p w14:paraId="76206048">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常温、常压</w:t>
            </w:r>
          </w:p>
        </w:tc>
      </w:tr>
      <w:tr w14:paraId="5619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tcBorders>
              <w:top w:val="single" w:color="auto" w:sz="4" w:space="0"/>
              <w:left w:val="single" w:color="auto" w:sz="4" w:space="0"/>
              <w:bottom w:val="single" w:color="auto" w:sz="4" w:space="0"/>
              <w:right w:val="single" w:color="auto" w:sz="4" w:space="0"/>
            </w:tcBorders>
            <w:vAlign w:val="center"/>
          </w:tcPr>
          <w:p w14:paraId="5E04DA4B">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危废暂存间</w:t>
            </w:r>
          </w:p>
        </w:tc>
        <w:tc>
          <w:tcPr>
            <w:tcW w:w="1639" w:type="dxa"/>
            <w:tcBorders>
              <w:top w:val="single" w:color="auto" w:sz="4" w:space="0"/>
              <w:left w:val="single" w:color="auto" w:sz="4" w:space="0"/>
              <w:bottom w:val="single" w:color="auto" w:sz="4" w:space="0"/>
              <w:right w:val="single" w:color="auto" w:sz="4" w:space="0"/>
            </w:tcBorders>
            <w:vAlign w:val="center"/>
          </w:tcPr>
          <w:p w14:paraId="6329531E">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w:t>
            </w:r>
          </w:p>
        </w:tc>
        <w:tc>
          <w:tcPr>
            <w:tcW w:w="1060" w:type="dxa"/>
            <w:tcBorders>
              <w:top w:val="single" w:color="auto" w:sz="4" w:space="0"/>
              <w:left w:val="single" w:color="auto" w:sz="4" w:space="0"/>
              <w:bottom w:val="single" w:color="auto" w:sz="4" w:space="0"/>
              <w:right w:val="single" w:color="auto" w:sz="4" w:space="0"/>
            </w:tcBorders>
            <w:vAlign w:val="center"/>
          </w:tcPr>
          <w:p w14:paraId="60869FBA">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1855" w:type="dxa"/>
            <w:tcBorders>
              <w:top w:val="single" w:color="auto" w:sz="4" w:space="0"/>
              <w:left w:val="single" w:color="auto" w:sz="4" w:space="0"/>
              <w:bottom w:val="single" w:color="auto" w:sz="4" w:space="0"/>
              <w:right w:val="single" w:color="auto" w:sz="4" w:space="0"/>
            </w:tcBorders>
            <w:vAlign w:val="center"/>
          </w:tcPr>
          <w:p w14:paraId="3FBB79F4">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w:t>
            </w:r>
          </w:p>
        </w:tc>
        <w:tc>
          <w:tcPr>
            <w:tcW w:w="1855" w:type="dxa"/>
            <w:tcBorders>
              <w:top w:val="single" w:color="auto" w:sz="4" w:space="0"/>
              <w:left w:val="single" w:color="auto" w:sz="4" w:space="0"/>
              <w:bottom w:val="single" w:color="auto" w:sz="4" w:space="0"/>
              <w:right w:val="single" w:color="auto" w:sz="4" w:space="0"/>
            </w:tcBorders>
            <w:vAlign w:val="center"/>
          </w:tcPr>
          <w:p w14:paraId="4B4C7555">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易燃</w:t>
            </w:r>
          </w:p>
        </w:tc>
        <w:tc>
          <w:tcPr>
            <w:tcW w:w="1200" w:type="dxa"/>
            <w:tcBorders>
              <w:top w:val="single" w:color="auto" w:sz="4" w:space="0"/>
              <w:left w:val="single" w:color="auto" w:sz="4" w:space="0"/>
              <w:bottom w:val="single" w:color="auto" w:sz="4" w:space="0"/>
              <w:right w:val="single" w:color="auto" w:sz="4" w:space="0"/>
            </w:tcBorders>
            <w:vAlign w:val="center"/>
          </w:tcPr>
          <w:p w14:paraId="2D0590D6">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常温、</w:t>
            </w:r>
            <w:r>
              <w:rPr>
                <w:rFonts w:hint="eastAsia"/>
                <w:color w:val="000000" w:themeColor="text1"/>
                <w:szCs w:val="21"/>
                <w14:textFill>
                  <w14:solidFill>
                    <w14:schemeClr w14:val="tx1"/>
                  </w14:solidFill>
                </w14:textFill>
              </w:rPr>
              <w:t>常</w:t>
            </w:r>
            <w:r>
              <w:rPr>
                <w:color w:val="000000" w:themeColor="text1"/>
                <w:szCs w:val="21"/>
                <w14:textFill>
                  <w14:solidFill>
                    <w14:schemeClr w14:val="tx1"/>
                  </w14:solidFill>
                </w14:textFill>
              </w:rPr>
              <w:t>压</w:t>
            </w:r>
          </w:p>
        </w:tc>
      </w:tr>
    </w:tbl>
    <w:p w14:paraId="184F8009">
      <w:pPr>
        <w:spacing w:line="50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（3）环保设施风险识别</w:t>
      </w:r>
    </w:p>
    <w:p w14:paraId="6D00FD4A">
      <w:pPr>
        <w:spacing w:line="50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①</w:t>
      </w:r>
      <w:r>
        <w:rPr>
          <w:rFonts w:hint="eastAsia" w:ascii="宋体" w:hAnsi="宋体" w:cs="宋体"/>
          <w:color w:val="000000" w:themeColor="text1"/>
          <w:sz w:val="24"/>
          <w14:textFill>
            <w14:solidFill>
              <w14:schemeClr w14:val="tx1"/>
            </w14:solidFill>
          </w14:textFill>
        </w:rPr>
        <w:t>废气治理系统风险识别</w:t>
      </w:r>
    </w:p>
    <w:p w14:paraId="10024645">
      <w:pPr>
        <w:spacing w:line="50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本项目废气治理系统由于设备的运行不稳定，可能会发生废气处理装置不能正常工作的情况，造成二氧化硫、氮氧化物、氨等高浓度的排放，进而影响项目周边环境保护目标。</w:t>
      </w:r>
    </w:p>
    <w:p w14:paraId="6429F86A">
      <w:pPr>
        <w:spacing w:line="50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了保证本项目在该地区的可持续发展，生产过程中应采取加强管理、严格操作等方法，保证废气治理设备正常运行。当废气治理设施出现故障不能正常运行时须尽快有序停产并进行维修，尽量缩短和避免非正常排放的发生，必要时采取停产等措施，避免对周围环境造成污染影响。</w:t>
      </w:r>
    </w:p>
    <w:p w14:paraId="1A3E3609">
      <w:pPr>
        <w:spacing w:line="50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②</w:t>
      </w:r>
      <w:r>
        <w:rPr>
          <w:rFonts w:hint="eastAsia" w:ascii="宋体" w:hAnsi="宋体" w:cs="宋体"/>
          <w:color w:val="000000" w:themeColor="text1"/>
          <w:sz w:val="24"/>
          <w14:textFill>
            <w14:solidFill>
              <w14:schemeClr w14:val="tx1"/>
            </w14:solidFill>
          </w14:textFill>
        </w:rPr>
        <w:t>废水处理系统风险识别</w:t>
      </w:r>
    </w:p>
    <w:p w14:paraId="7B5D84BC">
      <w:pPr>
        <w:spacing w:line="50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本次工程废水主要为生活污水、喷淋废水等。生活污水经化粪池预处理后排入园区管网送至污水处理厂处理；喷淋废水回用于生产不外排。因此，废水处理系统风险较小。</w:t>
      </w:r>
    </w:p>
    <w:p w14:paraId="3DAF0157">
      <w:pPr>
        <w:spacing w:line="500" w:lineRule="exact"/>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color w:val="000000" w:themeColor="text1"/>
          <w:sz w:val="24"/>
          <w14:textFill>
            <w14:solidFill>
              <w14:schemeClr w14:val="tx1"/>
            </w14:solidFill>
          </w14:textFill>
        </w:rPr>
        <w:t xml:space="preserve"> 事故伴生/次生危险性</w:t>
      </w:r>
    </w:p>
    <w:p w14:paraId="197F81FC">
      <w:pPr>
        <w:spacing w:line="5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事故中发生伴生</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 xml:space="preserve">次生作用，主要决定于物质性质和事故类型。事故中物质可能通过氧化、热解反应等过程对环境造成污染，事故类型不同，上述过程相应不同，如燃烧可能产生物料氧化、热解过程，泄漏冲洗可能产生水解过程等。伴生 </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次生危险性分析见表5.1-4。</w:t>
      </w:r>
    </w:p>
    <w:p w14:paraId="7E2307ED">
      <w:pPr>
        <w:keepNext/>
        <w:keepLines/>
        <w:pageBreakBefore w:val="0"/>
        <w:widowControl w:val="0"/>
        <w:tabs>
          <w:tab w:val="left" w:pos="795"/>
        </w:tabs>
        <w:kinsoku/>
        <w:wordWrap/>
        <w:overflowPunct/>
        <w:topLinePunct w:val="0"/>
        <w:autoSpaceDE/>
        <w:autoSpaceDN/>
        <w:bidi w:val="0"/>
        <w:adjustRightInd/>
        <w:snapToGrid/>
        <w:spacing w:line="500" w:lineRule="exact"/>
        <w:ind w:left="794"/>
        <w:jc w:val="center"/>
        <w:textAlignment w:val="auto"/>
        <w:outlineLvl w:val="9"/>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 5.1-4</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事故状态下毒物向环境转移途径和危害</w:t>
      </w:r>
    </w:p>
    <w:tbl>
      <w:tblPr>
        <w:tblStyle w:val="24"/>
        <w:tblW w:w="8846" w:type="dxa"/>
        <w:tblInd w:w="2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2"/>
        <w:gridCol w:w="1559"/>
        <w:gridCol w:w="2267"/>
        <w:gridCol w:w="1699"/>
        <w:gridCol w:w="2439"/>
      </w:tblGrid>
      <w:tr w14:paraId="74C19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82" w:type="dxa"/>
            <w:vAlign w:val="center"/>
          </w:tcPr>
          <w:p w14:paraId="68797081">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事故</w:t>
            </w:r>
          </w:p>
          <w:p w14:paraId="24EAF0D2">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类型</w:t>
            </w:r>
          </w:p>
        </w:tc>
        <w:tc>
          <w:tcPr>
            <w:tcW w:w="1559" w:type="dxa"/>
            <w:vAlign w:val="center"/>
          </w:tcPr>
          <w:p w14:paraId="5C149942">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事故过程</w:t>
            </w:r>
          </w:p>
        </w:tc>
        <w:tc>
          <w:tcPr>
            <w:tcW w:w="2267" w:type="dxa"/>
            <w:vAlign w:val="center"/>
          </w:tcPr>
          <w:p w14:paraId="03BA54B4">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毒物向环境转移途径</w:t>
            </w:r>
          </w:p>
        </w:tc>
        <w:tc>
          <w:tcPr>
            <w:tcW w:w="1699" w:type="dxa"/>
            <w:vAlign w:val="center"/>
          </w:tcPr>
          <w:p w14:paraId="73BDA29D">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危害受体</w:t>
            </w:r>
          </w:p>
        </w:tc>
        <w:tc>
          <w:tcPr>
            <w:tcW w:w="2439" w:type="dxa"/>
            <w:vAlign w:val="center"/>
          </w:tcPr>
          <w:p w14:paraId="46AE6505">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环境危害</w:t>
            </w:r>
          </w:p>
        </w:tc>
      </w:tr>
      <w:tr w14:paraId="378B2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82" w:type="dxa"/>
            <w:vMerge w:val="restart"/>
            <w:vAlign w:val="center"/>
          </w:tcPr>
          <w:p w14:paraId="34FB515C">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火灾</w:t>
            </w:r>
          </w:p>
        </w:tc>
        <w:tc>
          <w:tcPr>
            <w:tcW w:w="1559" w:type="dxa"/>
            <w:vAlign w:val="center"/>
          </w:tcPr>
          <w:p w14:paraId="4A176F83">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物质燃烧产物</w:t>
            </w:r>
          </w:p>
        </w:tc>
        <w:tc>
          <w:tcPr>
            <w:tcW w:w="2267" w:type="dxa"/>
            <w:vAlign w:val="center"/>
          </w:tcPr>
          <w:p w14:paraId="154E6106">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大气扩散</w:t>
            </w:r>
          </w:p>
        </w:tc>
        <w:tc>
          <w:tcPr>
            <w:tcW w:w="1699" w:type="dxa"/>
            <w:vAlign w:val="center"/>
          </w:tcPr>
          <w:p w14:paraId="7B644E37">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大气环境</w:t>
            </w:r>
          </w:p>
        </w:tc>
        <w:tc>
          <w:tcPr>
            <w:tcW w:w="2439" w:type="dxa"/>
            <w:vAlign w:val="center"/>
          </w:tcPr>
          <w:p w14:paraId="62334270">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居民急性、慢性危害</w:t>
            </w:r>
          </w:p>
        </w:tc>
      </w:tr>
      <w:tr w14:paraId="65979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82" w:type="dxa"/>
            <w:vMerge w:val="continue"/>
            <w:vAlign w:val="center"/>
          </w:tcPr>
          <w:p w14:paraId="4AADC8E4">
            <w:pPr>
              <w:spacing w:line="240" w:lineRule="exact"/>
              <w:jc w:val="center"/>
              <w:rPr>
                <w:color w:val="000000" w:themeColor="text1"/>
                <w:szCs w:val="21"/>
                <w14:textFill>
                  <w14:solidFill>
                    <w14:schemeClr w14:val="tx1"/>
                  </w14:solidFill>
                </w14:textFill>
              </w:rPr>
            </w:pPr>
          </w:p>
        </w:tc>
        <w:tc>
          <w:tcPr>
            <w:tcW w:w="1559" w:type="dxa"/>
            <w:vAlign w:val="center"/>
          </w:tcPr>
          <w:p w14:paraId="1AB2B8A6">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毒物挥发</w:t>
            </w:r>
          </w:p>
        </w:tc>
        <w:tc>
          <w:tcPr>
            <w:tcW w:w="2267" w:type="dxa"/>
            <w:vAlign w:val="center"/>
          </w:tcPr>
          <w:p w14:paraId="16771D99">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大气扩散</w:t>
            </w:r>
          </w:p>
        </w:tc>
        <w:tc>
          <w:tcPr>
            <w:tcW w:w="1699" w:type="dxa"/>
            <w:vAlign w:val="center"/>
          </w:tcPr>
          <w:p w14:paraId="599D36E6">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大气环境</w:t>
            </w:r>
          </w:p>
        </w:tc>
        <w:tc>
          <w:tcPr>
            <w:tcW w:w="2439" w:type="dxa"/>
            <w:vAlign w:val="center"/>
          </w:tcPr>
          <w:p w14:paraId="279CC879">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居民急性、慢性危害</w:t>
            </w:r>
          </w:p>
        </w:tc>
      </w:tr>
      <w:tr w14:paraId="5EAD6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82" w:type="dxa"/>
            <w:vMerge w:val="continue"/>
            <w:vAlign w:val="center"/>
          </w:tcPr>
          <w:p w14:paraId="20CE7340">
            <w:pPr>
              <w:spacing w:line="240" w:lineRule="exact"/>
              <w:jc w:val="center"/>
              <w:rPr>
                <w:color w:val="000000" w:themeColor="text1"/>
                <w:szCs w:val="21"/>
                <w14:textFill>
                  <w14:solidFill>
                    <w14:schemeClr w14:val="tx1"/>
                  </w14:solidFill>
                </w14:textFill>
              </w:rPr>
            </w:pPr>
          </w:p>
        </w:tc>
        <w:tc>
          <w:tcPr>
            <w:tcW w:w="1559" w:type="dxa"/>
            <w:vAlign w:val="center"/>
          </w:tcPr>
          <w:p w14:paraId="3F9A4ED1">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伴生</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次生产物</w:t>
            </w:r>
          </w:p>
        </w:tc>
        <w:tc>
          <w:tcPr>
            <w:tcW w:w="2267" w:type="dxa"/>
            <w:vAlign w:val="center"/>
          </w:tcPr>
          <w:p w14:paraId="77F70E83">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大气扩散</w:t>
            </w:r>
          </w:p>
        </w:tc>
        <w:tc>
          <w:tcPr>
            <w:tcW w:w="1699" w:type="dxa"/>
            <w:vAlign w:val="center"/>
          </w:tcPr>
          <w:p w14:paraId="2962AFFB">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大气环境</w:t>
            </w:r>
          </w:p>
        </w:tc>
        <w:tc>
          <w:tcPr>
            <w:tcW w:w="2439" w:type="dxa"/>
            <w:vAlign w:val="center"/>
          </w:tcPr>
          <w:p w14:paraId="35E9541F">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居民急性、慢性危害</w:t>
            </w:r>
          </w:p>
        </w:tc>
      </w:tr>
      <w:tr w14:paraId="7CA28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82" w:type="dxa"/>
            <w:vMerge w:val="continue"/>
            <w:vAlign w:val="center"/>
          </w:tcPr>
          <w:p w14:paraId="15418FD0">
            <w:pPr>
              <w:spacing w:line="240" w:lineRule="exact"/>
              <w:jc w:val="center"/>
              <w:rPr>
                <w:color w:val="000000" w:themeColor="text1"/>
                <w:szCs w:val="21"/>
                <w14:textFill>
                  <w14:solidFill>
                    <w14:schemeClr w14:val="tx1"/>
                  </w14:solidFill>
                </w14:textFill>
              </w:rPr>
            </w:pPr>
          </w:p>
        </w:tc>
        <w:tc>
          <w:tcPr>
            <w:tcW w:w="1559" w:type="dxa"/>
            <w:vAlign w:val="center"/>
          </w:tcPr>
          <w:p w14:paraId="7C1AAED8">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事故消防水</w:t>
            </w:r>
          </w:p>
        </w:tc>
        <w:tc>
          <w:tcPr>
            <w:tcW w:w="2267" w:type="dxa"/>
            <w:vAlign w:val="center"/>
          </w:tcPr>
          <w:p w14:paraId="467DB0AB">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水体运输、地下水扩散</w:t>
            </w:r>
          </w:p>
        </w:tc>
        <w:tc>
          <w:tcPr>
            <w:tcW w:w="1699" w:type="dxa"/>
            <w:vAlign w:val="center"/>
          </w:tcPr>
          <w:p w14:paraId="17B86A3D">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水、地下水环境</w:t>
            </w:r>
          </w:p>
        </w:tc>
        <w:tc>
          <w:tcPr>
            <w:tcW w:w="2439" w:type="dxa"/>
            <w:vAlign w:val="center"/>
          </w:tcPr>
          <w:p w14:paraId="2D5BE0CD">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水体污染</w:t>
            </w:r>
          </w:p>
        </w:tc>
      </w:tr>
      <w:tr w14:paraId="4AFC0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82" w:type="dxa"/>
            <w:vMerge w:val="continue"/>
            <w:vAlign w:val="center"/>
          </w:tcPr>
          <w:p w14:paraId="32FA5CC5">
            <w:pPr>
              <w:spacing w:line="240" w:lineRule="exact"/>
              <w:jc w:val="center"/>
              <w:rPr>
                <w:color w:val="000000" w:themeColor="text1"/>
                <w:szCs w:val="21"/>
                <w14:textFill>
                  <w14:solidFill>
                    <w14:schemeClr w14:val="tx1"/>
                  </w14:solidFill>
                </w14:textFill>
              </w:rPr>
            </w:pPr>
          </w:p>
        </w:tc>
        <w:tc>
          <w:tcPr>
            <w:tcW w:w="1559" w:type="dxa"/>
            <w:vAlign w:val="center"/>
          </w:tcPr>
          <w:p w14:paraId="20D0277C">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事故固体废物</w:t>
            </w:r>
          </w:p>
        </w:tc>
        <w:tc>
          <w:tcPr>
            <w:tcW w:w="2267" w:type="dxa"/>
            <w:vAlign w:val="center"/>
          </w:tcPr>
          <w:p w14:paraId="03D74E54">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土壤</w:t>
            </w:r>
          </w:p>
        </w:tc>
        <w:tc>
          <w:tcPr>
            <w:tcW w:w="1699" w:type="dxa"/>
            <w:vAlign w:val="center"/>
          </w:tcPr>
          <w:p w14:paraId="2B774E63">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地下水、生态</w:t>
            </w:r>
          </w:p>
        </w:tc>
        <w:tc>
          <w:tcPr>
            <w:tcW w:w="2439" w:type="dxa"/>
            <w:vAlign w:val="center"/>
          </w:tcPr>
          <w:p w14:paraId="2876D34A">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水体、生态污染</w:t>
            </w:r>
          </w:p>
        </w:tc>
      </w:tr>
      <w:tr w14:paraId="32E40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82" w:type="dxa"/>
            <w:vMerge w:val="restart"/>
            <w:vAlign w:val="center"/>
          </w:tcPr>
          <w:p w14:paraId="75CE821B">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泄漏水 解</w:t>
            </w:r>
          </w:p>
        </w:tc>
        <w:tc>
          <w:tcPr>
            <w:tcW w:w="1559" w:type="dxa"/>
            <w:vAlign w:val="center"/>
          </w:tcPr>
          <w:p w14:paraId="330406D2">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事故水</w:t>
            </w:r>
          </w:p>
        </w:tc>
        <w:tc>
          <w:tcPr>
            <w:tcW w:w="2267" w:type="dxa"/>
            <w:vAlign w:val="center"/>
          </w:tcPr>
          <w:p w14:paraId="1EA162AC">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水体运输、地下水扩散</w:t>
            </w:r>
          </w:p>
        </w:tc>
        <w:tc>
          <w:tcPr>
            <w:tcW w:w="1699" w:type="dxa"/>
            <w:vAlign w:val="center"/>
          </w:tcPr>
          <w:p w14:paraId="4DD511B7">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水、地下水环境</w:t>
            </w:r>
          </w:p>
        </w:tc>
        <w:tc>
          <w:tcPr>
            <w:tcW w:w="2439" w:type="dxa"/>
            <w:vAlign w:val="center"/>
          </w:tcPr>
          <w:p w14:paraId="170065AE">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水体污染</w:t>
            </w:r>
          </w:p>
        </w:tc>
      </w:tr>
      <w:tr w14:paraId="5DD86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82" w:type="dxa"/>
            <w:vMerge w:val="continue"/>
            <w:vAlign w:val="center"/>
          </w:tcPr>
          <w:p w14:paraId="188DAED6">
            <w:pPr>
              <w:spacing w:line="240" w:lineRule="exact"/>
              <w:jc w:val="center"/>
              <w:rPr>
                <w:color w:val="000000" w:themeColor="text1"/>
                <w:szCs w:val="21"/>
                <w14:textFill>
                  <w14:solidFill>
                    <w14:schemeClr w14:val="tx1"/>
                  </w14:solidFill>
                </w14:textFill>
              </w:rPr>
            </w:pPr>
          </w:p>
        </w:tc>
        <w:tc>
          <w:tcPr>
            <w:tcW w:w="1559" w:type="dxa"/>
            <w:vAlign w:val="center"/>
          </w:tcPr>
          <w:p w14:paraId="25E8D08A">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事故固体废物</w:t>
            </w:r>
          </w:p>
        </w:tc>
        <w:tc>
          <w:tcPr>
            <w:tcW w:w="2267" w:type="dxa"/>
            <w:vAlign w:val="center"/>
          </w:tcPr>
          <w:p w14:paraId="4183744F">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土壤</w:t>
            </w:r>
          </w:p>
        </w:tc>
        <w:tc>
          <w:tcPr>
            <w:tcW w:w="1699" w:type="dxa"/>
            <w:vAlign w:val="center"/>
          </w:tcPr>
          <w:p w14:paraId="07BE2363">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地下水、生态</w:t>
            </w:r>
          </w:p>
        </w:tc>
        <w:tc>
          <w:tcPr>
            <w:tcW w:w="2439" w:type="dxa"/>
            <w:vAlign w:val="center"/>
          </w:tcPr>
          <w:p w14:paraId="5B80B1C1">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水体、生态污染</w:t>
            </w:r>
          </w:p>
        </w:tc>
      </w:tr>
    </w:tbl>
    <w:p w14:paraId="4449A831">
      <w:pPr>
        <w:widowControl/>
        <w:adjustRightInd w:val="0"/>
        <w:snapToGrid w:val="0"/>
        <w:spacing w:line="360" w:lineRule="auto"/>
        <w:ind w:firstLine="480" w:firstLineChars="200"/>
        <w:jc w:val="left"/>
        <w:rPr>
          <w:color w:val="000000" w:themeColor="text1"/>
          <w:sz w:val="24"/>
          <w14:textFill>
            <w14:solidFill>
              <w14:schemeClr w14:val="tx1"/>
            </w14:solidFill>
          </w14:textFill>
        </w:rPr>
      </w:pPr>
    </w:p>
    <w:p w14:paraId="53C24472">
      <w:pPr>
        <w:pStyle w:val="3"/>
        <w:spacing w:before="0" w:after="0" w:line="360" w:lineRule="auto"/>
        <w:rPr>
          <w:rFonts w:ascii="Times New Roman" w:hAnsi="Times New Roman" w:eastAsia="宋体"/>
          <w:color w:val="000000" w:themeColor="text1"/>
          <w14:textFill>
            <w14:solidFill>
              <w14:schemeClr w14:val="tx1"/>
            </w14:solidFill>
          </w14:textFill>
        </w:rPr>
      </w:pPr>
      <w:bookmarkStart w:id="21" w:name="_Toc16893"/>
      <w:r>
        <w:rPr>
          <w:rFonts w:hint="eastAsia" w:ascii="Times New Roman" w:hAnsi="Times New Roman" w:eastAsia="宋体"/>
          <w:color w:val="000000" w:themeColor="text1"/>
          <w14:textFill>
            <w14:solidFill>
              <w14:schemeClr w14:val="tx1"/>
            </w14:solidFill>
          </w14:textFill>
        </w:rPr>
        <w:t>2</w:t>
      </w:r>
      <w:r>
        <w:rPr>
          <w:rFonts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3</w:t>
      </w:r>
      <w:r>
        <w:rPr>
          <w:rFonts w:ascii="Times New Roman" w:hAnsi="Times New Roman" w:eastAsia="宋体"/>
          <w:color w:val="000000" w:themeColor="text1"/>
          <w14:textFill>
            <w14:solidFill>
              <w14:schemeClr w14:val="tx1"/>
            </w14:solidFill>
          </w14:textFill>
        </w:rPr>
        <w:t>风险类型</w:t>
      </w:r>
      <w:bookmarkEnd w:id="21"/>
    </w:p>
    <w:p w14:paraId="308D419D">
      <w:pPr>
        <w:widowControl/>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本项目涉及的危险物质及风险类型</w:t>
      </w:r>
      <w:r>
        <w:rPr>
          <w:rFonts w:hint="eastAsia"/>
          <w:color w:val="000000" w:themeColor="text1"/>
          <w:sz w:val="24"/>
          <w14:textFill>
            <w14:solidFill>
              <w14:schemeClr w14:val="tx1"/>
            </w14:solidFill>
          </w14:textFill>
        </w:rPr>
        <w:t>为</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硫酸铵</w:t>
      </w:r>
      <w:r>
        <w:rPr>
          <w:color w:val="000000" w:themeColor="text1"/>
          <w:sz w:val="24"/>
          <w14:textFill>
            <w14:solidFill>
              <w14:schemeClr w14:val="tx1"/>
            </w14:solidFill>
          </w14:textFill>
        </w:rPr>
        <w:t>泄漏</w:t>
      </w:r>
      <w:r>
        <w:rPr>
          <w:rFonts w:hint="eastAsia"/>
          <w:color w:val="000000" w:themeColor="text1"/>
          <w:sz w:val="24"/>
          <w14:textFill>
            <w14:solidFill>
              <w14:schemeClr w14:val="tx1"/>
            </w14:solidFill>
          </w14:textFill>
        </w:rPr>
        <w:t>（水解或遇热分解）、废机油泄漏</w:t>
      </w:r>
      <w:r>
        <w:rPr>
          <w:color w:val="000000" w:themeColor="text1"/>
          <w:sz w:val="24"/>
          <w14:textFill>
            <w14:solidFill>
              <w14:schemeClr w14:val="tx1"/>
            </w14:solidFill>
          </w14:textFill>
        </w:rPr>
        <w:t>、火灾、事故状态工况下废气直接排放等（不考虑自然灾害如地震、洪水、台风等所引起的风险及安全事故）。</w:t>
      </w:r>
    </w:p>
    <w:p w14:paraId="36A7FCF7">
      <w:pPr>
        <w:widowControl/>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根据项目的危险物质和生产系统危险性识别，并结合对项目各工艺过程的分析，识别项目环境风险结果汇总见表</w:t>
      </w:r>
      <w:r>
        <w:rPr>
          <w:rFonts w:hint="eastAsia"/>
          <w:color w:val="000000" w:themeColor="text1"/>
          <w:sz w:val="24"/>
          <w14:textFill>
            <w14:solidFill>
              <w14:schemeClr w14:val="tx1"/>
            </w14:solidFill>
          </w14:textFill>
        </w:rPr>
        <w:t>2.3-1</w:t>
      </w:r>
      <w:r>
        <w:rPr>
          <w:color w:val="000000" w:themeColor="text1"/>
          <w:sz w:val="24"/>
          <w14:textFill>
            <w14:solidFill>
              <w14:schemeClr w14:val="tx1"/>
            </w14:solidFill>
          </w14:textFill>
        </w:rPr>
        <w:t>，风险单元分布图详见图</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-1。</w:t>
      </w:r>
    </w:p>
    <w:p w14:paraId="1760194C">
      <w:pPr>
        <w:pStyle w:val="53"/>
        <w:snapToGrid w:val="0"/>
        <w:spacing w:after="0"/>
        <w:ind w:left="0"/>
        <w:jc w:val="center"/>
        <w:rPr>
          <w:rFonts w:hint="default" w:ascii="Times New Roman" w:hAnsi="Times New Roman"/>
          <w:color w:val="000000" w:themeColor="text1"/>
          <w:sz w:val="21"/>
          <w:szCs w:val="21"/>
          <w14:textFill>
            <w14:solidFill>
              <w14:schemeClr w14:val="tx1"/>
            </w14:solidFill>
          </w14:textFill>
        </w:rPr>
      </w:pPr>
      <w:r>
        <w:rPr>
          <w:rFonts w:hint="default" w:ascii="Times New Roman" w:hAnsi="Times New Roman"/>
          <w:b/>
          <w:bCs/>
          <w:color w:val="000000" w:themeColor="text1"/>
          <w:szCs w:val="24"/>
          <w14:textFill>
            <w14:solidFill>
              <w14:schemeClr w14:val="tx1"/>
            </w14:solidFill>
          </w14:textFill>
        </w:rPr>
        <w:t>表</w:t>
      </w:r>
      <w:r>
        <w:rPr>
          <w:rFonts w:ascii="Times New Roman" w:hAnsi="Times New Roman"/>
          <w:b/>
          <w:bCs/>
          <w:color w:val="000000" w:themeColor="text1"/>
          <w:szCs w:val="24"/>
          <w14:textFill>
            <w14:solidFill>
              <w14:schemeClr w14:val="tx1"/>
            </w14:solidFill>
          </w14:textFill>
        </w:rPr>
        <w:t>2.3-1</w:t>
      </w:r>
      <w:r>
        <w:rPr>
          <w:rFonts w:hint="default" w:ascii="Times New Roman" w:hAnsi="Times New Roman"/>
          <w:b/>
          <w:bCs/>
          <w:color w:val="000000" w:themeColor="text1"/>
          <w:szCs w:val="24"/>
          <w14:textFill>
            <w14:solidFill>
              <w14:schemeClr w14:val="tx1"/>
            </w14:solidFill>
          </w14:textFill>
        </w:rPr>
        <w:t>项目环境风险识别表</w:t>
      </w:r>
    </w:p>
    <w:tbl>
      <w:tblPr>
        <w:tblStyle w:val="24"/>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70"/>
        <w:gridCol w:w="1356"/>
        <w:gridCol w:w="1737"/>
        <w:gridCol w:w="1596"/>
        <w:gridCol w:w="1489"/>
        <w:gridCol w:w="1494"/>
      </w:tblGrid>
      <w:tr w14:paraId="27709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10" w:type="pct"/>
            <w:vAlign w:val="center"/>
          </w:tcPr>
          <w:p w14:paraId="3DBFD7A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危险单元</w:t>
            </w:r>
          </w:p>
        </w:tc>
        <w:tc>
          <w:tcPr>
            <w:tcW w:w="758" w:type="pct"/>
            <w:vAlign w:val="center"/>
          </w:tcPr>
          <w:p w14:paraId="7D23036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风险源</w:t>
            </w:r>
          </w:p>
        </w:tc>
        <w:tc>
          <w:tcPr>
            <w:tcW w:w="971" w:type="pct"/>
            <w:vAlign w:val="center"/>
          </w:tcPr>
          <w:p w14:paraId="4EB43A5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主要危险物质</w:t>
            </w:r>
          </w:p>
        </w:tc>
        <w:tc>
          <w:tcPr>
            <w:tcW w:w="892" w:type="pct"/>
            <w:vAlign w:val="center"/>
          </w:tcPr>
          <w:p w14:paraId="0B82280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环境风险类型</w:t>
            </w:r>
          </w:p>
        </w:tc>
        <w:tc>
          <w:tcPr>
            <w:tcW w:w="832" w:type="pct"/>
            <w:vAlign w:val="center"/>
          </w:tcPr>
          <w:p w14:paraId="1A81282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影响途径</w:t>
            </w:r>
          </w:p>
        </w:tc>
        <w:tc>
          <w:tcPr>
            <w:tcW w:w="835" w:type="pct"/>
            <w:vAlign w:val="center"/>
          </w:tcPr>
          <w:p w14:paraId="5104009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可能受影响的 敏感目标</w:t>
            </w:r>
          </w:p>
        </w:tc>
      </w:tr>
      <w:tr w14:paraId="3EDD8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10" w:type="pct"/>
            <w:vAlign w:val="center"/>
          </w:tcPr>
          <w:p w14:paraId="3C1404E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生产区</w:t>
            </w:r>
          </w:p>
        </w:tc>
        <w:tc>
          <w:tcPr>
            <w:tcW w:w="758" w:type="pct"/>
            <w:vAlign w:val="center"/>
          </w:tcPr>
          <w:p w14:paraId="625D1FD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生产车间</w:t>
            </w:r>
          </w:p>
        </w:tc>
        <w:tc>
          <w:tcPr>
            <w:tcW w:w="971" w:type="pct"/>
            <w:vAlign w:val="center"/>
          </w:tcPr>
          <w:p w14:paraId="0600FAD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硫酸铵</w:t>
            </w:r>
          </w:p>
        </w:tc>
        <w:tc>
          <w:tcPr>
            <w:tcW w:w="892" w:type="pct"/>
            <w:vAlign w:val="center"/>
          </w:tcPr>
          <w:p w14:paraId="56B47CE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物料泄漏、火灾</w:t>
            </w:r>
          </w:p>
        </w:tc>
        <w:tc>
          <w:tcPr>
            <w:tcW w:w="832" w:type="pct"/>
            <w:vAlign w:val="center"/>
          </w:tcPr>
          <w:p w14:paraId="73881A2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大气、地下水、地表水</w:t>
            </w:r>
          </w:p>
        </w:tc>
        <w:tc>
          <w:tcPr>
            <w:tcW w:w="835" w:type="pct"/>
            <w:vAlign w:val="center"/>
          </w:tcPr>
          <w:p w14:paraId="7232239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周边居民、附近海域</w:t>
            </w:r>
          </w:p>
        </w:tc>
      </w:tr>
      <w:tr w14:paraId="7A871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10" w:type="pct"/>
            <w:vAlign w:val="center"/>
          </w:tcPr>
          <w:p w14:paraId="123DC0A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原料库</w:t>
            </w:r>
          </w:p>
        </w:tc>
        <w:tc>
          <w:tcPr>
            <w:tcW w:w="758" w:type="pct"/>
            <w:vAlign w:val="center"/>
          </w:tcPr>
          <w:p w14:paraId="54C784E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原料库</w:t>
            </w:r>
          </w:p>
        </w:tc>
        <w:tc>
          <w:tcPr>
            <w:tcW w:w="971" w:type="pct"/>
            <w:vAlign w:val="center"/>
          </w:tcPr>
          <w:p w14:paraId="7CA3EB3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硫酸铵</w:t>
            </w:r>
          </w:p>
        </w:tc>
        <w:tc>
          <w:tcPr>
            <w:tcW w:w="892" w:type="pct"/>
            <w:vAlign w:val="center"/>
          </w:tcPr>
          <w:p w14:paraId="1DF97F4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物料泄漏、火灾</w:t>
            </w:r>
          </w:p>
        </w:tc>
        <w:tc>
          <w:tcPr>
            <w:tcW w:w="832" w:type="pct"/>
            <w:vAlign w:val="center"/>
          </w:tcPr>
          <w:p w14:paraId="0C446E4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大气、地下水、地表水</w:t>
            </w:r>
          </w:p>
        </w:tc>
        <w:tc>
          <w:tcPr>
            <w:tcW w:w="835" w:type="pct"/>
            <w:vAlign w:val="center"/>
          </w:tcPr>
          <w:p w14:paraId="3A25885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周边居民、附近海域</w:t>
            </w:r>
          </w:p>
        </w:tc>
      </w:tr>
      <w:tr w14:paraId="6113A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10" w:type="pct"/>
            <w:vAlign w:val="center"/>
          </w:tcPr>
          <w:p w14:paraId="6C1950D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成品库</w:t>
            </w:r>
          </w:p>
        </w:tc>
        <w:tc>
          <w:tcPr>
            <w:tcW w:w="758" w:type="pct"/>
            <w:vAlign w:val="center"/>
          </w:tcPr>
          <w:p w14:paraId="7FFFD67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成品库</w:t>
            </w:r>
          </w:p>
        </w:tc>
        <w:tc>
          <w:tcPr>
            <w:tcW w:w="971" w:type="pct"/>
            <w:vAlign w:val="center"/>
          </w:tcPr>
          <w:p w14:paraId="78EAF5D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硫酸铵</w:t>
            </w:r>
          </w:p>
        </w:tc>
        <w:tc>
          <w:tcPr>
            <w:tcW w:w="892" w:type="pct"/>
            <w:vAlign w:val="center"/>
          </w:tcPr>
          <w:p w14:paraId="54302C1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物料泄漏、火灾</w:t>
            </w:r>
          </w:p>
        </w:tc>
        <w:tc>
          <w:tcPr>
            <w:tcW w:w="832" w:type="pct"/>
            <w:vAlign w:val="center"/>
          </w:tcPr>
          <w:p w14:paraId="3131742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大气、地下水、地表水</w:t>
            </w:r>
          </w:p>
        </w:tc>
        <w:tc>
          <w:tcPr>
            <w:tcW w:w="835" w:type="pct"/>
            <w:vAlign w:val="center"/>
          </w:tcPr>
          <w:p w14:paraId="1AB8149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周边居民、附近海域</w:t>
            </w:r>
          </w:p>
        </w:tc>
      </w:tr>
      <w:tr w14:paraId="2B146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10" w:type="pct"/>
            <w:vAlign w:val="center"/>
          </w:tcPr>
          <w:p w14:paraId="0CD8DCE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危险废物暂存间</w:t>
            </w:r>
          </w:p>
        </w:tc>
        <w:tc>
          <w:tcPr>
            <w:tcW w:w="758" w:type="pct"/>
            <w:vAlign w:val="center"/>
          </w:tcPr>
          <w:p w14:paraId="186A9A5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危险废物</w:t>
            </w:r>
          </w:p>
        </w:tc>
        <w:tc>
          <w:tcPr>
            <w:tcW w:w="971" w:type="pct"/>
            <w:vAlign w:val="center"/>
          </w:tcPr>
          <w:p w14:paraId="38D9F2D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w:t>
            </w:r>
          </w:p>
        </w:tc>
        <w:tc>
          <w:tcPr>
            <w:tcW w:w="892" w:type="pct"/>
            <w:vAlign w:val="center"/>
          </w:tcPr>
          <w:p w14:paraId="246CFF5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废物泄漏、火灾</w:t>
            </w:r>
          </w:p>
        </w:tc>
        <w:tc>
          <w:tcPr>
            <w:tcW w:w="832" w:type="pct"/>
            <w:vAlign w:val="center"/>
          </w:tcPr>
          <w:p w14:paraId="10DFCA1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大气、地下水、地表水</w:t>
            </w:r>
          </w:p>
        </w:tc>
        <w:tc>
          <w:tcPr>
            <w:tcW w:w="835" w:type="pct"/>
            <w:vAlign w:val="center"/>
          </w:tcPr>
          <w:p w14:paraId="7DF57FE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周边居民、附近海域</w:t>
            </w:r>
          </w:p>
        </w:tc>
      </w:tr>
      <w:tr w14:paraId="69324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10" w:type="pct"/>
            <w:vAlign w:val="center"/>
          </w:tcPr>
          <w:p w14:paraId="281BB06A">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事故应急池</w:t>
            </w:r>
          </w:p>
        </w:tc>
        <w:tc>
          <w:tcPr>
            <w:tcW w:w="758" w:type="pct"/>
            <w:vAlign w:val="center"/>
          </w:tcPr>
          <w:p w14:paraId="0E7B7220">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事故应急池</w:t>
            </w:r>
          </w:p>
        </w:tc>
        <w:tc>
          <w:tcPr>
            <w:tcW w:w="971" w:type="pct"/>
            <w:vAlign w:val="center"/>
          </w:tcPr>
          <w:p w14:paraId="3D6A14C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w:t>
            </w:r>
          </w:p>
        </w:tc>
        <w:tc>
          <w:tcPr>
            <w:tcW w:w="892" w:type="pct"/>
            <w:vAlign w:val="center"/>
          </w:tcPr>
          <w:p w14:paraId="584038B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废水泄漏</w:t>
            </w:r>
          </w:p>
        </w:tc>
        <w:tc>
          <w:tcPr>
            <w:tcW w:w="832" w:type="pct"/>
            <w:vAlign w:val="center"/>
          </w:tcPr>
          <w:p w14:paraId="1C7B43E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地表水、土壤、地下水</w:t>
            </w:r>
          </w:p>
        </w:tc>
        <w:tc>
          <w:tcPr>
            <w:tcW w:w="835" w:type="pct"/>
            <w:vAlign w:val="center"/>
          </w:tcPr>
          <w:p w14:paraId="2639FC1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周边居民、附近海域</w:t>
            </w:r>
          </w:p>
        </w:tc>
      </w:tr>
    </w:tbl>
    <w:p w14:paraId="6E89EF8D">
      <w:pPr>
        <w:pStyle w:val="53"/>
        <w:snapToGrid w:val="0"/>
        <w:spacing w:after="0" w:line="360" w:lineRule="auto"/>
        <w:ind w:left="0"/>
        <w:jc w:val="center"/>
        <w:rPr>
          <w:rFonts w:hint="default" w:ascii="Times New Roman" w:hAnsi="Times New Roman"/>
          <w:color w:val="000000" w:themeColor="text1"/>
          <w14:textFill>
            <w14:solidFill>
              <w14:schemeClr w14:val="tx1"/>
            </w14:solidFill>
          </w14:textFill>
        </w:rPr>
      </w:pPr>
    </w:p>
    <w:p w14:paraId="06BBF74D">
      <w:pPr>
        <w:pStyle w:val="53"/>
        <w:snapToGrid w:val="0"/>
        <w:spacing w:after="0" w:line="360" w:lineRule="auto"/>
        <w:ind w:left="0"/>
        <w:jc w:val="center"/>
        <w:rPr>
          <w:rFonts w:hint="default" w:ascii="Times New Roman" w:hAnsi="Times New Roman"/>
          <w:b/>
          <w:bCs/>
          <w:color w:val="000000" w:themeColor="text1"/>
          <w:kern w:val="0"/>
          <w:szCs w:val="24"/>
          <w:lang w:bidi="ar"/>
          <w14:textFill>
            <w14:solidFill>
              <w14:schemeClr w14:val="tx1"/>
            </w14:solidFill>
          </w14:textFill>
        </w:rPr>
      </w:pPr>
      <w:r>
        <w:rPr>
          <w:color w:val="000000" w:themeColor="text1"/>
          <w14:textFill>
            <w14:solidFill>
              <w14:schemeClr w14:val="tx1"/>
            </w14:solidFill>
          </w14:textFill>
        </w:rPr>
        <w:drawing>
          <wp:inline distT="0" distB="0" distL="114300" distR="114300">
            <wp:extent cx="5541010" cy="3112770"/>
            <wp:effectExtent l="0" t="0" r="2540"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541010" cy="3112770"/>
                    </a:xfrm>
                    <a:prstGeom prst="rect">
                      <a:avLst/>
                    </a:prstGeom>
                    <a:noFill/>
                    <a:ln>
                      <a:noFill/>
                    </a:ln>
                  </pic:spPr>
                </pic:pic>
              </a:graphicData>
            </a:graphic>
          </wp:inline>
        </w:drawing>
      </w:r>
      <w:r>
        <w:rPr>
          <w:rFonts w:hint="default" w:ascii="Times New Roman" w:hAnsi="Times New Roman"/>
          <w:b/>
          <w:bCs/>
          <w:color w:val="000000" w:themeColor="text1"/>
          <w:kern w:val="0"/>
          <w:szCs w:val="24"/>
          <w:lang w:bidi="ar"/>
          <w14:textFill>
            <w14:solidFill>
              <w14:schemeClr w14:val="tx1"/>
            </w14:solidFill>
          </w14:textFill>
        </w:rPr>
        <w:t>图</w:t>
      </w:r>
      <w:r>
        <w:rPr>
          <w:rFonts w:ascii="Times New Roman" w:hAnsi="Times New Roman"/>
          <w:b/>
          <w:bCs/>
          <w:color w:val="000000" w:themeColor="text1"/>
          <w:kern w:val="0"/>
          <w:szCs w:val="24"/>
          <w:lang w:bidi="ar"/>
          <w14:textFill>
            <w14:solidFill>
              <w14:schemeClr w14:val="tx1"/>
            </w14:solidFill>
          </w14:textFill>
        </w:rPr>
        <w:t>2</w:t>
      </w:r>
      <w:r>
        <w:rPr>
          <w:rFonts w:hint="default" w:ascii="Times New Roman" w:hAnsi="Times New Roman"/>
          <w:b/>
          <w:bCs/>
          <w:color w:val="000000" w:themeColor="text1"/>
          <w:kern w:val="0"/>
          <w:szCs w:val="24"/>
          <w:lang w:bidi="ar"/>
          <w14:textFill>
            <w14:solidFill>
              <w14:schemeClr w14:val="tx1"/>
            </w14:solidFill>
          </w14:textFill>
        </w:rPr>
        <w:t>-1 项目</w:t>
      </w:r>
      <w:r>
        <w:rPr>
          <w:rFonts w:hint="eastAsia" w:ascii="Times New Roman" w:hAnsi="Times New Roman"/>
          <w:b/>
          <w:bCs/>
          <w:color w:val="000000" w:themeColor="text1"/>
          <w:kern w:val="0"/>
          <w:szCs w:val="24"/>
          <w:lang w:val="en-US" w:eastAsia="zh-CN" w:bidi="ar"/>
          <w14:textFill>
            <w14:solidFill>
              <w14:schemeClr w14:val="tx1"/>
            </w14:solidFill>
          </w14:textFill>
        </w:rPr>
        <w:t>环境</w:t>
      </w:r>
      <w:r>
        <w:rPr>
          <w:rFonts w:hint="default" w:ascii="Times New Roman" w:hAnsi="Times New Roman"/>
          <w:b/>
          <w:bCs/>
          <w:color w:val="000000" w:themeColor="text1"/>
          <w:kern w:val="0"/>
          <w:szCs w:val="24"/>
          <w:lang w:bidi="ar"/>
          <w14:textFill>
            <w14:solidFill>
              <w14:schemeClr w14:val="tx1"/>
            </w14:solidFill>
          </w14:textFill>
        </w:rPr>
        <w:t>风险单元分布图</w:t>
      </w:r>
    </w:p>
    <w:p w14:paraId="5A9B649B">
      <w:pPr>
        <w:pStyle w:val="2"/>
        <w:rPr>
          <w:color w:val="000000" w:themeColor="text1"/>
          <w14:textFill>
            <w14:solidFill>
              <w14:schemeClr w14:val="tx1"/>
            </w14:solidFill>
          </w14:textFill>
        </w:rPr>
      </w:pPr>
      <w:bookmarkStart w:id="22" w:name="_Toc22049"/>
      <w:r>
        <w:rPr>
          <w:rFonts w:hint="eastAsia"/>
          <w:color w:val="000000" w:themeColor="text1"/>
          <w14:textFill>
            <w14:solidFill>
              <w14:schemeClr w14:val="tx1"/>
            </w14:solidFill>
          </w14:textFill>
        </w:rPr>
        <w:t>3</w:t>
      </w:r>
      <w:r>
        <w:rPr>
          <w:color w:val="000000" w:themeColor="text1"/>
          <w14:textFill>
            <w14:solidFill>
              <w14:schemeClr w14:val="tx1"/>
            </w14:solidFill>
          </w14:textFill>
        </w:rPr>
        <w:t>风险事故情形分析</w:t>
      </w:r>
      <w:bookmarkEnd w:id="22"/>
    </w:p>
    <w:p w14:paraId="166F84FF">
      <w:pPr>
        <w:pStyle w:val="3"/>
        <w:spacing w:before="0" w:after="0" w:line="360" w:lineRule="auto"/>
        <w:rPr>
          <w:rFonts w:ascii="Times New Roman" w:hAnsi="Times New Roman" w:eastAsia="宋体"/>
          <w:color w:val="000000" w:themeColor="text1"/>
          <w14:textFill>
            <w14:solidFill>
              <w14:schemeClr w14:val="tx1"/>
            </w14:solidFill>
          </w14:textFill>
        </w:rPr>
      </w:pPr>
      <w:bookmarkStart w:id="23" w:name="_Toc32315"/>
      <w:r>
        <w:rPr>
          <w:rFonts w:hint="eastAsia" w:ascii="Times New Roman" w:hAnsi="Times New Roman" w:eastAsia="宋体"/>
          <w:color w:val="000000" w:themeColor="text1"/>
          <w14:textFill>
            <w14:solidFill>
              <w14:schemeClr w14:val="tx1"/>
            </w14:solidFill>
          </w14:textFill>
        </w:rPr>
        <w:t>3</w:t>
      </w:r>
      <w:r>
        <w:rPr>
          <w:rFonts w:ascii="Times New Roman" w:hAnsi="Times New Roman" w:eastAsia="宋体"/>
          <w:color w:val="000000" w:themeColor="text1"/>
          <w14:textFill>
            <w14:solidFill>
              <w14:schemeClr w14:val="tx1"/>
            </w14:solidFill>
          </w14:textFill>
        </w:rPr>
        <w:t>.1风险事故情形设定</w:t>
      </w:r>
      <w:bookmarkEnd w:id="23"/>
    </w:p>
    <w:p w14:paraId="6FFA7F30">
      <w:pPr>
        <w:spacing w:line="50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根据前文危险物质识别、风险分析等，本</w:t>
      </w:r>
      <w:r>
        <w:rPr>
          <w:bCs/>
          <w:color w:val="000000" w:themeColor="text1"/>
          <w:sz w:val="24"/>
          <w14:textFill>
            <w14:solidFill>
              <w14:schemeClr w14:val="tx1"/>
            </w14:solidFill>
          </w14:textFill>
        </w:rPr>
        <w:t>项目风险事故情形设定如下：</w:t>
      </w:r>
    </w:p>
    <w:p w14:paraId="788C70C0">
      <w:pPr>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项目具有多个事故风险源，在风险识别的基础上，</w:t>
      </w:r>
      <w:r>
        <w:rPr>
          <w:rFonts w:hint="eastAsia"/>
          <w:color w:val="000000" w:themeColor="text1"/>
          <w:sz w:val="24"/>
          <w14:textFill>
            <w14:solidFill>
              <w14:schemeClr w14:val="tx1"/>
            </w14:solidFill>
          </w14:textFill>
        </w:rPr>
        <w:t>本次</w:t>
      </w:r>
      <w:r>
        <w:rPr>
          <w:color w:val="000000" w:themeColor="text1"/>
          <w:sz w:val="24"/>
          <w14:textFill>
            <w14:solidFill>
              <w14:schemeClr w14:val="tx1"/>
            </w14:solidFill>
          </w14:textFill>
        </w:rPr>
        <w:t>评价主要考虑</w:t>
      </w:r>
      <w:r>
        <w:rPr>
          <w:rFonts w:hint="eastAsia"/>
          <w:color w:val="000000" w:themeColor="text1"/>
          <w:sz w:val="24"/>
          <w14:textFill>
            <w14:solidFill>
              <w14:schemeClr w14:val="tx1"/>
            </w14:solidFill>
          </w14:textFill>
        </w:rPr>
        <w:t>原料库或成品库硫酸铵水解泄漏、发生</w:t>
      </w:r>
      <w:r>
        <w:rPr>
          <w:color w:val="000000" w:themeColor="text1"/>
          <w:sz w:val="24"/>
          <w14:textFill>
            <w14:solidFill>
              <w14:schemeClr w14:val="tx1"/>
            </w14:solidFill>
          </w14:textFill>
        </w:rPr>
        <w:t>火灾</w:t>
      </w:r>
      <w:r>
        <w:rPr>
          <w:rFonts w:hint="eastAsia"/>
          <w:color w:val="000000" w:themeColor="text1"/>
          <w:sz w:val="24"/>
          <w14:textFill>
            <w14:solidFill>
              <w14:schemeClr w14:val="tx1"/>
            </w14:solidFill>
          </w14:textFill>
        </w:rPr>
        <w:t>的事故情形</w:t>
      </w:r>
      <w:r>
        <w:rPr>
          <w:color w:val="000000" w:themeColor="text1"/>
          <w:sz w:val="24"/>
          <w14:textFill>
            <w14:solidFill>
              <w14:schemeClr w14:val="tx1"/>
            </w14:solidFill>
          </w14:textFill>
        </w:rPr>
        <w:t>。本次环境风险的大气、地表水及地下水最大可信事故如下：</w:t>
      </w:r>
    </w:p>
    <w:p w14:paraId="0DC8F166">
      <w:pPr>
        <w:spacing w:line="5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大气：</w:t>
      </w:r>
      <w:r>
        <w:rPr>
          <w:rFonts w:hint="eastAsia"/>
          <w:color w:val="000000" w:themeColor="text1"/>
          <w:sz w:val="24"/>
          <w14:textFill>
            <w14:solidFill>
              <w14:schemeClr w14:val="tx1"/>
            </w14:solidFill>
          </w14:textFill>
        </w:rPr>
        <w:t>原料库或成品库泄漏，且原料库或成品库发生火灾，硫酸铵达到分解温度，分解产生氨、二氧化硫</w:t>
      </w:r>
      <w:r>
        <w:rPr>
          <w:color w:val="000000" w:themeColor="text1"/>
          <w:sz w:val="24"/>
          <w14:textFill>
            <w14:solidFill>
              <w14:schemeClr w14:val="tx1"/>
            </w14:solidFill>
          </w14:textFill>
        </w:rPr>
        <w:t>进入大气。</w:t>
      </w:r>
    </w:p>
    <w:p w14:paraId="167882C1">
      <w:pPr>
        <w:spacing w:line="5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地下水：</w:t>
      </w:r>
      <w:r>
        <w:rPr>
          <w:rFonts w:hint="eastAsia"/>
          <w:color w:val="000000" w:themeColor="text1"/>
          <w:sz w:val="24"/>
          <w14:textFill>
            <w14:solidFill>
              <w14:schemeClr w14:val="tx1"/>
            </w14:solidFill>
          </w14:textFill>
        </w:rPr>
        <w:t>原料库泄漏发生水解，且原料库防渗层破裂</w:t>
      </w:r>
      <w:r>
        <w:rPr>
          <w:color w:val="000000" w:themeColor="text1"/>
          <w:sz w:val="24"/>
          <w14:textFill>
            <w14:solidFill>
              <w14:schemeClr w14:val="tx1"/>
            </w14:solidFill>
          </w14:textFill>
        </w:rPr>
        <w:t>进入地下水，对周边地下水的影响。</w:t>
      </w:r>
    </w:p>
    <w:p w14:paraId="5936FDAC">
      <w:pPr>
        <w:spacing w:line="500" w:lineRule="exact"/>
        <w:ind w:firstLine="480" w:firstLineChars="200"/>
        <w:rPr>
          <w:color w:val="000000" w:themeColor="text1"/>
          <w:sz w:val="24"/>
          <w:u w:val="single"/>
          <w14:textFill>
            <w14:solidFill>
              <w14:schemeClr w14:val="tx1"/>
            </w14:solidFill>
          </w14:textFill>
        </w:rPr>
        <w:sectPr>
          <w:footerReference r:id="rId6" w:type="default"/>
          <w:pgSz w:w="11906" w:h="16838"/>
          <w:pgMar w:top="1440" w:right="1588" w:bottom="1440" w:left="1588" w:header="851" w:footer="992" w:gutter="0"/>
          <w:pgNumType w:fmt="decimal" w:start="1"/>
          <w:cols w:space="720" w:num="1"/>
          <w:docGrid w:type="lines" w:linePitch="312" w:charSpace="0"/>
        </w:sect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地表水：</w:t>
      </w:r>
      <w:r>
        <w:rPr>
          <w:rFonts w:hint="eastAsia"/>
          <w:color w:val="000000" w:themeColor="text1"/>
          <w:sz w:val="24"/>
          <w:u w:val="single"/>
          <w14:textFill>
            <w14:solidFill>
              <w14:schemeClr w14:val="tx1"/>
            </w14:solidFill>
          </w14:textFill>
        </w:rPr>
        <w:t>主要考虑厂区除原料库和成品库外</w:t>
      </w:r>
      <w:r>
        <w:rPr>
          <w:color w:val="000000" w:themeColor="text1"/>
          <w:sz w:val="24"/>
          <w:u w:val="single"/>
          <w14:textFill>
            <w14:solidFill>
              <w14:schemeClr w14:val="tx1"/>
            </w14:solidFill>
          </w14:textFill>
        </w:rPr>
        <w:t>发生火灾事故</w:t>
      </w:r>
      <w:r>
        <w:rPr>
          <w:rFonts w:hint="eastAsia"/>
          <w:color w:val="000000" w:themeColor="text1"/>
          <w:sz w:val="24"/>
          <w:u w:val="single"/>
          <w14:textFill>
            <w14:solidFill>
              <w14:schemeClr w14:val="tx1"/>
            </w14:solidFill>
          </w14:textFill>
        </w:rPr>
        <w:t>产生的消防废水进入地表水，由于硫酸铵易水解产生硫酸盐，因此原料库和成品库火灾采用干粉、泡沫、二氧化碳灭火器灭火</w:t>
      </w:r>
      <w:r>
        <w:rPr>
          <w:color w:val="000000" w:themeColor="text1"/>
          <w:sz w:val="24"/>
          <w:u w:val="single"/>
          <w14:textFill>
            <w14:solidFill>
              <w14:schemeClr w14:val="tx1"/>
            </w14:solidFill>
          </w14:textFill>
        </w:rPr>
        <w:t>。</w:t>
      </w:r>
    </w:p>
    <w:p w14:paraId="19AA5647">
      <w:pPr>
        <w:keepNext/>
        <w:keepLines/>
        <w:pageBreakBefore w:val="0"/>
        <w:widowControl w:val="0"/>
        <w:tabs>
          <w:tab w:val="left" w:pos="795"/>
        </w:tabs>
        <w:kinsoku/>
        <w:wordWrap/>
        <w:overflowPunct/>
        <w:topLinePunct w:val="0"/>
        <w:autoSpaceDE/>
        <w:autoSpaceDN/>
        <w:bidi w:val="0"/>
        <w:adjustRightInd w:val="0"/>
        <w:snapToGrid w:val="0"/>
        <w:spacing w:line="240" w:lineRule="auto"/>
        <w:ind w:left="0"/>
        <w:jc w:val="center"/>
        <w:textAlignment w:val="auto"/>
        <w:outlineLvl w:val="9"/>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表3.1-1</w:t>
      </w:r>
      <w:r>
        <w:rPr>
          <w:b/>
          <w:color w:val="000000" w:themeColor="text1"/>
          <w:sz w:val="24"/>
          <w14:textFill>
            <w14:solidFill>
              <w14:schemeClr w14:val="tx1"/>
            </w14:solidFill>
          </w14:textFill>
        </w:rPr>
        <w:t xml:space="preserve">  最大可信事故及概率表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39"/>
        <w:gridCol w:w="3447"/>
        <w:gridCol w:w="1268"/>
        <w:gridCol w:w="992"/>
        <w:gridCol w:w="1356"/>
      </w:tblGrid>
      <w:tr w14:paraId="70C08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14:paraId="7E289B4B">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239" w:type="dxa"/>
            <w:vMerge w:val="restart"/>
            <w:tcBorders>
              <w:top w:val="single" w:color="auto" w:sz="4" w:space="0"/>
              <w:left w:val="single" w:color="auto" w:sz="4" w:space="0"/>
              <w:bottom w:val="single" w:color="auto" w:sz="4" w:space="0"/>
              <w:right w:val="single" w:color="auto" w:sz="4" w:space="0"/>
            </w:tcBorders>
            <w:vAlign w:val="center"/>
          </w:tcPr>
          <w:p w14:paraId="4E06936D">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危险单元</w:t>
            </w:r>
          </w:p>
        </w:tc>
        <w:tc>
          <w:tcPr>
            <w:tcW w:w="3447" w:type="dxa"/>
            <w:vMerge w:val="restart"/>
            <w:tcBorders>
              <w:top w:val="single" w:color="auto" w:sz="4" w:space="0"/>
              <w:left w:val="single" w:color="auto" w:sz="4" w:space="0"/>
              <w:bottom w:val="single" w:color="auto" w:sz="4" w:space="0"/>
              <w:right w:val="single" w:color="auto" w:sz="4" w:space="0"/>
            </w:tcBorders>
            <w:vAlign w:val="center"/>
          </w:tcPr>
          <w:p w14:paraId="63B18533">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最大可信事故情景描述</w:t>
            </w:r>
          </w:p>
        </w:tc>
        <w:tc>
          <w:tcPr>
            <w:tcW w:w="1268" w:type="dxa"/>
            <w:vMerge w:val="restart"/>
            <w:tcBorders>
              <w:top w:val="single" w:color="auto" w:sz="4" w:space="0"/>
              <w:left w:val="single" w:color="auto" w:sz="4" w:space="0"/>
              <w:bottom w:val="single" w:color="auto" w:sz="4" w:space="0"/>
              <w:right w:val="single" w:color="auto" w:sz="4" w:space="0"/>
            </w:tcBorders>
            <w:vAlign w:val="center"/>
          </w:tcPr>
          <w:p w14:paraId="3ECEEE06">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风险因子</w:t>
            </w:r>
          </w:p>
        </w:tc>
        <w:tc>
          <w:tcPr>
            <w:tcW w:w="2348" w:type="dxa"/>
            <w:gridSpan w:val="2"/>
            <w:tcBorders>
              <w:top w:val="single" w:color="auto" w:sz="4" w:space="0"/>
              <w:left w:val="single" w:color="auto" w:sz="4" w:space="0"/>
              <w:bottom w:val="single" w:color="auto" w:sz="4" w:space="0"/>
              <w:right w:val="single" w:color="auto" w:sz="4" w:space="0"/>
            </w:tcBorders>
            <w:vAlign w:val="center"/>
          </w:tcPr>
          <w:p w14:paraId="1F0951DE">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事故概率</w:t>
            </w:r>
          </w:p>
        </w:tc>
      </w:tr>
      <w:tr w14:paraId="2CA3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7C956163">
            <w:pPr>
              <w:widowControl/>
              <w:jc w:val="left"/>
              <w:rPr>
                <w:color w:val="000000" w:themeColor="text1"/>
                <w:szCs w:val="21"/>
                <w14:textFill>
                  <w14:solidFill>
                    <w14:schemeClr w14:val="tx1"/>
                  </w14:solidFill>
                </w14:textFill>
              </w:rPr>
            </w:pPr>
          </w:p>
        </w:tc>
        <w:tc>
          <w:tcPr>
            <w:tcW w:w="1239" w:type="dxa"/>
            <w:vMerge w:val="continue"/>
            <w:tcBorders>
              <w:top w:val="single" w:color="auto" w:sz="4" w:space="0"/>
              <w:left w:val="single" w:color="auto" w:sz="4" w:space="0"/>
              <w:bottom w:val="single" w:color="auto" w:sz="4" w:space="0"/>
              <w:right w:val="single" w:color="auto" w:sz="4" w:space="0"/>
            </w:tcBorders>
            <w:vAlign w:val="center"/>
          </w:tcPr>
          <w:p w14:paraId="2C4601EB">
            <w:pPr>
              <w:widowControl/>
              <w:jc w:val="left"/>
              <w:rPr>
                <w:color w:val="000000" w:themeColor="text1"/>
                <w:szCs w:val="21"/>
                <w14:textFill>
                  <w14:solidFill>
                    <w14:schemeClr w14:val="tx1"/>
                  </w14:solidFill>
                </w14:textFill>
              </w:rPr>
            </w:pPr>
          </w:p>
        </w:tc>
        <w:tc>
          <w:tcPr>
            <w:tcW w:w="3447" w:type="dxa"/>
            <w:vMerge w:val="continue"/>
            <w:tcBorders>
              <w:top w:val="single" w:color="auto" w:sz="4" w:space="0"/>
              <w:left w:val="single" w:color="auto" w:sz="4" w:space="0"/>
              <w:bottom w:val="single" w:color="auto" w:sz="4" w:space="0"/>
              <w:right w:val="single" w:color="auto" w:sz="4" w:space="0"/>
            </w:tcBorders>
            <w:vAlign w:val="center"/>
          </w:tcPr>
          <w:p w14:paraId="603B5C71">
            <w:pPr>
              <w:widowControl/>
              <w:jc w:val="left"/>
              <w:rPr>
                <w:color w:val="000000" w:themeColor="text1"/>
                <w:szCs w:val="21"/>
                <w14:textFill>
                  <w14:solidFill>
                    <w14:schemeClr w14:val="tx1"/>
                  </w14:solidFill>
                </w14:textFill>
              </w:rPr>
            </w:pPr>
          </w:p>
        </w:tc>
        <w:tc>
          <w:tcPr>
            <w:tcW w:w="1268" w:type="dxa"/>
            <w:vMerge w:val="continue"/>
            <w:tcBorders>
              <w:top w:val="single" w:color="auto" w:sz="4" w:space="0"/>
              <w:left w:val="single" w:color="auto" w:sz="4" w:space="0"/>
              <w:bottom w:val="single" w:color="auto" w:sz="4" w:space="0"/>
              <w:right w:val="single" w:color="auto" w:sz="4" w:space="0"/>
            </w:tcBorders>
            <w:vAlign w:val="center"/>
          </w:tcPr>
          <w:p w14:paraId="4FF89461">
            <w:pPr>
              <w:widowControl/>
              <w:jc w:val="left"/>
              <w:rPr>
                <w:color w:val="000000" w:themeColor="text1"/>
                <w:szCs w:val="21"/>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vAlign w:val="center"/>
          </w:tcPr>
          <w:p w14:paraId="4A69A887">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概率</w:t>
            </w:r>
          </w:p>
        </w:tc>
        <w:tc>
          <w:tcPr>
            <w:tcW w:w="1356" w:type="dxa"/>
            <w:tcBorders>
              <w:top w:val="single" w:color="auto" w:sz="4" w:space="0"/>
              <w:left w:val="single" w:color="auto" w:sz="4" w:space="0"/>
              <w:bottom w:val="single" w:color="auto" w:sz="4" w:space="0"/>
              <w:right w:val="single" w:color="auto" w:sz="4" w:space="0"/>
            </w:tcBorders>
            <w:vAlign w:val="center"/>
          </w:tcPr>
          <w:p w14:paraId="3ED59F7B">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来源</w:t>
            </w:r>
          </w:p>
        </w:tc>
      </w:tr>
      <w:tr w14:paraId="4794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tcBorders>
              <w:top w:val="single" w:color="auto" w:sz="4" w:space="0"/>
              <w:left w:val="single" w:color="auto" w:sz="4" w:space="0"/>
              <w:bottom w:val="single" w:color="auto" w:sz="4" w:space="0"/>
              <w:right w:val="single" w:color="auto" w:sz="4" w:space="0"/>
            </w:tcBorders>
            <w:vAlign w:val="center"/>
          </w:tcPr>
          <w:p w14:paraId="2F434D84">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239" w:type="dxa"/>
            <w:tcBorders>
              <w:top w:val="single" w:color="auto" w:sz="4" w:space="0"/>
              <w:left w:val="single" w:color="auto" w:sz="4" w:space="0"/>
              <w:bottom w:val="single" w:color="auto" w:sz="4" w:space="0"/>
              <w:right w:val="single" w:color="auto" w:sz="4" w:space="0"/>
            </w:tcBorders>
            <w:vAlign w:val="center"/>
          </w:tcPr>
          <w:p w14:paraId="1C373A3A">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原料库</w:t>
            </w:r>
          </w:p>
        </w:tc>
        <w:tc>
          <w:tcPr>
            <w:tcW w:w="3447" w:type="dxa"/>
            <w:tcBorders>
              <w:top w:val="single" w:color="auto" w:sz="4" w:space="0"/>
              <w:left w:val="single" w:color="auto" w:sz="4" w:space="0"/>
              <w:bottom w:val="single" w:color="auto" w:sz="4" w:space="0"/>
              <w:right w:val="single" w:color="auto" w:sz="4" w:space="0"/>
            </w:tcBorders>
            <w:vAlign w:val="center"/>
          </w:tcPr>
          <w:p w14:paraId="5DA72C92">
            <w:pPr>
              <w:spacing w:line="24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原料库硫酸铵泄漏，同时原料库发生火灾，硫酸铵分解产生氨、二氧化硫</w:t>
            </w:r>
            <w:r>
              <w:rPr>
                <w:color w:val="000000" w:themeColor="text1"/>
                <w:szCs w:val="21"/>
                <w14:textFill>
                  <w14:solidFill>
                    <w14:schemeClr w14:val="tx1"/>
                  </w14:solidFill>
                </w14:textFill>
              </w:rPr>
              <w:t>扩散至大气</w:t>
            </w:r>
          </w:p>
        </w:tc>
        <w:tc>
          <w:tcPr>
            <w:tcW w:w="1268" w:type="dxa"/>
            <w:tcBorders>
              <w:top w:val="single" w:color="auto" w:sz="4" w:space="0"/>
              <w:left w:val="single" w:color="auto" w:sz="4" w:space="0"/>
              <w:bottom w:val="single" w:color="auto" w:sz="4" w:space="0"/>
              <w:right w:val="single" w:color="auto" w:sz="4" w:space="0"/>
            </w:tcBorders>
            <w:vAlign w:val="center"/>
          </w:tcPr>
          <w:p w14:paraId="504B60A7">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氨、二氧化硫</w:t>
            </w:r>
          </w:p>
        </w:tc>
        <w:tc>
          <w:tcPr>
            <w:tcW w:w="992" w:type="dxa"/>
            <w:tcBorders>
              <w:top w:val="single" w:color="auto" w:sz="4" w:space="0"/>
              <w:left w:val="single" w:color="auto" w:sz="4" w:space="0"/>
              <w:bottom w:val="single" w:color="auto" w:sz="4" w:space="0"/>
              <w:right w:val="single" w:color="auto" w:sz="4" w:space="0"/>
            </w:tcBorders>
            <w:vAlign w:val="center"/>
          </w:tcPr>
          <w:p w14:paraId="741D1370">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×10</w:t>
            </w:r>
            <w:r>
              <w:rPr>
                <w:color w:val="000000" w:themeColor="text1"/>
                <w:szCs w:val="21"/>
                <w:vertAlign w:val="superscript"/>
                <w14:textFill>
                  <w14:solidFill>
                    <w14:schemeClr w14:val="tx1"/>
                  </w14:solidFill>
                </w14:textFill>
              </w:rPr>
              <w:t>-6</w:t>
            </w:r>
          </w:p>
        </w:tc>
        <w:tc>
          <w:tcPr>
            <w:tcW w:w="1356" w:type="dxa"/>
            <w:vMerge w:val="restart"/>
            <w:tcBorders>
              <w:top w:val="single" w:color="auto" w:sz="4" w:space="0"/>
              <w:left w:val="single" w:color="auto" w:sz="4" w:space="0"/>
              <w:right w:val="single" w:color="auto" w:sz="4" w:space="0"/>
            </w:tcBorders>
            <w:vAlign w:val="center"/>
          </w:tcPr>
          <w:p w14:paraId="21829E21">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HJ169-2018</w:t>
            </w:r>
          </w:p>
        </w:tc>
      </w:tr>
      <w:tr w14:paraId="12173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tcBorders>
              <w:top w:val="single" w:color="auto" w:sz="4" w:space="0"/>
              <w:left w:val="single" w:color="auto" w:sz="4" w:space="0"/>
              <w:bottom w:val="single" w:color="auto" w:sz="4" w:space="0"/>
              <w:right w:val="single" w:color="auto" w:sz="4" w:space="0"/>
            </w:tcBorders>
            <w:vAlign w:val="center"/>
          </w:tcPr>
          <w:p w14:paraId="1418D9E3">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239" w:type="dxa"/>
            <w:tcBorders>
              <w:top w:val="single" w:color="auto" w:sz="4" w:space="0"/>
              <w:left w:val="single" w:color="auto" w:sz="4" w:space="0"/>
              <w:bottom w:val="single" w:color="auto" w:sz="4" w:space="0"/>
              <w:right w:val="single" w:color="auto" w:sz="4" w:space="0"/>
            </w:tcBorders>
            <w:vAlign w:val="center"/>
          </w:tcPr>
          <w:p w14:paraId="279E5866">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原料库</w:t>
            </w:r>
          </w:p>
        </w:tc>
        <w:tc>
          <w:tcPr>
            <w:tcW w:w="3447" w:type="dxa"/>
            <w:tcBorders>
              <w:top w:val="single" w:color="auto" w:sz="4" w:space="0"/>
              <w:left w:val="single" w:color="auto" w:sz="4" w:space="0"/>
              <w:bottom w:val="single" w:color="auto" w:sz="4" w:space="0"/>
              <w:right w:val="single" w:color="auto" w:sz="4" w:space="0"/>
            </w:tcBorders>
            <w:vAlign w:val="center"/>
          </w:tcPr>
          <w:p w14:paraId="39C5282B">
            <w:pPr>
              <w:spacing w:line="24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原料库硫酸铵泄漏并发生水解，且原料库防渗层出现损坏，</w:t>
            </w:r>
            <w:r>
              <w:rPr>
                <w:color w:val="000000" w:themeColor="text1"/>
                <w:szCs w:val="21"/>
                <w14:textFill>
                  <w14:solidFill>
                    <w14:schemeClr w14:val="tx1"/>
                  </w14:solidFill>
                </w14:textFill>
              </w:rPr>
              <w:t>可能进入</w:t>
            </w:r>
            <w:r>
              <w:rPr>
                <w:rFonts w:hint="eastAsia"/>
                <w:color w:val="000000" w:themeColor="text1"/>
                <w:szCs w:val="21"/>
                <w14:textFill>
                  <w14:solidFill>
                    <w14:schemeClr w14:val="tx1"/>
                  </w14:solidFill>
                </w14:textFill>
              </w:rPr>
              <w:t>地下水体</w:t>
            </w:r>
          </w:p>
        </w:tc>
        <w:tc>
          <w:tcPr>
            <w:tcW w:w="1268" w:type="dxa"/>
            <w:tcBorders>
              <w:top w:val="single" w:color="auto" w:sz="4" w:space="0"/>
              <w:left w:val="single" w:color="auto" w:sz="4" w:space="0"/>
              <w:bottom w:val="single" w:color="auto" w:sz="4" w:space="0"/>
              <w:right w:val="single" w:color="auto" w:sz="4" w:space="0"/>
            </w:tcBorders>
            <w:vAlign w:val="center"/>
          </w:tcPr>
          <w:p w14:paraId="30E6B829">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硫酸盐</w:t>
            </w:r>
          </w:p>
        </w:tc>
        <w:tc>
          <w:tcPr>
            <w:tcW w:w="992" w:type="dxa"/>
            <w:tcBorders>
              <w:top w:val="single" w:color="auto" w:sz="4" w:space="0"/>
              <w:left w:val="single" w:color="auto" w:sz="4" w:space="0"/>
              <w:bottom w:val="single" w:color="auto" w:sz="4" w:space="0"/>
              <w:right w:val="single" w:color="auto" w:sz="4" w:space="0"/>
            </w:tcBorders>
            <w:vAlign w:val="center"/>
          </w:tcPr>
          <w:p w14:paraId="5714AED9">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×10</w:t>
            </w:r>
            <w:r>
              <w:rPr>
                <w:color w:val="000000" w:themeColor="text1"/>
                <w:szCs w:val="21"/>
                <w:vertAlign w:val="superscript"/>
                <w14:textFill>
                  <w14:solidFill>
                    <w14:schemeClr w14:val="tx1"/>
                  </w14:solidFill>
                </w14:textFill>
              </w:rPr>
              <w:t>-</w:t>
            </w:r>
            <w:r>
              <w:rPr>
                <w:rFonts w:hint="eastAsia"/>
                <w:color w:val="000000" w:themeColor="text1"/>
                <w:szCs w:val="21"/>
                <w:vertAlign w:val="superscript"/>
                <w14:textFill>
                  <w14:solidFill>
                    <w14:schemeClr w14:val="tx1"/>
                  </w14:solidFill>
                </w14:textFill>
              </w:rPr>
              <w:t>6</w:t>
            </w:r>
          </w:p>
        </w:tc>
        <w:tc>
          <w:tcPr>
            <w:tcW w:w="1356" w:type="dxa"/>
            <w:vMerge w:val="continue"/>
            <w:tcBorders>
              <w:left w:val="single" w:color="auto" w:sz="4" w:space="0"/>
              <w:right w:val="single" w:color="auto" w:sz="4" w:space="0"/>
            </w:tcBorders>
            <w:vAlign w:val="center"/>
          </w:tcPr>
          <w:p w14:paraId="5A3551C0">
            <w:pPr>
              <w:widowControl/>
              <w:jc w:val="left"/>
              <w:rPr>
                <w:color w:val="000000" w:themeColor="text1"/>
                <w:szCs w:val="21"/>
                <w14:textFill>
                  <w14:solidFill>
                    <w14:schemeClr w14:val="tx1"/>
                  </w14:solidFill>
                </w14:textFill>
              </w:rPr>
            </w:pPr>
          </w:p>
        </w:tc>
      </w:tr>
    </w:tbl>
    <w:p w14:paraId="789E1E11">
      <w:pPr>
        <w:pStyle w:val="3"/>
        <w:spacing w:before="0" w:after="0" w:line="360" w:lineRule="auto"/>
        <w:rPr>
          <w:rFonts w:ascii="Times New Roman" w:hAnsi="Times New Roman" w:eastAsia="宋体"/>
          <w:color w:val="000000" w:themeColor="text1"/>
          <w14:textFill>
            <w14:solidFill>
              <w14:schemeClr w14:val="tx1"/>
            </w14:solidFill>
          </w14:textFill>
        </w:rPr>
      </w:pPr>
      <w:bookmarkStart w:id="24" w:name="_Toc27406"/>
      <w:r>
        <w:rPr>
          <w:rFonts w:hint="eastAsia" w:ascii="Times New Roman" w:hAnsi="Times New Roman" w:eastAsia="宋体"/>
          <w:color w:val="000000" w:themeColor="text1"/>
          <w14:textFill>
            <w14:solidFill>
              <w14:schemeClr w14:val="tx1"/>
            </w14:solidFill>
          </w14:textFill>
        </w:rPr>
        <w:t>3</w:t>
      </w:r>
      <w:r>
        <w:rPr>
          <w:rFonts w:ascii="Times New Roman" w:hAnsi="Times New Roman" w:eastAsia="宋体"/>
          <w:color w:val="000000" w:themeColor="text1"/>
          <w14:textFill>
            <w14:solidFill>
              <w14:schemeClr w14:val="tx1"/>
            </w14:solidFill>
          </w14:textFill>
        </w:rPr>
        <w:t>.2源项分析</w:t>
      </w:r>
      <w:bookmarkEnd w:id="24"/>
    </w:p>
    <w:p w14:paraId="6C0C7BE5">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本项目硫酸铵原料以及成品均为颗粒状，且为袋装。</w:t>
      </w:r>
      <w:r>
        <w:rPr>
          <w:rFonts w:hint="eastAsia"/>
          <w:color w:val="000000" w:themeColor="text1"/>
          <w:sz w:val="24"/>
          <w:u w:val="single"/>
          <w:lang w:val="en-US" w:eastAsia="zh-CN"/>
          <w14:textFill>
            <w14:solidFill>
              <w14:schemeClr w14:val="tx1"/>
            </w14:solidFill>
          </w14:textFill>
        </w:rPr>
        <w:t>参照其他项目</w:t>
      </w:r>
      <w:r>
        <w:rPr>
          <w:rFonts w:hint="eastAsia"/>
          <w:color w:val="000000" w:themeColor="text1"/>
          <w:sz w:val="24"/>
          <w:u w:val="single"/>
          <w14:textFill>
            <w14:solidFill>
              <w14:schemeClr w14:val="tx1"/>
            </w14:solidFill>
          </w14:textFill>
        </w:rPr>
        <w:t>本次评价选取一袋硫酸铵（1t）泄漏后水解、受热分解的情形进行分析。</w:t>
      </w:r>
    </w:p>
    <w:p w14:paraId="7B0DF8FE">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（1）水解产生硫酸盐</w:t>
      </w:r>
    </w:p>
    <w:p w14:paraId="12B1A216">
      <w:pPr>
        <w:spacing w:line="500" w:lineRule="exact"/>
        <w:ind w:firstLine="480" w:firstLineChars="200"/>
        <w:jc w:val="left"/>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反应的方程式为：</w:t>
      </w:r>
    </w:p>
    <w:p w14:paraId="092FCA4E">
      <w:pPr>
        <w:spacing w:line="500" w:lineRule="exact"/>
        <w:ind w:firstLine="480" w:firstLineChars="200"/>
        <w:jc w:val="left"/>
        <w:rPr>
          <w:color w:val="000000" w:themeColor="text1"/>
          <w:sz w:val="24"/>
          <w:szCs w:val="21"/>
          <w14:textFill>
            <w14:solidFill>
              <w14:schemeClr w14:val="tx1"/>
            </w14:solidFill>
          </w14:textFill>
        </w:rPr>
      </w:pPr>
      <m:oMathPara>
        <m:oMath>
          <m:r>
            <m:rPr/>
            <w:rPr>
              <w:rFonts w:ascii="Cambria Math" w:hAnsi="Cambria Math"/>
              <w:color w:val="000000" w:themeColor="text1"/>
              <w:sz w:val="24"/>
              <w14:textFill>
                <w14:solidFill>
                  <w14:schemeClr w14:val="tx1"/>
                </w14:solidFill>
              </w14:textFill>
            </w:rPr>
            <m:t>(N</m:t>
          </m:r>
          <m:sSub>
            <m:sSubPr>
              <m:ctrlPr>
                <w:rPr>
                  <w:rFonts w:ascii="Cambria Math" w:hAnsi="Cambria Math"/>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H</m:t>
              </m:r>
              <m:ctrlPr>
                <w:rPr>
                  <w:rFonts w:ascii="Cambria Math" w:hAnsi="Cambria Math"/>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4</m:t>
              </m:r>
              <m:ctrlPr>
                <w:rPr>
                  <w:rFonts w:ascii="Cambria Math" w:hAnsi="Cambria Math"/>
                  <w:color w:val="000000" w:themeColor="text1"/>
                  <w:sz w:val="24"/>
                  <w14:textFill>
                    <w14:solidFill>
                      <w14:schemeClr w14:val="tx1"/>
                    </w14:solidFill>
                  </w14:textFill>
                </w:rPr>
              </m:ctrlPr>
            </m:sub>
          </m:sSub>
          <m:sSub>
            <m:sSubPr>
              <m:ctrlPr>
                <w:rPr>
                  <w:rFonts w:ascii="Cambria Math" w:hAnsi="Cambria Math"/>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m:t>
              </m:r>
              <m:ctrlPr>
                <w:rPr>
                  <w:rFonts w:ascii="Cambria Math" w:hAnsi="Cambria Math"/>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2</m:t>
              </m:r>
              <m:ctrlPr>
                <w:rPr>
                  <w:rFonts w:ascii="Cambria Math" w:hAnsi="Cambria Math"/>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S</m:t>
          </m:r>
          <m:sSub>
            <m:sSubPr>
              <m:ctrlPr>
                <w:rPr>
                  <w:rFonts w:ascii="Cambria Math" w:hAnsi="Cambria Math"/>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O</m:t>
              </m:r>
              <m:ctrlPr>
                <w:rPr>
                  <w:rFonts w:ascii="Cambria Math" w:hAnsi="Cambria Math"/>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4</m:t>
              </m:r>
              <m:ctrlPr>
                <w:rPr>
                  <w:rFonts w:ascii="Cambria Math" w:hAnsi="Cambria Math"/>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+2</m:t>
          </m:r>
          <m:sSub>
            <m:sSubPr>
              <m:ctrlPr>
                <w:rPr>
                  <w:rFonts w:ascii="Cambria Math" w:hAnsi="Cambria Math"/>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H</m:t>
              </m:r>
              <m:ctrlPr>
                <w:rPr>
                  <w:rFonts w:ascii="Cambria Math" w:hAnsi="Cambria Math"/>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2</m:t>
              </m:r>
              <m:ctrlPr>
                <w:rPr>
                  <w:rFonts w:ascii="Cambria Math" w:hAnsi="Cambria Math"/>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O⇌2N</m:t>
          </m:r>
          <m:sSub>
            <m:sSubPr>
              <m:ctrlPr>
                <w:rPr>
                  <w:rFonts w:ascii="Cambria Math" w:hAnsi="Cambria Math"/>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H</m:t>
              </m:r>
              <m:ctrlPr>
                <w:rPr>
                  <w:rFonts w:ascii="Cambria Math" w:hAnsi="Cambria Math"/>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3</m:t>
              </m:r>
              <m:ctrlPr>
                <w:rPr>
                  <w:rFonts w:ascii="Cambria Math" w:hAnsi="Cambria Math"/>
                  <w:color w:val="000000" w:themeColor="text1"/>
                  <w:sz w:val="24"/>
                  <w14:textFill>
                    <w14:solidFill>
                      <w14:schemeClr w14:val="tx1"/>
                    </w14:solidFill>
                  </w14:textFill>
                </w:rPr>
              </m:ctrlPr>
            </m:sub>
          </m:sSub>
          <m:sSub>
            <m:sSubPr>
              <m:ctrlPr>
                <w:rPr>
                  <w:rFonts w:ascii="Cambria Math" w:hAnsi="Cambria Math"/>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∙H</m:t>
              </m:r>
              <m:ctrlPr>
                <w:rPr>
                  <w:rFonts w:ascii="Cambria Math" w:hAnsi="Cambria Math"/>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2</m:t>
              </m:r>
              <m:ctrlPr>
                <w:rPr>
                  <w:rFonts w:ascii="Cambria Math" w:hAnsi="Cambria Math"/>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O+</m:t>
          </m:r>
          <m:sSub>
            <m:sSubPr>
              <m:ctrlPr>
                <w:rPr>
                  <w:rFonts w:ascii="Cambria Math" w:hAnsi="Cambria Math"/>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H</m:t>
              </m:r>
              <m:ctrlPr>
                <w:rPr>
                  <w:rFonts w:ascii="Cambria Math" w:hAnsi="Cambria Math"/>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2</m:t>
              </m:r>
              <m:ctrlPr>
                <w:rPr>
                  <w:rFonts w:ascii="Cambria Math" w:hAnsi="Cambria Math"/>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S</m:t>
          </m:r>
          <m:sSub>
            <m:sSubPr>
              <m:ctrlPr>
                <w:rPr>
                  <w:rFonts w:ascii="Cambria Math" w:hAnsi="Cambria Math"/>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O</m:t>
              </m:r>
              <m:ctrlPr>
                <w:rPr>
                  <w:rFonts w:ascii="Cambria Math" w:hAnsi="Cambria Math"/>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4</m:t>
              </m:r>
              <m:ctrlPr>
                <w:rPr>
                  <w:rFonts w:ascii="Cambria Math" w:hAnsi="Cambria Math"/>
                  <w:color w:val="000000" w:themeColor="text1"/>
                  <w:sz w:val="24"/>
                  <w14:textFill>
                    <w14:solidFill>
                      <w14:schemeClr w14:val="tx1"/>
                    </w14:solidFill>
                  </w14:textFill>
                </w:rPr>
              </m:ctrlPr>
            </m:sub>
          </m:sSub>
        </m:oMath>
      </m:oMathPara>
    </w:p>
    <w:p w14:paraId="257677F0">
      <w:pPr>
        <w:spacing w:line="500" w:lineRule="exact"/>
        <w:ind w:firstLine="480" w:firstLineChars="200"/>
        <w:jc w:val="left"/>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经计算，反应生成硫酸盐的质量约为74</w:t>
      </w:r>
      <w:r>
        <w:rPr>
          <w:rFonts w:hint="eastAsia"/>
          <w:color w:val="000000" w:themeColor="text1"/>
          <w:sz w:val="24"/>
          <w:szCs w:val="21"/>
          <w14:textFill>
            <w14:solidFill>
              <w14:schemeClr w14:val="tx1"/>
            </w14:solidFill>
          </w14:textFill>
        </w:rPr>
        <w:t>2</w:t>
      </w:r>
      <w:r>
        <w:rPr>
          <w:color w:val="000000" w:themeColor="text1"/>
          <w:sz w:val="24"/>
          <w:szCs w:val="21"/>
          <w14:textFill>
            <w14:solidFill>
              <w14:schemeClr w14:val="tx1"/>
            </w14:solidFill>
          </w14:textFill>
        </w:rPr>
        <w:t>k</w:t>
      </w:r>
      <w:r>
        <w:rPr>
          <w:rFonts w:hint="eastAsia"/>
          <w:color w:val="000000" w:themeColor="text1"/>
          <w:sz w:val="24"/>
          <w:szCs w:val="21"/>
          <w14:textFill>
            <w14:solidFill>
              <w14:schemeClr w14:val="tx1"/>
            </w14:solidFill>
          </w14:textFill>
        </w:rPr>
        <w:t>g。</w:t>
      </w:r>
    </w:p>
    <w:p w14:paraId="1062E510">
      <w:pPr>
        <w:spacing w:line="500" w:lineRule="exact"/>
        <w:ind w:firstLine="480" w:firstLineChars="200"/>
        <w:jc w:val="left"/>
        <w:rPr>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（2）受热分解产生氨</w:t>
      </w:r>
    </w:p>
    <w:p w14:paraId="740BE097">
      <w:pPr>
        <w:spacing w:line="500" w:lineRule="exact"/>
        <w:ind w:firstLine="480" w:firstLineChars="200"/>
        <w:jc w:val="left"/>
        <w:rPr>
          <w:rFonts w:hint="eastAsia" w:ascii="宋体" w:hAnsi="宋体" w:cs="宋体"/>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硫酸铵</w:t>
      </w:r>
      <w:r>
        <w:rPr>
          <w:rFonts w:hint="eastAsia"/>
          <w:color w:val="000000" w:themeColor="text1"/>
          <w:sz w:val="24"/>
          <w:szCs w:val="21"/>
          <w14:textFill>
            <w14:solidFill>
              <w14:schemeClr w14:val="tx1"/>
            </w14:solidFill>
          </w14:textFill>
        </w:rPr>
        <w:t>受热分解的反应方程式为：</w:t>
      </w:r>
    </w:p>
    <w:p w14:paraId="37290692">
      <w:pPr>
        <w:spacing w:line="500" w:lineRule="exact"/>
        <w:ind w:firstLine="480" w:firstLineChars="200"/>
        <w:jc w:val="left"/>
        <w:rPr>
          <w:color w:val="000000" w:themeColor="text1"/>
          <w:sz w:val="24"/>
          <w:szCs w:val="21"/>
          <w14:textFill>
            <w14:solidFill>
              <w14:schemeClr w14:val="tx1"/>
            </w14:solidFill>
          </w14:textFill>
        </w:rPr>
      </w:pPr>
      <m:oMathPara>
        <m:oMath>
          <m:r>
            <m:rPr>
              <m:sty m:val="p"/>
            </m:rPr>
            <w:rPr>
              <w:rFonts w:ascii="Cambria Math" w:hAnsi="Cambria Math"/>
              <w:color w:val="000000" w:themeColor="text1"/>
              <w:sz w:val="24"/>
              <w14:textFill>
                <w14:solidFill>
                  <w14:schemeClr w14:val="tx1"/>
                </w14:solidFill>
              </w14:textFill>
            </w:rPr>
            <m:t>3</m:t>
          </m:r>
          <m:r>
            <m:rPr/>
            <w:rPr>
              <w:rFonts w:ascii="Cambria Math" w:hAnsi="Cambria Math"/>
              <w:color w:val="000000" w:themeColor="text1"/>
              <w:sz w:val="24"/>
              <w14:textFill>
                <w14:solidFill>
                  <w14:schemeClr w14:val="tx1"/>
                </w14:solidFill>
              </w14:textFill>
            </w:rPr>
            <m:t>(N</m:t>
          </m:r>
          <m:sSub>
            <m:sSubPr>
              <m:ctrlPr>
                <w:rPr>
                  <w:rFonts w:ascii="Cambria Math" w:hAnsi="Cambria Math"/>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H</m:t>
              </m:r>
              <m:ctrlPr>
                <w:rPr>
                  <w:rFonts w:ascii="Cambria Math" w:hAnsi="Cambria Math"/>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4</m:t>
              </m:r>
              <m:ctrlPr>
                <w:rPr>
                  <w:rFonts w:ascii="Cambria Math" w:hAnsi="Cambria Math"/>
                  <w:color w:val="000000" w:themeColor="text1"/>
                  <w:sz w:val="24"/>
                  <w14:textFill>
                    <w14:solidFill>
                      <w14:schemeClr w14:val="tx1"/>
                    </w14:solidFill>
                  </w14:textFill>
                </w:rPr>
              </m:ctrlPr>
            </m:sub>
          </m:sSub>
          <m:sSub>
            <m:sSubPr>
              <m:ctrlPr>
                <w:rPr>
                  <w:rFonts w:ascii="Cambria Math" w:hAnsi="Cambria Math"/>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m:t>
              </m:r>
              <m:ctrlPr>
                <w:rPr>
                  <w:rFonts w:ascii="Cambria Math" w:hAnsi="Cambria Math"/>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2</m:t>
              </m:r>
              <m:ctrlPr>
                <w:rPr>
                  <w:rFonts w:ascii="Cambria Math" w:hAnsi="Cambria Math"/>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S</m:t>
          </m:r>
          <m:sSub>
            <m:sSubPr>
              <m:ctrlPr>
                <w:rPr>
                  <w:rFonts w:ascii="Cambria Math" w:hAnsi="Cambria Math"/>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O</m:t>
              </m:r>
              <m:ctrlPr>
                <w:rPr>
                  <w:rFonts w:ascii="Cambria Math" w:hAnsi="Cambria Math"/>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4</m:t>
              </m:r>
              <m:ctrlPr>
                <w:rPr>
                  <w:rFonts w:ascii="Cambria Math" w:hAnsi="Cambria Math"/>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→3S</m:t>
          </m:r>
          <m:sSub>
            <m:sSubPr>
              <m:ctrlPr>
                <w:rPr>
                  <w:rFonts w:ascii="Cambria Math" w:hAnsi="Cambria Math"/>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O</m:t>
              </m:r>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2</m:t>
              </m:r>
              <m:ctrlPr>
                <w:rPr>
                  <w:rFonts w:ascii="Cambria Math" w:hAnsi="Cambria Math"/>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↑+6</m:t>
          </m:r>
          <m:sSub>
            <m:sSubPr>
              <m:ctrlPr>
                <w:rPr>
                  <w:rFonts w:ascii="Cambria Math" w:hAnsi="Cambria Math"/>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H</m:t>
              </m:r>
              <m:ctrlPr>
                <w:rPr>
                  <w:rFonts w:ascii="Cambria Math" w:hAnsi="Cambria Math"/>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2</m:t>
              </m:r>
              <m:ctrlPr>
                <w:rPr>
                  <w:rFonts w:ascii="Cambria Math" w:hAnsi="Cambria Math"/>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O↑+</m:t>
          </m:r>
          <m:sSub>
            <m:sSubPr>
              <m:ctrlPr>
                <w:rPr>
                  <w:rFonts w:ascii="Cambria Math" w:hAnsi="Cambria Math"/>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N</m:t>
              </m:r>
              <m:ctrlPr>
                <w:rPr>
                  <w:rFonts w:ascii="Cambria Math" w:hAnsi="Cambria Math"/>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2</m:t>
              </m:r>
              <m:ctrlPr>
                <w:rPr>
                  <w:rFonts w:ascii="Cambria Math" w:hAnsi="Cambria Math"/>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↑+4N</m:t>
          </m:r>
          <m:sSub>
            <m:sSubPr>
              <m:ctrlPr>
                <w:rPr>
                  <w:rFonts w:ascii="Cambria Math" w:hAnsi="Cambria Math"/>
                  <w:color w:val="000000" w:themeColor="text1"/>
                  <w:sz w:val="24"/>
                  <w14:textFill>
                    <w14:solidFill>
                      <w14:schemeClr w14:val="tx1"/>
                    </w14:solidFill>
                  </w14:textFill>
                </w:rPr>
              </m:ctrlPr>
            </m:sSubPr>
            <m:e>
              <m:r>
                <m:rPr/>
                <w:rPr>
                  <w:rFonts w:ascii="Cambria Math" w:hAnsi="Cambria Math"/>
                  <w:color w:val="000000" w:themeColor="text1"/>
                  <w:sz w:val="24"/>
                  <w14:textFill>
                    <w14:solidFill>
                      <w14:schemeClr w14:val="tx1"/>
                    </w14:solidFill>
                  </w14:textFill>
                </w:rPr>
                <m:t>H</m:t>
              </m:r>
              <m:ctrlPr>
                <w:rPr>
                  <w:rFonts w:ascii="Cambria Math" w:hAnsi="Cambria Math"/>
                  <w:color w:val="000000" w:themeColor="text1"/>
                  <w:sz w:val="24"/>
                  <w14:textFill>
                    <w14:solidFill>
                      <w14:schemeClr w14:val="tx1"/>
                    </w14:solidFill>
                  </w14:textFill>
                </w:rPr>
              </m:ctrlPr>
            </m:e>
            <m:sub>
              <m:r>
                <m:rPr/>
                <w:rPr>
                  <w:rFonts w:ascii="Cambria Math" w:hAnsi="Cambria Math"/>
                  <w:color w:val="000000" w:themeColor="text1"/>
                  <w:sz w:val="24"/>
                  <w14:textFill>
                    <w14:solidFill>
                      <w14:schemeClr w14:val="tx1"/>
                    </w14:solidFill>
                  </w14:textFill>
                </w:rPr>
                <m:t>3</m:t>
              </m:r>
              <m:ctrlPr>
                <w:rPr>
                  <w:rFonts w:ascii="Cambria Math" w:hAnsi="Cambria Math"/>
                  <w:color w:val="000000" w:themeColor="text1"/>
                  <w:sz w:val="24"/>
                  <w14:textFill>
                    <w14:solidFill>
                      <w14:schemeClr w14:val="tx1"/>
                    </w14:solidFill>
                  </w14:textFill>
                </w:rPr>
              </m:ctrlPr>
            </m:sub>
          </m:sSub>
          <m:r>
            <m:rPr/>
            <w:rPr>
              <w:rFonts w:ascii="Cambria Math" w:hAnsi="Cambria Math"/>
              <w:color w:val="000000" w:themeColor="text1"/>
              <w:sz w:val="24"/>
              <w14:textFill>
                <w14:solidFill>
                  <w14:schemeClr w14:val="tx1"/>
                </w14:solidFill>
              </w14:textFill>
            </w:rPr>
            <m:t>↑</m:t>
          </m:r>
        </m:oMath>
      </m:oMathPara>
    </w:p>
    <w:p w14:paraId="65F268E5">
      <w:pPr>
        <w:spacing w:line="500" w:lineRule="exact"/>
        <w:ind w:firstLine="480" w:firstLineChars="200"/>
        <w:jc w:val="left"/>
        <w:rPr>
          <w:rFonts w:hint="eastAsia" w:ascii="宋体" w:hAnsi="宋体" w:cs="宋体"/>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经计算，反应生成</w:t>
      </w:r>
      <w:r>
        <w:rPr>
          <w:rFonts w:hint="eastAsia"/>
          <w:color w:val="000000" w:themeColor="text1"/>
          <w:sz w:val="24"/>
          <w:szCs w:val="21"/>
          <w14:textFill>
            <w14:solidFill>
              <w14:schemeClr w14:val="tx1"/>
            </w14:solidFill>
          </w14:textFill>
        </w:rPr>
        <w:t>氨</w:t>
      </w:r>
      <w:r>
        <w:rPr>
          <w:color w:val="000000" w:themeColor="text1"/>
          <w:sz w:val="24"/>
          <w:szCs w:val="21"/>
          <w14:textFill>
            <w14:solidFill>
              <w14:schemeClr w14:val="tx1"/>
            </w14:solidFill>
          </w14:textFill>
        </w:rPr>
        <w:t>的质量约为</w:t>
      </w:r>
      <w:r>
        <w:rPr>
          <w:rFonts w:hint="eastAsia"/>
          <w:color w:val="000000" w:themeColor="text1"/>
          <w:sz w:val="24"/>
          <w:szCs w:val="21"/>
          <w14:textFill>
            <w14:solidFill>
              <w14:schemeClr w14:val="tx1"/>
            </w14:solidFill>
          </w14:textFill>
        </w:rPr>
        <w:t>171.7</w:t>
      </w:r>
      <w:r>
        <w:rPr>
          <w:color w:val="000000" w:themeColor="text1"/>
          <w:sz w:val="24"/>
          <w:szCs w:val="21"/>
          <w14:textFill>
            <w14:solidFill>
              <w14:schemeClr w14:val="tx1"/>
            </w14:solidFill>
          </w14:textFill>
        </w:rPr>
        <w:t>kg</w:t>
      </w:r>
      <w:r>
        <w:rPr>
          <w:rFonts w:hint="eastAsia"/>
          <w:color w:val="000000" w:themeColor="text1"/>
          <w:sz w:val="24"/>
          <w:szCs w:val="21"/>
          <w14:textFill>
            <w14:solidFill>
              <w14:schemeClr w14:val="tx1"/>
            </w14:solidFill>
          </w14:textFill>
        </w:rPr>
        <w:t>、二氧化硫的质量约为484.8kg。</w:t>
      </w:r>
    </w:p>
    <w:p w14:paraId="5380BCEC">
      <w:pPr>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综上，项目风险源强汇总于表</w:t>
      </w:r>
      <w:r>
        <w:rPr>
          <w:rFonts w:hint="eastAsia"/>
          <w:color w:val="000000" w:themeColor="text1"/>
          <w:sz w:val="24"/>
          <w14:textFill>
            <w14:solidFill>
              <w14:schemeClr w14:val="tx1"/>
            </w14:solidFill>
          </w14:textFill>
        </w:rPr>
        <w:t>3.2-1</w:t>
      </w:r>
      <w:r>
        <w:rPr>
          <w:color w:val="000000" w:themeColor="text1"/>
          <w:sz w:val="24"/>
          <w14:textFill>
            <w14:solidFill>
              <w14:schemeClr w14:val="tx1"/>
            </w14:solidFill>
          </w14:textFill>
        </w:rPr>
        <w:t>。</w:t>
      </w:r>
    </w:p>
    <w:p w14:paraId="0C571D3E">
      <w:pPr>
        <w:keepNext/>
        <w:keepLines/>
        <w:pageBreakBefore w:val="0"/>
        <w:widowControl w:val="0"/>
        <w:tabs>
          <w:tab w:val="left" w:pos="795"/>
        </w:tabs>
        <w:kinsoku/>
        <w:wordWrap/>
        <w:overflowPunct/>
        <w:topLinePunct w:val="0"/>
        <w:autoSpaceDE/>
        <w:autoSpaceDN/>
        <w:bidi w:val="0"/>
        <w:adjustRightInd/>
        <w:snapToGrid/>
        <w:spacing w:line="500" w:lineRule="exact"/>
        <w:ind w:left="794"/>
        <w:jc w:val="center"/>
        <w:textAlignment w:val="auto"/>
        <w:outlineLvl w:val="9"/>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表3.2-1</w:t>
      </w:r>
      <w:r>
        <w:rPr>
          <w:b/>
          <w:color w:val="000000" w:themeColor="text1"/>
          <w:sz w:val="24"/>
          <w14:textFill>
            <w14:solidFill>
              <w14:schemeClr w14:val="tx1"/>
            </w14:solidFill>
          </w14:textFill>
        </w:rPr>
        <w:t xml:space="preserve">  项目风险源强一览表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306"/>
        <w:gridCol w:w="893"/>
        <w:gridCol w:w="1070"/>
        <w:gridCol w:w="1145"/>
        <w:gridCol w:w="1349"/>
        <w:gridCol w:w="1328"/>
        <w:gridCol w:w="1288"/>
      </w:tblGrid>
      <w:tr w14:paraId="348F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4" w:type="pct"/>
            <w:tcBorders>
              <w:top w:val="single" w:color="auto" w:sz="4" w:space="0"/>
              <w:left w:val="single" w:color="auto" w:sz="4" w:space="0"/>
              <w:bottom w:val="single" w:color="auto" w:sz="4" w:space="0"/>
              <w:right w:val="single" w:color="auto" w:sz="4" w:space="0"/>
            </w:tcBorders>
            <w:vAlign w:val="center"/>
          </w:tcPr>
          <w:p w14:paraId="73363CC4">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730" w:type="pct"/>
            <w:tcBorders>
              <w:top w:val="single" w:color="auto" w:sz="4" w:space="0"/>
              <w:left w:val="single" w:color="auto" w:sz="4" w:space="0"/>
              <w:bottom w:val="single" w:color="auto" w:sz="4" w:space="0"/>
              <w:right w:val="single" w:color="auto" w:sz="4" w:space="0"/>
            </w:tcBorders>
            <w:vAlign w:val="center"/>
          </w:tcPr>
          <w:p w14:paraId="14E582AB">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风险事故情形描述</w:t>
            </w:r>
          </w:p>
        </w:tc>
        <w:tc>
          <w:tcPr>
            <w:tcW w:w="499" w:type="pct"/>
            <w:tcBorders>
              <w:top w:val="single" w:color="auto" w:sz="4" w:space="0"/>
              <w:left w:val="single" w:color="auto" w:sz="4" w:space="0"/>
              <w:bottom w:val="single" w:color="auto" w:sz="4" w:space="0"/>
              <w:right w:val="single" w:color="auto" w:sz="4" w:space="0"/>
            </w:tcBorders>
            <w:vAlign w:val="center"/>
          </w:tcPr>
          <w:p w14:paraId="13FFC694">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危险单元</w:t>
            </w:r>
          </w:p>
        </w:tc>
        <w:tc>
          <w:tcPr>
            <w:tcW w:w="598" w:type="pct"/>
            <w:tcBorders>
              <w:top w:val="single" w:color="auto" w:sz="4" w:space="0"/>
              <w:left w:val="single" w:color="auto" w:sz="4" w:space="0"/>
              <w:bottom w:val="single" w:color="auto" w:sz="4" w:space="0"/>
              <w:right w:val="single" w:color="auto" w:sz="4" w:space="0"/>
            </w:tcBorders>
            <w:vAlign w:val="center"/>
          </w:tcPr>
          <w:p w14:paraId="0784E586">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危险物质</w:t>
            </w:r>
          </w:p>
        </w:tc>
        <w:tc>
          <w:tcPr>
            <w:tcW w:w="640" w:type="pct"/>
            <w:tcBorders>
              <w:top w:val="single" w:color="auto" w:sz="4" w:space="0"/>
              <w:left w:val="single" w:color="auto" w:sz="4" w:space="0"/>
              <w:bottom w:val="single" w:color="auto" w:sz="4" w:space="0"/>
              <w:right w:val="single" w:color="auto" w:sz="4" w:space="0"/>
            </w:tcBorders>
            <w:vAlign w:val="center"/>
          </w:tcPr>
          <w:p w14:paraId="04408788">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影响途径</w:t>
            </w:r>
          </w:p>
        </w:tc>
        <w:tc>
          <w:tcPr>
            <w:tcW w:w="754" w:type="pct"/>
            <w:tcBorders>
              <w:top w:val="single" w:color="auto" w:sz="4" w:space="0"/>
              <w:left w:val="single" w:color="auto" w:sz="4" w:space="0"/>
              <w:bottom w:val="single" w:color="auto" w:sz="4" w:space="0"/>
              <w:right w:val="single" w:color="auto" w:sz="4" w:space="0"/>
            </w:tcBorders>
            <w:vAlign w:val="center"/>
          </w:tcPr>
          <w:p w14:paraId="5CD0FCFD">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释放或泄漏速率/（kg/s）</w:t>
            </w:r>
          </w:p>
        </w:tc>
        <w:tc>
          <w:tcPr>
            <w:tcW w:w="742" w:type="pct"/>
            <w:tcBorders>
              <w:top w:val="single" w:color="auto" w:sz="4" w:space="0"/>
              <w:left w:val="single" w:color="auto" w:sz="4" w:space="0"/>
              <w:bottom w:val="single" w:color="auto" w:sz="4" w:space="0"/>
              <w:right w:val="single" w:color="auto" w:sz="4" w:space="0"/>
            </w:tcBorders>
            <w:vAlign w:val="center"/>
          </w:tcPr>
          <w:p w14:paraId="6348AAF5">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释放或泄漏时间/min</w:t>
            </w:r>
          </w:p>
        </w:tc>
        <w:tc>
          <w:tcPr>
            <w:tcW w:w="719" w:type="pct"/>
            <w:tcBorders>
              <w:top w:val="single" w:color="auto" w:sz="4" w:space="0"/>
              <w:left w:val="single" w:color="auto" w:sz="4" w:space="0"/>
              <w:bottom w:val="single" w:color="auto" w:sz="4" w:space="0"/>
              <w:right w:val="single" w:color="auto" w:sz="4" w:space="0"/>
            </w:tcBorders>
            <w:vAlign w:val="center"/>
          </w:tcPr>
          <w:p w14:paraId="4A4742AF">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最大释放或泄漏量/kg</w:t>
            </w:r>
          </w:p>
        </w:tc>
      </w:tr>
      <w:tr w14:paraId="5714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4" w:type="pct"/>
            <w:tcBorders>
              <w:top w:val="single" w:color="auto" w:sz="4" w:space="0"/>
              <w:left w:val="single" w:color="auto" w:sz="4" w:space="0"/>
              <w:right w:val="single" w:color="auto" w:sz="4" w:space="0"/>
            </w:tcBorders>
            <w:vAlign w:val="center"/>
          </w:tcPr>
          <w:p w14:paraId="42E07DCC">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30" w:type="pct"/>
            <w:vMerge w:val="restart"/>
            <w:tcBorders>
              <w:top w:val="single" w:color="auto" w:sz="4" w:space="0"/>
              <w:left w:val="single" w:color="auto" w:sz="4" w:space="0"/>
              <w:right w:val="single" w:color="auto" w:sz="4" w:space="0"/>
            </w:tcBorders>
            <w:vAlign w:val="center"/>
          </w:tcPr>
          <w:p w14:paraId="4C7691B3">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硫酸铵</w:t>
            </w:r>
            <w:r>
              <w:rPr>
                <w:color w:val="000000" w:themeColor="text1"/>
                <w:szCs w:val="21"/>
                <w14:textFill>
                  <w14:solidFill>
                    <w14:schemeClr w14:val="tx1"/>
                  </w14:solidFill>
                </w14:textFill>
              </w:rPr>
              <w:t>泄漏</w:t>
            </w:r>
            <w:r>
              <w:rPr>
                <w:rFonts w:hint="eastAsia"/>
                <w:color w:val="000000" w:themeColor="text1"/>
                <w:szCs w:val="21"/>
                <w14:textFill>
                  <w14:solidFill>
                    <w14:schemeClr w14:val="tx1"/>
                  </w14:solidFill>
                </w14:textFill>
              </w:rPr>
              <w:t>且仓库发生火灾</w:t>
            </w:r>
          </w:p>
        </w:tc>
        <w:tc>
          <w:tcPr>
            <w:tcW w:w="499" w:type="pct"/>
            <w:vMerge w:val="restart"/>
            <w:tcBorders>
              <w:top w:val="single" w:color="auto" w:sz="4" w:space="0"/>
              <w:left w:val="single" w:color="auto" w:sz="4" w:space="0"/>
              <w:right w:val="single" w:color="auto" w:sz="4" w:space="0"/>
            </w:tcBorders>
            <w:vAlign w:val="center"/>
          </w:tcPr>
          <w:p w14:paraId="6D322AAC">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原料库、成品库</w:t>
            </w:r>
          </w:p>
        </w:tc>
        <w:tc>
          <w:tcPr>
            <w:tcW w:w="598" w:type="pct"/>
            <w:tcBorders>
              <w:top w:val="single" w:color="auto" w:sz="4" w:space="0"/>
              <w:left w:val="single" w:color="auto" w:sz="4" w:space="0"/>
              <w:right w:val="single" w:color="auto" w:sz="4" w:space="0"/>
            </w:tcBorders>
            <w:vAlign w:val="center"/>
          </w:tcPr>
          <w:p w14:paraId="612C3494">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w:t>
            </w:r>
          </w:p>
        </w:tc>
        <w:tc>
          <w:tcPr>
            <w:tcW w:w="640" w:type="pct"/>
            <w:vMerge w:val="restart"/>
            <w:tcBorders>
              <w:top w:val="single" w:color="auto" w:sz="4" w:space="0"/>
              <w:left w:val="single" w:color="auto" w:sz="4" w:space="0"/>
              <w:right w:val="single" w:color="auto" w:sz="4" w:space="0"/>
            </w:tcBorders>
            <w:vAlign w:val="center"/>
          </w:tcPr>
          <w:p w14:paraId="1C396CE5">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进入</w:t>
            </w:r>
          </w:p>
          <w:p w14:paraId="7EB83FDB">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w:t>
            </w:r>
          </w:p>
        </w:tc>
        <w:tc>
          <w:tcPr>
            <w:tcW w:w="754" w:type="pct"/>
            <w:tcBorders>
              <w:top w:val="single" w:color="auto" w:sz="4" w:space="0"/>
              <w:left w:val="single" w:color="auto" w:sz="4" w:space="0"/>
              <w:right w:val="single" w:color="auto" w:sz="4" w:space="0"/>
            </w:tcBorders>
            <w:vAlign w:val="center"/>
          </w:tcPr>
          <w:p w14:paraId="0E412C87">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0.19</w:t>
            </w:r>
          </w:p>
        </w:tc>
        <w:tc>
          <w:tcPr>
            <w:tcW w:w="742" w:type="pct"/>
            <w:tcBorders>
              <w:top w:val="single" w:color="auto" w:sz="4" w:space="0"/>
              <w:left w:val="single" w:color="auto" w:sz="4" w:space="0"/>
              <w:right w:val="single" w:color="auto" w:sz="4" w:space="0"/>
            </w:tcBorders>
            <w:vAlign w:val="center"/>
          </w:tcPr>
          <w:p w14:paraId="2D0B31C6">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719" w:type="pct"/>
            <w:tcBorders>
              <w:top w:val="single" w:color="auto" w:sz="4" w:space="0"/>
              <w:left w:val="single" w:color="auto" w:sz="4" w:space="0"/>
              <w:right w:val="single" w:color="auto" w:sz="4" w:space="0"/>
            </w:tcBorders>
            <w:vAlign w:val="center"/>
          </w:tcPr>
          <w:p w14:paraId="533B0D09">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171.7</w:t>
            </w:r>
          </w:p>
        </w:tc>
      </w:tr>
      <w:tr w14:paraId="799B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4" w:type="pct"/>
            <w:tcBorders>
              <w:top w:val="single" w:color="auto" w:sz="4" w:space="0"/>
              <w:left w:val="single" w:color="auto" w:sz="4" w:space="0"/>
              <w:right w:val="single" w:color="auto" w:sz="4" w:space="0"/>
            </w:tcBorders>
            <w:vAlign w:val="center"/>
          </w:tcPr>
          <w:p w14:paraId="5D3811D6">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730" w:type="pct"/>
            <w:vMerge w:val="continue"/>
            <w:tcBorders>
              <w:left w:val="single" w:color="auto" w:sz="4" w:space="0"/>
              <w:right w:val="single" w:color="auto" w:sz="4" w:space="0"/>
            </w:tcBorders>
            <w:vAlign w:val="center"/>
          </w:tcPr>
          <w:p w14:paraId="39E081CB">
            <w:pPr>
              <w:spacing w:line="240" w:lineRule="exact"/>
              <w:jc w:val="center"/>
              <w:rPr>
                <w:color w:val="000000" w:themeColor="text1"/>
                <w:szCs w:val="21"/>
                <w14:textFill>
                  <w14:solidFill>
                    <w14:schemeClr w14:val="tx1"/>
                  </w14:solidFill>
                </w14:textFill>
              </w:rPr>
            </w:pPr>
          </w:p>
        </w:tc>
        <w:tc>
          <w:tcPr>
            <w:tcW w:w="499" w:type="pct"/>
            <w:vMerge w:val="continue"/>
            <w:tcBorders>
              <w:left w:val="single" w:color="auto" w:sz="4" w:space="0"/>
              <w:right w:val="single" w:color="auto" w:sz="4" w:space="0"/>
            </w:tcBorders>
            <w:vAlign w:val="center"/>
          </w:tcPr>
          <w:p w14:paraId="285C0474">
            <w:pPr>
              <w:spacing w:line="240" w:lineRule="exact"/>
              <w:jc w:val="center"/>
              <w:rPr>
                <w:color w:val="000000" w:themeColor="text1"/>
                <w:szCs w:val="21"/>
                <w14:textFill>
                  <w14:solidFill>
                    <w14:schemeClr w14:val="tx1"/>
                  </w14:solidFill>
                </w14:textFill>
              </w:rPr>
            </w:pPr>
          </w:p>
        </w:tc>
        <w:tc>
          <w:tcPr>
            <w:tcW w:w="598" w:type="pct"/>
            <w:tcBorders>
              <w:top w:val="single" w:color="auto" w:sz="4" w:space="0"/>
              <w:left w:val="single" w:color="auto" w:sz="4" w:space="0"/>
              <w:right w:val="single" w:color="auto" w:sz="4" w:space="0"/>
            </w:tcBorders>
            <w:vAlign w:val="center"/>
          </w:tcPr>
          <w:p w14:paraId="3DD353F3">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二氧化硫</w:t>
            </w:r>
          </w:p>
        </w:tc>
        <w:tc>
          <w:tcPr>
            <w:tcW w:w="640" w:type="pct"/>
            <w:vMerge w:val="continue"/>
            <w:tcBorders>
              <w:left w:val="single" w:color="auto" w:sz="4" w:space="0"/>
              <w:right w:val="single" w:color="auto" w:sz="4" w:space="0"/>
            </w:tcBorders>
            <w:vAlign w:val="center"/>
          </w:tcPr>
          <w:p w14:paraId="45DF87A9">
            <w:pPr>
              <w:spacing w:line="240" w:lineRule="exact"/>
              <w:jc w:val="center"/>
              <w:rPr>
                <w:color w:val="000000" w:themeColor="text1"/>
                <w:szCs w:val="21"/>
                <w14:textFill>
                  <w14:solidFill>
                    <w14:schemeClr w14:val="tx1"/>
                  </w14:solidFill>
                </w14:textFill>
              </w:rPr>
            </w:pPr>
          </w:p>
        </w:tc>
        <w:tc>
          <w:tcPr>
            <w:tcW w:w="754" w:type="pct"/>
            <w:tcBorders>
              <w:top w:val="single" w:color="auto" w:sz="4" w:space="0"/>
              <w:left w:val="single" w:color="auto" w:sz="4" w:space="0"/>
              <w:right w:val="single" w:color="auto" w:sz="4" w:space="0"/>
            </w:tcBorders>
            <w:vAlign w:val="center"/>
          </w:tcPr>
          <w:p w14:paraId="29D0CED8">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0.54</w:t>
            </w:r>
          </w:p>
        </w:tc>
        <w:tc>
          <w:tcPr>
            <w:tcW w:w="742" w:type="pct"/>
            <w:tcBorders>
              <w:top w:val="single" w:color="auto" w:sz="4" w:space="0"/>
              <w:left w:val="single" w:color="auto" w:sz="4" w:space="0"/>
              <w:right w:val="single" w:color="auto" w:sz="4" w:space="0"/>
            </w:tcBorders>
            <w:vAlign w:val="center"/>
          </w:tcPr>
          <w:p w14:paraId="2162144A">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719" w:type="pct"/>
            <w:tcBorders>
              <w:top w:val="single" w:color="auto" w:sz="4" w:space="0"/>
              <w:left w:val="single" w:color="auto" w:sz="4" w:space="0"/>
              <w:right w:val="single" w:color="auto" w:sz="4" w:space="0"/>
            </w:tcBorders>
            <w:vAlign w:val="center"/>
          </w:tcPr>
          <w:p w14:paraId="1DA5C102">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484.8</w:t>
            </w:r>
          </w:p>
        </w:tc>
      </w:tr>
      <w:tr w14:paraId="748A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4" w:type="pct"/>
            <w:tcBorders>
              <w:top w:val="single" w:color="auto" w:sz="4" w:space="0"/>
              <w:left w:val="single" w:color="auto" w:sz="4" w:space="0"/>
              <w:bottom w:val="single" w:color="auto" w:sz="4" w:space="0"/>
              <w:right w:val="single" w:color="auto" w:sz="4" w:space="0"/>
            </w:tcBorders>
            <w:vAlign w:val="center"/>
          </w:tcPr>
          <w:p w14:paraId="0C4657B2">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730" w:type="pct"/>
            <w:tcBorders>
              <w:top w:val="single" w:color="auto" w:sz="4" w:space="0"/>
              <w:left w:val="single" w:color="auto" w:sz="4" w:space="0"/>
              <w:bottom w:val="single" w:color="auto" w:sz="4" w:space="0"/>
              <w:right w:val="single" w:color="auto" w:sz="4" w:space="0"/>
            </w:tcBorders>
            <w:vAlign w:val="center"/>
          </w:tcPr>
          <w:p w14:paraId="132991ED">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硫酸铵</w:t>
            </w:r>
            <w:r>
              <w:rPr>
                <w:color w:val="000000" w:themeColor="text1"/>
                <w:szCs w:val="21"/>
                <w14:textFill>
                  <w14:solidFill>
                    <w14:schemeClr w14:val="tx1"/>
                  </w14:solidFill>
                </w14:textFill>
              </w:rPr>
              <w:t>泄漏并</w:t>
            </w:r>
            <w:r>
              <w:rPr>
                <w:rFonts w:hint="eastAsia"/>
                <w:color w:val="000000" w:themeColor="text1"/>
                <w:szCs w:val="21"/>
                <w14:textFill>
                  <w14:solidFill>
                    <w14:schemeClr w14:val="tx1"/>
                  </w14:solidFill>
                </w14:textFill>
              </w:rPr>
              <w:t>水解</w:t>
            </w:r>
            <w:r>
              <w:rPr>
                <w:color w:val="000000" w:themeColor="text1"/>
                <w:szCs w:val="21"/>
                <w14:textFill>
                  <w14:solidFill>
                    <w14:schemeClr w14:val="tx1"/>
                  </w14:solidFill>
                </w14:textFill>
              </w:rPr>
              <w:t>进入地下水</w:t>
            </w:r>
          </w:p>
        </w:tc>
        <w:tc>
          <w:tcPr>
            <w:tcW w:w="499" w:type="pct"/>
            <w:vMerge w:val="continue"/>
            <w:tcBorders>
              <w:left w:val="single" w:color="auto" w:sz="4" w:space="0"/>
              <w:bottom w:val="single" w:color="auto" w:sz="4" w:space="0"/>
              <w:right w:val="single" w:color="auto" w:sz="4" w:space="0"/>
            </w:tcBorders>
            <w:vAlign w:val="center"/>
          </w:tcPr>
          <w:p w14:paraId="2A1029BD">
            <w:pPr>
              <w:spacing w:line="240" w:lineRule="exact"/>
              <w:jc w:val="center"/>
              <w:rPr>
                <w:color w:val="000000" w:themeColor="text1"/>
                <w:szCs w:val="21"/>
                <w14:textFill>
                  <w14:solidFill>
                    <w14:schemeClr w14:val="tx1"/>
                  </w14:solidFill>
                </w14:textFill>
              </w:rPr>
            </w:pPr>
          </w:p>
        </w:tc>
        <w:tc>
          <w:tcPr>
            <w:tcW w:w="598" w:type="pct"/>
            <w:tcBorders>
              <w:top w:val="single" w:color="auto" w:sz="4" w:space="0"/>
              <w:left w:val="single" w:color="auto" w:sz="4" w:space="0"/>
              <w:bottom w:val="single" w:color="auto" w:sz="4" w:space="0"/>
              <w:right w:val="single" w:color="auto" w:sz="4" w:space="0"/>
            </w:tcBorders>
            <w:vAlign w:val="center"/>
          </w:tcPr>
          <w:p w14:paraId="44F12474">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硫酸盐</w:t>
            </w:r>
          </w:p>
        </w:tc>
        <w:tc>
          <w:tcPr>
            <w:tcW w:w="640" w:type="pct"/>
            <w:tcBorders>
              <w:top w:val="single" w:color="auto" w:sz="4" w:space="0"/>
              <w:left w:val="single" w:color="auto" w:sz="4" w:space="0"/>
              <w:bottom w:val="single" w:color="auto" w:sz="4" w:space="0"/>
              <w:right w:val="single" w:color="auto" w:sz="4" w:space="0"/>
            </w:tcBorders>
            <w:vAlign w:val="center"/>
          </w:tcPr>
          <w:p w14:paraId="19CB0367">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进入</w:t>
            </w:r>
          </w:p>
          <w:p w14:paraId="01A3FFC2">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地下水</w:t>
            </w:r>
          </w:p>
        </w:tc>
        <w:tc>
          <w:tcPr>
            <w:tcW w:w="754" w:type="pct"/>
            <w:tcBorders>
              <w:top w:val="single" w:color="auto" w:sz="4" w:space="0"/>
              <w:left w:val="single" w:color="auto" w:sz="4" w:space="0"/>
              <w:bottom w:val="single" w:color="auto" w:sz="4" w:space="0"/>
              <w:right w:val="single" w:color="auto" w:sz="4" w:space="0"/>
            </w:tcBorders>
            <w:vAlign w:val="center"/>
          </w:tcPr>
          <w:p w14:paraId="76E32A75">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42" w:type="pct"/>
            <w:tcBorders>
              <w:top w:val="single" w:color="auto" w:sz="4" w:space="0"/>
              <w:left w:val="single" w:color="auto" w:sz="4" w:space="0"/>
              <w:bottom w:val="single" w:color="auto" w:sz="4" w:space="0"/>
              <w:right w:val="single" w:color="auto" w:sz="4" w:space="0"/>
            </w:tcBorders>
            <w:vAlign w:val="center"/>
          </w:tcPr>
          <w:p w14:paraId="0CED5FC9">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19" w:type="pct"/>
            <w:tcBorders>
              <w:top w:val="single" w:color="auto" w:sz="4" w:space="0"/>
              <w:left w:val="single" w:color="auto" w:sz="4" w:space="0"/>
              <w:bottom w:val="single" w:color="auto" w:sz="4" w:space="0"/>
              <w:right w:val="single" w:color="auto" w:sz="4" w:space="0"/>
            </w:tcBorders>
            <w:vAlign w:val="center"/>
          </w:tcPr>
          <w:p w14:paraId="4443BFD9">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742</w:t>
            </w:r>
          </w:p>
        </w:tc>
      </w:tr>
    </w:tbl>
    <w:p w14:paraId="0BCC994C">
      <w:pPr>
        <w:spacing w:line="360" w:lineRule="auto"/>
        <w:ind w:firstLine="480" w:firstLineChars="200"/>
        <w:rPr>
          <w:color w:val="000000" w:themeColor="text1"/>
          <w:sz w:val="24"/>
          <w14:textFill>
            <w14:solidFill>
              <w14:schemeClr w14:val="tx1"/>
            </w14:solidFill>
          </w14:textFill>
        </w:rPr>
      </w:pPr>
    </w:p>
    <w:p w14:paraId="41008D02">
      <w:pPr>
        <w:spacing w:line="360" w:lineRule="auto"/>
        <w:ind w:firstLine="240" w:firstLineChars="1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事故废水</w:t>
      </w:r>
    </w:p>
    <w:p w14:paraId="4D2E58D2">
      <w:pPr>
        <w:widowControl/>
        <w:spacing w:line="360" w:lineRule="auto"/>
        <w:ind w:firstLine="480" w:firstLineChars="200"/>
        <w:jc w:val="left"/>
        <w:rPr>
          <w:rFonts w:hint="eastAsia" w:ascii="宋体" w:hAnsi="宋体" w:cs="宋体"/>
          <w:color w:val="000000" w:themeColor="text1"/>
          <w:kern w:val="0"/>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《化工建设项目环境保护工程设计标准》（</w:t>
      </w:r>
      <w:r>
        <w:rPr>
          <w:color w:val="000000" w:themeColor="text1"/>
          <w:sz w:val="24"/>
          <w14:textFill>
            <w14:solidFill>
              <w14:schemeClr w14:val="tx1"/>
            </w14:solidFill>
          </w14:textFill>
        </w:rPr>
        <w:t>GB50483-2019</w:t>
      </w:r>
      <w:r>
        <w:rPr>
          <w:rFonts w:hint="eastAsia"/>
          <w:color w:val="000000" w:themeColor="text1"/>
          <w:sz w:val="24"/>
          <w14:textFill>
            <w14:solidFill>
              <w14:schemeClr w14:val="tx1"/>
            </w14:solidFill>
          </w14:textFill>
        </w:rPr>
        <w:t>）、《石化企业水体环境风险防控技术要求》（Q/SH 0729-2018）</w:t>
      </w:r>
      <w:r>
        <w:rPr>
          <w:color w:val="000000" w:themeColor="text1"/>
          <w:sz w:val="24"/>
          <w14:textFill>
            <w14:solidFill>
              <w14:schemeClr w14:val="tx1"/>
            </w14:solidFill>
          </w14:textFill>
        </w:rPr>
        <w:t>，结合</w:t>
      </w:r>
      <w:r>
        <w:rPr>
          <w:rFonts w:hint="eastAsia"/>
          <w:color w:val="000000" w:themeColor="text1"/>
          <w:sz w:val="24"/>
          <w14:textFill>
            <w14:solidFill>
              <w14:schemeClr w14:val="tx1"/>
            </w14:solidFill>
          </w14:textFill>
        </w:rPr>
        <w:t>企业</w:t>
      </w:r>
      <w:r>
        <w:rPr>
          <w:color w:val="000000" w:themeColor="text1"/>
          <w:sz w:val="24"/>
          <w14:textFill>
            <w14:solidFill>
              <w14:schemeClr w14:val="tx1"/>
            </w14:solidFill>
          </w14:textFill>
        </w:rPr>
        <w:t>实际情况，在雨水排放口处设置事故废水截流</w:t>
      </w:r>
      <w:r>
        <w:rPr>
          <w:rFonts w:hint="eastAsia"/>
          <w:color w:val="000000" w:themeColor="text1"/>
          <w:sz w:val="24"/>
          <w14:textFill>
            <w14:solidFill>
              <w14:schemeClr w14:val="tx1"/>
            </w14:solidFill>
          </w14:textFill>
        </w:rPr>
        <w:t>阀</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将事故废水引入</w:t>
      </w:r>
      <w:r>
        <w:rPr>
          <w:color w:val="000000" w:themeColor="text1"/>
          <w:sz w:val="24"/>
          <w14:textFill>
            <w14:solidFill>
              <w14:schemeClr w14:val="tx1"/>
            </w14:solidFill>
          </w14:textFill>
        </w:rPr>
        <w:t>厂区事故应急池中。事故应急池容积计算过程如下：</w:t>
      </w:r>
    </w:p>
    <w:p w14:paraId="06125AFE">
      <w:pPr>
        <w:spacing w:line="360" w:lineRule="auto"/>
        <w:ind w:firstLine="480" w:firstLineChars="20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事故</w:t>
      </w:r>
      <w:r>
        <w:rPr>
          <w:rFonts w:hint="eastAsia"/>
          <w:color w:val="000000" w:themeColor="text1"/>
          <w:sz w:val="24"/>
          <w:vertAlign w:val="subscript"/>
          <w14:textFill>
            <w14:solidFill>
              <w14:schemeClr w14:val="tx1"/>
            </w14:solidFill>
          </w14:textFill>
        </w:rPr>
        <w:t>应急</w:t>
      </w:r>
      <w:r>
        <w:rPr>
          <w:color w:val="000000" w:themeColor="text1"/>
          <w:sz w:val="24"/>
          <w:vertAlign w:val="subscript"/>
          <w14:textFill>
            <w14:solidFill>
              <w14:schemeClr w14:val="tx1"/>
            </w14:solidFill>
          </w14:textFill>
        </w:rPr>
        <w:t>池</w:t>
      </w:r>
      <w:r>
        <w:rPr>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1</w:t>
      </w:r>
      <w:r>
        <w:rPr>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－V</w:t>
      </w:r>
      <w:r>
        <w:rPr>
          <w:rFonts w:hint="eastAsia"/>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w:t>
      </w:r>
      <w:r>
        <w:rPr>
          <w:color w:val="000000" w:themeColor="text1"/>
          <w:sz w:val="24"/>
          <w:vertAlign w:val="subscript"/>
          <w14:textFill>
            <w14:solidFill>
              <w14:schemeClr w14:val="tx1"/>
            </w14:solidFill>
          </w14:textFill>
        </w:rPr>
        <w:t>max</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4</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5</w:t>
      </w:r>
    </w:p>
    <w:p w14:paraId="654C2FB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V总</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事故排水储存设施的总有效容积（即事故排水总量），m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14:paraId="36CE506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(V</w:t>
      </w:r>
      <w:r>
        <w:rPr>
          <w:rFonts w:hint="eastAsia"/>
          <w:color w:val="000000" w:themeColor="text1"/>
          <w:sz w:val="24"/>
          <w:vertAlign w:val="subscript"/>
          <w14:textFill>
            <w14:solidFill>
              <w14:schemeClr w14:val="tx1"/>
            </w14:solidFill>
          </w14:textFill>
        </w:rPr>
        <w:t>1</w:t>
      </w:r>
      <w:r>
        <w:rPr>
          <w:rFonts w:hint="eastAsia"/>
          <w:color w:val="000000" w:themeColor="text1"/>
          <w:sz w:val="24"/>
          <w14:textFill>
            <w14:solidFill>
              <w14:schemeClr w14:val="tx1"/>
            </w14:solidFill>
          </w14:textFill>
        </w:rPr>
        <w:t xml:space="preserve"> + V</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–V</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w:t>
      </w:r>
      <w:r>
        <w:rPr>
          <w:rFonts w:hint="eastAsia"/>
          <w:color w:val="000000" w:themeColor="text1"/>
          <w:sz w:val="24"/>
          <w:vertAlign w:val="subscript"/>
          <w14:textFill>
            <w14:solidFill>
              <w14:schemeClr w14:val="tx1"/>
            </w14:solidFill>
          </w14:textFill>
        </w:rPr>
        <w:t>max</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对收集系统范围内不同罐组或装置分别计算(V</w:t>
      </w:r>
      <w:r>
        <w:rPr>
          <w:rFonts w:hint="eastAsia"/>
          <w:color w:val="000000" w:themeColor="text1"/>
          <w:sz w:val="24"/>
          <w:vertAlign w:val="subscript"/>
          <w14:textFill>
            <w14:solidFill>
              <w14:schemeClr w14:val="tx1"/>
            </w14:solidFill>
          </w14:textFill>
        </w:rPr>
        <w:t>1</w:t>
      </w:r>
      <w:r>
        <w:rPr>
          <w:rFonts w:hint="eastAsia"/>
          <w:color w:val="000000" w:themeColor="text1"/>
          <w:sz w:val="24"/>
          <w14:textFill>
            <w14:solidFill>
              <w14:schemeClr w14:val="tx1"/>
            </w14:solidFill>
          </w14:textFill>
        </w:rPr>
        <w:t>+V</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–V</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)，取其中最大值。</w:t>
      </w:r>
    </w:p>
    <w:p w14:paraId="6429B8BE">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V</w:t>
      </w:r>
      <w:r>
        <w:rPr>
          <w:rFonts w:hint="eastAsia"/>
          <w:color w:val="000000" w:themeColor="text1"/>
          <w:sz w:val="24"/>
          <w:vertAlign w:val="subscript"/>
          <w14:textFill>
            <w14:solidFill>
              <w14:schemeClr w14:val="tx1"/>
            </w14:solidFill>
          </w14:textFill>
        </w:rPr>
        <w:t>1</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收集系统范围内发生事故的一个罐组或一套装置的物料量，m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；储存相同物料的罐组按一个最大储罐计，装置物料量按存留最大物料量的一台反应（塔）器或中间储罐计，本项目</w:t>
      </w:r>
      <w:r>
        <w:rPr>
          <w:rFonts w:hint="eastAsia"/>
          <w:color w:val="000000" w:themeColor="text1"/>
          <w:position w:val="2"/>
          <w:sz w:val="24"/>
          <w14:textFill>
            <w14:solidFill>
              <w14:schemeClr w14:val="tx1"/>
            </w14:solidFill>
          </w14:textFill>
        </w:rPr>
        <w:t>取</w:t>
      </w:r>
      <w:r>
        <w:rPr>
          <w:color w:val="000000" w:themeColor="text1"/>
          <w:position w:val="2"/>
          <w:sz w:val="24"/>
          <w14:textFill>
            <w14:solidFill>
              <w14:schemeClr w14:val="tx1"/>
            </w14:solidFill>
          </w14:textFill>
        </w:rPr>
        <w:t>V</w:t>
      </w:r>
      <w:r>
        <w:rPr>
          <w:rFonts w:hint="eastAsia"/>
          <w:color w:val="000000" w:themeColor="text1"/>
          <w:position w:val="2"/>
          <w:sz w:val="24"/>
          <w:vertAlign w:val="subscript"/>
          <w14:textFill>
            <w14:solidFill>
              <w14:schemeClr w14:val="tx1"/>
            </w14:solidFill>
          </w14:textFill>
        </w:rPr>
        <w:t>1</w:t>
      </w:r>
      <w:r>
        <w:rPr>
          <w:color w:val="000000" w:themeColor="text1"/>
          <w:position w:val="2"/>
          <w:sz w:val="24"/>
          <w14:textFill>
            <w14:solidFill>
              <w14:schemeClr w14:val="tx1"/>
            </w14:solidFill>
          </w14:textFill>
        </w:rPr>
        <w:t>=</w:t>
      </w:r>
      <w:r>
        <w:rPr>
          <w:rFonts w:hint="eastAsia"/>
          <w:color w:val="000000" w:themeColor="text1"/>
          <w:position w:val="2"/>
          <w:sz w:val="24"/>
          <w14:textFill>
            <w14:solidFill>
              <w14:schemeClr w14:val="tx1"/>
            </w14:solidFill>
          </w14:textFill>
        </w:rPr>
        <w:t>0</w:t>
      </w:r>
      <w:r>
        <w:rPr>
          <w:color w:val="000000" w:themeColor="text1"/>
          <w:position w:val="2"/>
          <w:sz w:val="24"/>
          <w14:textFill>
            <w14:solidFill>
              <w14:schemeClr w14:val="tx1"/>
            </w14:solidFill>
          </w14:textFill>
        </w:rPr>
        <w:t>m</w:t>
      </w:r>
      <w:r>
        <w:rPr>
          <w:color w:val="000000" w:themeColor="text1"/>
          <w:position w:val="2"/>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14:paraId="522B0BDF">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V</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火灾延续时间内，事故发生区域范围内的消防用水量，m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14:paraId="6C1B8057">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V</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发生事故时可以储存、转运到其他设施的事故排水量，m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，本项目取0；</w:t>
      </w:r>
    </w:p>
    <w:p w14:paraId="3A636EC6">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V</w:t>
      </w:r>
      <w:r>
        <w:rPr>
          <w:rFonts w:hint="eastAsia"/>
          <w:color w:val="000000" w:themeColor="text1"/>
          <w:sz w:val="24"/>
          <w:vertAlign w:val="subscript"/>
          <w14:textFill>
            <w14:solidFill>
              <w14:schemeClr w14:val="tx1"/>
            </w14:solidFill>
          </w14:textFill>
        </w:rPr>
        <w:t>4</w:t>
      </w:r>
      <w:r>
        <w:rPr>
          <w:color w:val="000000" w:themeColor="text1"/>
          <w:sz w:val="24"/>
          <w:vertAlign w:val="subscript"/>
          <w14:textFill>
            <w14:solidFill>
              <w14:schemeClr w14:val="tx1"/>
            </w14:solidFill>
          </w14:textFill>
        </w:rPr>
        <w:t xml:space="preserve"> </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发生事故时必须进入事故排水收集系统的生产废水量，m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，本项目取0；</w:t>
      </w:r>
    </w:p>
    <w:p w14:paraId="74B105E6">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V</w:t>
      </w:r>
      <w:r>
        <w:rPr>
          <w:rFonts w:hint="eastAsia"/>
          <w:color w:val="000000" w:themeColor="text1"/>
          <w:sz w:val="24"/>
          <w:vertAlign w:val="subscript"/>
          <w14:textFill>
            <w14:solidFill>
              <w14:schemeClr w14:val="tx1"/>
            </w14:solidFill>
          </w14:textFill>
        </w:rPr>
        <w:t>5</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发生事故时可能进入该收集系统的降雨量，m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14:paraId="62D70B0F">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消防用水量（V</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w:t>
      </w:r>
    </w:p>
    <w:p w14:paraId="6ED018A9">
      <w:pPr>
        <w:spacing w:line="360" w:lineRule="auto"/>
        <w:ind w:firstLine="420" w:firstLineChars="200"/>
        <w:jc w:val="center"/>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1133475" cy="372745"/>
            <wp:effectExtent l="0" t="0" r="9525" b="8255"/>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pic:cNvPicPr>
                  </pic:nvPicPr>
                  <pic:blipFill>
                    <a:blip r:embed="rId12"/>
                    <a:stretch>
                      <a:fillRect/>
                    </a:stretch>
                  </pic:blipFill>
                  <pic:spPr>
                    <a:xfrm>
                      <a:off x="0" y="0"/>
                      <a:ext cx="1133475" cy="372745"/>
                    </a:xfrm>
                    <a:prstGeom prst="rect">
                      <a:avLst/>
                    </a:prstGeom>
                    <a:noFill/>
                    <a:ln>
                      <a:noFill/>
                    </a:ln>
                  </pic:spPr>
                </pic:pic>
              </a:graphicData>
            </a:graphic>
          </wp:inline>
        </w:drawing>
      </w:r>
    </w:p>
    <w:p w14:paraId="404EFFE9">
      <w:pPr>
        <w:spacing w:line="360" w:lineRule="auto"/>
        <w:ind w:firstLine="480" w:firstLineChars="200"/>
        <w:rPr>
          <w:color w:val="000000" w:themeColor="text1"/>
          <w:sz w:val="24"/>
          <w:u w:val="single"/>
          <w14:textFill>
            <w14:solidFill>
              <w14:schemeClr w14:val="tx1"/>
            </w14:solidFill>
          </w14:textFill>
        </w:rPr>
      </w:pPr>
      <w:r>
        <w:rPr>
          <w:rFonts w:hint="eastAsia"/>
          <w:color w:val="000000" w:themeColor="text1"/>
          <w:sz w:val="24"/>
          <w:u w:val="single"/>
          <w14:textFill>
            <w14:solidFill>
              <w14:schemeClr w14:val="tx1"/>
            </w14:solidFill>
          </w14:textFill>
        </w:rPr>
        <w:t>式中：</w:t>
      </w:r>
      <w:r>
        <w:rPr>
          <w:color w:val="000000" w:themeColor="text1"/>
          <w:sz w:val="24"/>
          <w:u w:val="single"/>
          <w14:textFill>
            <w14:solidFill>
              <w14:schemeClr w14:val="tx1"/>
            </w14:solidFill>
          </w14:textFill>
        </w:rPr>
        <w:t>Q</w:t>
      </w:r>
      <w:r>
        <w:rPr>
          <w:color w:val="000000" w:themeColor="text1"/>
          <w:sz w:val="24"/>
          <w:u w:val="single"/>
          <w:vertAlign w:val="subscript"/>
          <w14:textFill>
            <w14:solidFill>
              <w14:schemeClr w14:val="tx1"/>
            </w14:solidFill>
          </w14:textFill>
        </w:rPr>
        <w:t>消</w:t>
      </w:r>
      <w:r>
        <w:rPr>
          <w:color w:val="000000" w:themeColor="text1"/>
          <w:sz w:val="24"/>
          <w:u w:val="single"/>
          <w14:textFill>
            <w14:solidFill>
              <w14:schemeClr w14:val="tx1"/>
            </w14:solidFill>
          </w14:textFill>
        </w:rPr>
        <w:t>——发生事故的储罐或装置的同时使用的消防设施给水流量，m</w:t>
      </w:r>
      <w:r>
        <w:rPr>
          <w:color w:val="000000" w:themeColor="text1"/>
          <w:sz w:val="24"/>
          <w:u w:val="single"/>
          <w:vertAlign w:val="superscript"/>
          <w14:textFill>
            <w14:solidFill>
              <w14:schemeClr w14:val="tx1"/>
            </w14:solidFill>
          </w14:textFill>
        </w:rPr>
        <w:t>3</w:t>
      </w:r>
      <w:r>
        <w:rPr>
          <w:color w:val="000000" w:themeColor="text1"/>
          <w:sz w:val="24"/>
          <w:u w:val="single"/>
          <w14:textFill>
            <w14:solidFill>
              <w14:schemeClr w14:val="tx1"/>
            </w14:solidFill>
          </w14:textFill>
        </w:rPr>
        <w:t>/h；根据</w:t>
      </w:r>
      <w:r>
        <w:rPr>
          <w:rFonts w:hint="eastAsia"/>
          <w:color w:val="000000" w:themeColor="text1"/>
          <w:sz w:val="24"/>
          <w:u w:val="single"/>
          <w14:textFill>
            <w14:solidFill>
              <w14:schemeClr w14:val="tx1"/>
            </w14:solidFill>
          </w14:textFill>
        </w:rPr>
        <w:t>《</w:t>
      </w:r>
      <w:bookmarkStart w:id="25" w:name="OLE_LINK1"/>
      <w:r>
        <w:rPr>
          <w:rFonts w:hint="eastAsia"/>
          <w:color w:val="000000" w:themeColor="text1"/>
          <w:sz w:val="24"/>
          <w:u w:val="single"/>
          <w14:textFill>
            <w14:solidFill>
              <w14:schemeClr w14:val="tx1"/>
            </w14:solidFill>
          </w14:textFill>
        </w:rPr>
        <w:t>消防给水及消火栓系统技术规范</w:t>
      </w:r>
      <w:bookmarkEnd w:id="25"/>
      <w:r>
        <w:rPr>
          <w:rFonts w:hint="eastAsia"/>
          <w:color w:val="000000" w:themeColor="text1"/>
          <w:sz w:val="24"/>
          <w:u w:val="single"/>
          <w14:textFill>
            <w14:solidFill>
              <w14:schemeClr w14:val="tx1"/>
            </w14:solidFill>
          </w14:textFill>
        </w:rPr>
        <w:t>》</w:t>
      </w:r>
      <w:r>
        <w:rPr>
          <w:color w:val="000000" w:themeColor="text1"/>
          <w:sz w:val="24"/>
          <w:u w:val="single"/>
          <w14:textFill>
            <w14:solidFill>
              <w14:schemeClr w14:val="tx1"/>
            </w14:solidFill>
          </w14:textFill>
        </w:rPr>
        <w:t xml:space="preserve">（GB50974-2014），事故消防废水用量按 </w:t>
      </w:r>
      <w:r>
        <w:rPr>
          <w:rFonts w:hint="eastAsia"/>
          <w:color w:val="000000" w:themeColor="text1"/>
          <w:sz w:val="24"/>
          <w:u w:val="single"/>
          <w:lang w:val="en-US" w:eastAsia="zh-CN"/>
          <w14:textFill>
            <w14:solidFill>
              <w14:schemeClr w14:val="tx1"/>
            </w14:solidFill>
          </w14:textFill>
        </w:rPr>
        <w:t>2</w:t>
      </w:r>
      <w:r>
        <w:rPr>
          <w:color w:val="000000" w:themeColor="text1"/>
          <w:sz w:val="24"/>
          <w:u w:val="single"/>
          <w14:textFill>
            <w14:solidFill>
              <w14:schemeClr w14:val="tx1"/>
            </w14:solidFill>
          </w14:textFill>
        </w:rPr>
        <w:t>5L/s 计；</w:t>
      </w:r>
    </w:p>
    <w:p w14:paraId="31BC5281">
      <w:pPr>
        <w:spacing w:line="360" w:lineRule="auto"/>
        <w:ind w:firstLine="1200" w:firstLineChars="500"/>
        <w:rPr>
          <w:color w:val="000000" w:themeColor="text1"/>
          <w:sz w:val="24"/>
          <w:u w:val="single"/>
          <w14:textFill>
            <w14:solidFill>
              <w14:schemeClr w14:val="tx1"/>
            </w14:solidFill>
          </w14:textFill>
        </w:rPr>
      </w:pPr>
      <w:r>
        <w:rPr>
          <w:color w:val="000000" w:themeColor="text1"/>
          <w:sz w:val="24"/>
          <w:u w:val="single"/>
          <w14:textFill>
            <w14:solidFill>
              <w14:schemeClr w14:val="tx1"/>
            </w14:solidFill>
          </w14:textFill>
        </w:rPr>
        <w:t>t</w:t>
      </w:r>
      <w:r>
        <w:rPr>
          <w:color w:val="000000" w:themeColor="text1"/>
          <w:sz w:val="24"/>
          <w:u w:val="single"/>
          <w:vertAlign w:val="subscript"/>
          <w14:textFill>
            <w14:solidFill>
              <w14:schemeClr w14:val="tx1"/>
            </w14:solidFill>
          </w14:textFill>
        </w:rPr>
        <w:t>消</w:t>
      </w:r>
      <w:r>
        <w:rPr>
          <w:color w:val="000000" w:themeColor="text1"/>
          <w:sz w:val="24"/>
          <w:u w:val="single"/>
          <w14:textFill>
            <w14:solidFill>
              <w14:schemeClr w14:val="tx1"/>
            </w14:solidFill>
          </w14:textFill>
        </w:rPr>
        <w:t>——消防设施对应的设计消防历时，h；本项目事故持续时间假定为</w:t>
      </w:r>
      <w:r>
        <w:rPr>
          <w:rFonts w:hint="eastAsia"/>
          <w:color w:val="000000" w:themeColor="text1"/>
          <w:sz w:val="24"/>
          <w:u w:val="single"/>
          <w:lang w:val="en-US" w:eastAsia="zh-CN"/>
          <w14:textFill>
            <w14:solidFill>
              <w14:schemeClr w14:val="tx1"/>
            </w14:solidFill>
          </w14:textFill>
        </w:rPr>
        <w:t>1</w:t>
      </w:r>
      <w:r>
        <w:rPr>
          <w:color w:val="000000" w:themeColor="text1"/>
          <w:sz w:val="24"/>
          <w:u w:val="single"/>
          <w14:textFill>
            <w14:solidFill>
              <w14:schemeClr w14:val="tx1"/>
            </w14:solidFill>
          </w14:textFill>
        </w:rPr>
        <w:t>h，故一次事故收集的消防废水量为</w:t>
      </w:r>
      <w:r>
        <w:rPr>
          <w:rFonts w:hint="eastAsia"/>
          <w:color w:val="000000" w:themeColor="text1"/>
          <w:sz w:val="24"/>
          <w:u w:val="single"/>
          <w:lang w:val="en-US" w:eastAsia="zh-CN"/>
          <w14:textFill>
            <w14:solidFill>
              <w14:schemeClr w14:val="tx1"/>
            </w14:solidFill>
          </w14:textFill>
        </w:rPr>
        <w:t>90</w:t>
      </w:r>
      <w:r>
        <w:rPr>
          <w:color w:val="000000" w:themeColor="text1"/>
          <w:sz w:val="24"/>
          <w:u w:val="single"/>
          <w14:textFill>
            <w14:solidFill>
              <w14:schemeClr w14:val="tx1"/>
            </w14:solidFill>
          </w14:textFill>
        </w:rPr>
        <w:t>m</w:t>
      </w:r>
      <w:r>
        <w:rPr>
          <w:color w:val="000000" w:themeColor="text1"/>
          <w:sz w:val="24"/>
          <w:u w:val="single"/>
          <w:vertAlign w:val="superscript"/>
          <w14:textFill>
            <w14:solidFill>
              <w14:schemeClr w14:val="tx1"/>
            </w14:solidFill>
          </w14:textFill>
        </w:rPr>
        <w:t>3</w:t>
      </w:r>
      <w:r>
        <w:rPr>
          <w:color w:val="000000" w:themeColor="text1"/>
          <w:sz w:val="24"/>
          <w:u w:val="single"/>
          <w14:textFill>
            <w14:solidFill>
              <w14:schemeClr w14:val="tx1"/>
            </w14:solidFill>
          </w14:textFill>
        </w:rPr>
        <w:t>。</w:t>
      </w:r>
    </w:p>
    <w:p w14:paraId="20B5F5EF">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雨水量(V</w:t>
      </w:r>
      <w:r>
        <w:rPr>
          <w:color w:val="000000" w:themeColor="text1"/>
          <w:sz w:val="24"/>
          <w:vertAlign w:val="subscript"/>
          <w14:textFill>
            <w14:solidFill>
              <w14:schemeClr w14:val="tx1"/>
            </w14:solidFill>
          </w14:textFill>
        </w:rPr>
        <w:t>雨</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p>
    <w:p w14:paraId="7FA887D8">
      <w:pPr>
        <w:spacing w:line="360" w:lineRule="auto"/>
        <w:ind w:firstLine="480" w:firstLineChars="20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雨水量(V</w:t>
      </w:r>
      <w:r>
        <w:rPr>
          <w:color w:val="000000" w:themeColor="text1"/>
          <w:sz w:val="24"/>
          <w:vertAlign w:val="subscript"/>
          <w14:textFill>
            <w14:solidFill>
              <w14:schemeClr w14:val="tx1"/>
            </w14:solidFill>
          </w14:textFill>
        </w:rPr>
        <w:t>雨</w:t>
      </w:r>
      <w:r>
        <w:rPr>
          <w:color w:val="000000" w:themeColor="text1"/>
          <w:sz w:val="24"/>
          <w14:textFill>
            <w14:solidFill>
              <w14:schemeClr w14:val="tx1"/>
            </w14:solidFill>
          </w14:textFill>
        </w:rPr>
        <w:t>)=10qF</w:t>
      </w:r>
    </w:p>
    <w:p w14:paraId="7F70683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p>
    <w:p w14:paraId="165C1F9E">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雨</w:t>
      </w:r>
      <w:r>
        <w:rPr>
          <w:color w:val="000000" w:themeColor="text1"/>
          <w:sz w:val="24"/>
          <w14:textFill>
            <w14:solidFill>
              <w14:schemeClr w14:val="tx1"/>
            </w14:solidFill>
          </w14:textFill>
        </w:rPr>
        <w:t>——发生事故时可能进入该收集系统的降雨量，m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14:paraId="6735A512">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q——降雨强度，mm；按平均日降雨量；</w:t>
      </w:r>
    </w:p>
    <w:p w14:paraId="100A97FB">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qa——年平均降雨量，mm；</w:t>
      </w:r>
      <w:r>
        <w:rPr>
          <w:rFonts w:hint="eastAsia"/>
          <w:color w:val="000000" w:themeColor="text1"/>
          <w:sz w:val="24"/>
          <w14:textFill>
            <w14:solidFill>
              <w14:schemeClr w14:val="tx1"/>
            </w14:solidFill>
          </w14:textFill>
        </w:rPr>
        <w:t>钦州</w:t>
      </w:r>
      <w:r>
        <w:rPr>
          <w:color w:val="000000" w:themeColor="text1"/>
          <w:sz w:val="24"/>
          <w14:textFill>
            <w14:solidFill>
              <w14:schemeClr w14:val="tx1"/>
            </w14:solidFill>
          </w14:textFill>
        </w:rPr>
        <w:t>市年平均降雨量，取qa=</w:t>
      </w:r>
      <w:r>
        <w:rPr>
          <w:rFonts w:hint="eastAsia"/>
          <w:color w:val="000000" w:themeColor="text1"/>
          <w:sz w:val="24"/>
          <w14:textFill>
            <w14:solidFill>
              <w14:schemeClr w14:val="tx1"/>
            </w14:solidFill>
          </w14:textFill>
        </w:rPr>
        <w:t>2252.2</w:t>
      </w:r>
      <w:r>
        <w:rPr>
          <w:color w:val="000000" w:themeColor="text1"/>
          <w:sz w:val="24"/>
          <w14:textFill>
            <w14:solidFill>
              <w14:schemeClr w14:val="tx1"/>
            </w14:solidFill>
          </w14:textFill>
        </w:rPr>
        <w:t>mm；</w:t>
      </w:r>
    </w:p>
    <w:p w14:paraId="01753601">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n——年平均降雨日数。n取1</w:t>
      </w: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0天；</w:t>
      </w:r>
    </w:p>
    <w:p w14:paraId="08A57239">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F——必须进入事故废水收集系统的雨水汇水面积，ha；F=</w:t>
      </w:r>
      <w:r>
        <w:rPr>
          <w:rFonts w:hint="eastAsia"/>
          <w:color w:val="000000" w:themeColor="text1"/>
          <w:sz w:val="24"/>
          <w14:textFill>
            <w14:solidFill>
              <w14:schemeClr w14:val="tx1"/>
            </w14:solidFill>
          </w14:textFill>
        </w:rPr>
        <w:t>0.9</w:t>
      </w:r>
      <w:r>
        <w:rPr>
          <w:color w:val="000000" w:themeColor="text1"/>
          <w:sz w:val="24"/>
          <w14:textFill>
            <w14:solidFill>
              <w14:schemeClr w14:val="tx1"/>
            </w14:solidFill>
          </w14:textFill>
        </w:rPr>
        <w:t>ha；</w:t>
      </w:r>
    </w:p>
    <w:p w14:paraId="7FDA9D0D">
      <w:pPr>
        <w:pStyle w:val="23"/>
        <w:spacing w:after="0" w:line="360" w:lineRule="auto"/>
        <w:ind w:left="0" w:leftChars="0" w:firstLine="480"/>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计算得雨水量为</w:t>
      </w:r>
      <w:r>
        <w:rPr>
          <w:rFonts w:hint="eastAsia" w:eastAsia="宋体"/>
          <w:color w:val="000000" w:themeColor="text1"/>
          <w:sz w:val="24"/>
          <w14:textFill>
            <w14:solidFill>
              <w14:schemeClr w14:val="tx1"/>
            </w14:solidFill>
          </w14:textFill>
        </w:rPr>
        <w:t>119.2m</w:t>
      </w:r>
      <w:r>
        <w:rPr>
          <w:rFonts w:eastAsia="宋体"/>
          <w:color w:val="000000" w:themeColor="text1"/>
          <w:sz w:val="24"/>
          <w:vertAlign w:val="superscript"/>
          <w14:textFill>
            <w14:solidFill>
              <w14:schemeClr w14:val="tx1"/>
            </w14:solidFill>
          </w14:textFill>
        </w:rPr>
        <w:t>3</w:t>
      </w:r>
      <w:r>
        <w:rPr>
          <w:rFonts w:hint="eastAsia" w:eastAsia="宋体"/>
          <w:color w:val="000000" w:themeColor="text1"/>
          <w:sz w:val="24"/>
          <w14:textFill>
            <w14:solidFill>
              <w14:schemeClr w14:val="tx1"/>
            </w14:solidFill>
          </w14:textFill>
        </w:rPr>
        <w:t>。</w:t>
      </w:r>
    </w:p>
    <w:p w14:paraId="2B9B47B4">
      <w:pPr>
        <w:spacing w:line="360" w:lineRule="auto"/>
        <w:ind w:firstLine="480" w:firstLineChars="200"/>
        <w:rPr>
          <w:color w:val="000000" w:themeColor="text1"/>
          <w:sz w:val="24"/>
          <w:u w:val="single"/>
          <w14:textFill>
            <w14:solidFill>
              <w14:schemeClr w14:val="tx1"/>
            </w14:solidFill>
          </w14:textFill>
        </w:rPr>
      </w:pPr>
      <w:r>
        <w:rPr>
          <w:rFonts w:hint="eastAsia"/>
          <w:color w:val="000000" w:themeColor="text1"/>
          <w:sz w:val="24"/>
          <w14:textFill>
            <w14:solidFill>
              <w14:schemeClr w14:val="tx1"/>
            </w14:solidFill>
          </w14:textFill>
        </w:rPr>
        <w:t>根据计算可知，企业</w:t>
      </w:r>
      <w:r>
        <w:rPr>
          <w:color w:val="000000" w:themeColor="text1"/>
          <w:sz w:val="24"/>
          <w14:textFill>
            <w14:solidFill>
              <w14:schemeClr w14:val="tx1"/>
            </w14:solidFill>
          </w14:textFill>
        </w:rPr>
        <w:t>应准备的最小事故应急池容积为：</w:t>
      </w:r>
      <w:r>
        <w:rPr>
          <w:color w:val="000000" w:themeColor="text1"/>
          <w:sz w:val="24"/>
          <w:u w:val="single"/>
          <w14:textFill>
            <w14:solidFill>
              <w14:schemeClr w14:val="tx1"/>
            </w14:solidFill>
          </w14:textFill>
        </w:rPr>
        <w:t>V</w:t>
      </w:r>
      <w:r>
        <w:rPr>
          <w:color w:val="000000" w:themeColor="text1"/>
          <w:sz w:val="24"/>
          <w:u w:val="single"/>
          <w:vertAlign w:val="subscript"/>
          <w14:textFill>
            <w14:solidFill>
              <w14:schemeClr w14:val="tx1"/>
            </w14:solidFill>
          </w14:textFill>
        </w:rPr>
        <w:t>事故</w:t>
      </w:r>
      <w:r>
        <w:rPr>
          <w:rFonts w:hint="eastAsia"/>
          <w:color w:val="000000" w:themeColor="text1"/>
          <w:sz w:val="24"/>
          <w:u w:val="single"/>
          <w:vertAlign w:val="subscript"/>
          <w14:textFill>
            <w14:solidFill>
              <w14:schemeClr w14:val="tx1"/>
            </w14:solidFill>
          </w14:textFill>
        </w:rPr>
        <w:t>应急</w:t>
      </w:r>
      <w:r>
        <w:rPr>
          <w:color w:val="000000" w:themeColor="text1"/>
          <w:sz w:val="24"/>
          <w:u w:val="single"/>
          <w:vertAlign w:val="subscript"/>
          <w14:textFill>
            <w14:solidFill>
              <w14:schemeClr w14:val="tx1"/>
            </w14:solidFill>
          </w14:textFill>
        </w:rPr>
        <w:t>池</w:t>
      </w:r>
      <w:r>
        <w:rPr>
          <w:color w:val="000000" w:themeColor="text1"/>
          <w:sz w:val="24"/>
          <w:u w:val="single"/>
          <w14:textFill>
            <w14:solidFill>
              <w14:schemeClr w14:val="tx1"/>
            </w14:solidFill>
          </w14:textFill>
        </w:rPr>
        <w:t>=</w:t>
      </w:r>
      <w:r>
        <w:rPr>
          <w:rFonts w:hint="eastAsia"/>
          <w:color w:val="000000" w:themeColor="text1"/>
          <w:sz w:val="24"/>
          <w:u w:val="single"/>
          <w:lang w:val="en-US" w:eastAsia="zh-CN"/>
          <w14:textFill>
            <w14:solidFill>
              <w14:schemeClr w14:val="tx1"/>
            </w14:solidFill>
          </w14:textFill>
        </w:rPr>
        <w:t>209.2</w:t>
      </w:r>
      <w:r>
        <w:rPr>
          <w:color w:val="000000" w:themeColor="text1"/>
          <w:sz w:val="24"/>
          <w:u w:val="single"/>
          <w14:textFill>
            <w14:solidFill>
              <w14:schemeClr w14:val="tx1"/>
            </w14:solidFill>
          </w14:textFill>
        </w:rPr>
        <w:t>m</w:t>
      </w:r>
      <w:r>
        <w:rPr>
          <w:color w:val="000000" w:themeColor="text1"/>
          <w:sz w:val="24"/>
          <w:u w:val="single"/>
          <w:vertAlign w:val="superscript"/>
          <w14:textFill>
            <w14:solidFill>
              <w14:schemeClr w14:val="tx1"/>
            </w14:solidFill>
          </w14:textFill>
        </w:rPr>
        <w:t>3</w:t>
      </w:r>
      <w:r>
        <w:rPr>
          <w:color w:val="000000" w:themeColor="text1"/>
          <w:sz w:val="24"/>
          <w:u w:val="single"/>
          <w14:textFill>
            <w14:solidFill>
              <w14:schemeClr w14:val="tx1"/>
            </w14:solidFill>
          </w14:textFill>
        </w:rPr>
        <w:t>，事故应急池应预留10%的空间，因此事故应急池</w:t>
      </w:r>
      <w:r>
        <w:rPr>
          <w:rFonts w:hint="eastAsia"/>
          <w:color w:val="000000" w:themeColor="text1"/>
          <w:sz w:val="24"/>
          <w:u w:val="single"/>
          <w14:textFill>
            <w14:solidFill>
              <w14:schemeClr w14:val="tx1"/>
            </w14:solidFill>
          </w14:textFill>
        </w:rPr>
        <w:t>容积应大于</w:t>
      </w:r>
      <w:r>
        <w:rPr>
          <w:rFonts w:hint="eastAsia"/>
          <w:color w:val="000000" w:themeColor="text1"/>
          <w:sz w:val="24"/>
          <w:u w:val="single"/>
          <w:lang w:val="en-US" w:eastAsia="zh-CN"/>
          <w14:textFill>
            <w14:solidFill>
              <w14:schemeClr w14:val="tx1"/>
            </w14:solidFill>
          </w14:textFill>
        </w:rPr>
        <w:t>230.12</w:t>
      </w:r>
      <w:r>
        <w:rPr>
          <w:color w:val="000000" w:themeColor="text1"/>
          <w:sz w:val="24"/>
          <w:u w:val="single"/>
          <w14:textFill>
            <w14:solidFill>
              <w14:schemeClr w14:val="tx1"/>
            </w14:solidFill>
          </w14:textFill>
        </w:rPr>
        <w:t>m</w:t>
      </w:r>
      <w:r>
        <w:rPr>
          <w:color w:val="000000" w:themeColor="text1"/>
          <w:sz w:val="24"/>
          <w:u w:val="single"/>
          <w:vertAlign w:val="superscript"/>
          <w14:textFill>
            <w14:solidFill>
              <w14:schemeClr w14:val="tx1"/>
            </w14:solidFill>
          </w14:textFill>
        </w:rPr>
        <w:t>3</w:t>
      </w:r>
      <w:r>
        <w:rPr>
          <w:color w:val="000000" w:themeColor="text1"/>
          <w:sz w:val="24"/>
          <w:u w:val="single"/>
          <w14:textFill>
            <w14:solidFill>
              <w14:schemeClr w14:val="tx1"/>
            </w14:solidFill>
          </w14:textFill>
        </w:rPr>
        <w:t>。建设单位拟在厂区设置</w:t>
      </w:r>
      <w:r>
        <w:rPr>
          <w:rFonts w:hint="eastAsia"/>
          <w:color w:val="000000" w:themeColor="text1"/>
          <w:sz w:val="24"/>
          <w:u w:val="single"/>
          <w:lang w:val="en-US" w:eastAsia="zh-CN"/>
          <w14:textFill>
            <w14:solidFill>
              <w14:schemeClr w14:val="tx1"/>
            </w14:solidFill>
          </w14:textFill>
        </w:rPr>
        <w:t>2</w:t>
      </w:r>
      <w:r>
        <w:rPr>
          <w:rFonts w:hint="eastAsia"/>
          <w:color w:val="000000" w:themeColor="text1"/>
          <w:sz w:val="24"/>
          <w:u w:val="single"/>
          <w14:textFill>
            <w14:solidFill>
              <w14:schemeClr w14:val="tx1"/>
            </w14:solidFill>
          </w14:textFill>
        </w:rPr>
        <w:t>50</w:t>
      </w:r>
      <w:r>
        <w:rPr>
          <w:color w:val="000000" w:themeColor="text1"/>
          <w:sz w:val="24"/>
          <w:u w:val="single"/>
          <w14:textFill>
            <w14:solidFill>
              <w14:schemeClr w14:val="tx1"/>
            </w14:solidFill>
          </w14:textFill>
        </w:rPr>
        <w:t>m</w:t>
      </w:r>
      <w:r>
        <w:rPr>
          <w:color w:val="000000" w:themeColor="text1"/>
          <w:sz w:val="24"/>
          <w:u w:val="single"/>
          <w:vertAlign w:val="superscript"/>
          <w14:textFill>
            <w14:solidFill>
              <w14:schemeClr w14:val="tx1"/>
            </w14:solidFill>
          </w14:textFill>
        </w:rPr>
        <w:t>3</w:t>
      </w:r>
      <w:r>
        <w:rPr>
          <w:color w:val="000000" w:themeColor="text1"/>
          <w:sz w:val="24"/>
          <w:u w:val="single"/>
          <w14:textFill>
            <w14:solidFill>
              <w14:schemeClr w14:val="tx1"/>
            </w14:solidFill>
          </w14:textFill>
        </w:rPr>
        <w:t>的事故应急池，</w:t>
      </w:r>
      <w:r>
        <w:rPr>
          <w:rFonts w:hint="eastAsia"/>
          <w:color w:val="000000" w:themeColor="text1"/>
          <w:sz w:val="24"/>
          <w:u w:val="single"/>
          <w:lang w:val="en-US" w:eastAsia="zh-CN"/>
          <w14:textFill>
            <w14:solidFill>
              <w14:schemeClr w14:val="tx1"/>
            </w14:solidFill>
          </w14:textFill>
        </w:rPr>
        <w:t>2</w:t>
      </w:r>
      <w:r>
        <w:rPr>
          <w:rFonts w:hint="eastAsia"/>
          <w:color w:val="000000" w:themeColor="text1"/>
          <w:sz w:val="24"/>
          <w:u w:val="single"/>
          <w14:textFill>
            <w14:solidFill>
              <w14:schemeClr w14:val="tx1"/>
            </w14:solidFill>
          </w14:textFill>
        </w:rPr>
        <w:t>50</w:t>
      </w:r>
      <w:r>
        <w:rPr>
          <w:color w:val="000000" w:themeColor="text1"/>
          <w:sz w:val="24"/>
          <w:u w:val="single"/>
          <w14:textFill>
            <w14:solidFill>
              <w14:schemeClr w14:val="tx1"/>
            </w14:solidFill>
          </w14:textFill>
        </w:rPr>
        <w:t>m</w:t>
      </w:r>
      <w:r>
        <w:rPr>
          <w:color w:val="000000" w:themeColor="text1"/>
          <w:sz w:val="24"/>
          <w:u w:val="single"/>
          <w:vertAlign w:val="superscript"/>
          <w14:textFill>
            <w14:solidFill>
              <w14:schemeClr w14:val="tx1"/>
            </w14:solidFill>
          </w14:textFill>
        </w:rPr>
        <w:t>3</w:t>
      </w:r>
      <w:r>
        <w:rPr>
          <w:color w:val="000000" w:themeColor="text1"/>
          <w:sz w:val="24"/>
          <w:u w:val="single"/>
          <w14:textFill>
            <w14:solidFill>
              <w14:schemeClr w14:val="tx1"/>
            </w14:solidFill>
          </w14:textFill>
        </w:rPr>
        <w:t>＞</w:t>
      </w:r>
      <w:r>
        <w:rPr>
          <w:rFonts w:hint="eastAsia"/>
          <w:color w:val="000000" w:themeColor="text1"/>
          <w:sz w:val="24"/>
          <w:u w:val="single"/>
          <w:lang w:val="en-US" w:eastAsia="zh-CN"/>
          <w14:textFill>
            <w14:solidFill>
              <w14:schemeClr w14:val="tx1"/>
            </w14:solidFill>
          </w14:textFill>
        </w:rPr>
        <w:t>230.12</w:t>
      </w:r>
      <w:r>
        <w:rPr>
          <w:color w:val="000000" w:themeColor="text1"/>
          <w:sz w:val="24"/>
          <w:u w:val="single"/>
          <w14:textFill>
            <w14:solidFill>
              <w14:schemeClr w14:val="tx1"/>
            </w14:solidFill>
          </w14:textFill>
        </w:rPr>
        <w:t>m</w:t>
      </w:r>
      <w:r>
        <w:rPr>
          <w:color w:val="000000" w:themeColor="text1"/>
          <w:sz w:val="24"/>
          <w:u w:val="single"/>
          <w:vertAlign w:val="superscript"/>
          <w14:textFill>
            <w14:solidFill>
              <w14:schemeClr w14:val="tx1"/>
            </w14:solidFill>
          </w14:textFill>
        </w:rPr>
        <w:t>3</w:t>
      </w:r>
      <w:r>
        <w:rPr>
          <w:color w:val="000000" w:themeColor="text1"/>
          <w:sz w:val="24"/>
          <w:u w:val="single"/>
          <w14:textFill>
            <w14:solidFill>
              <w14:schemeClr w14:val="tx1"/>
            </w14:solidFill>
          </w14:textFill>
        </w:rPr>
        <w:t>，可满足需求。</w:t>
      </w:r>
    </w:p>
    <w:p w14:paraId="7F1A9BD4">
      <w:pPr>
        <w:pStyle w:val="23"/>
        <w:ind w:left="0" w:leftChars="0"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542280" cy="3150235"/>
            <wp:effectExtent l="0" t="0" r="127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542280" cy="3150235"/>
                    </a:xfrm>
                    <a:prstGeom prst="rect">
                      <a:avLst/>
                    </a:prstGeom>
                    <a:noFill/>
                    <a:ln>
                      <a:noFill/>
                    </a:ln>
                  </pic:spPr>
                </pic:pic>
              </a:graphicData>
            </a:graphic>
          </wp:inline>
        </w:drawing>
      </w:r>
    </w:p>
    <w:p w14:paraId="3AD9133F">
      <w:pPr>
        <w:jc w:val="center"/>
        <w:rPr>
          <w:b/>
          <w:bCs/>
          <w:color w:val="000000" w:themeColor="text1"/>
          <w14:textFill>
            <w14:solidFill>
              <w14:schemeClr w14:val="tx1"/>
            </w14:solidFill>
          </w14:textFill>
        </w:rPr>
      </w:pPr>
      <w:r>
        <w:rPr>
          <w:rFonts w:hint="eastAsia"/>
          <w:b/>
          <w:bCs/>
          <w:color w:val="000000" w:themeColor="text1"/>
          <w:sz w:val="24"/>
          <w14:textFill>
            <w14:solidFill>
              <w14:schemeClr w14:val="tx1"/>
            </w14:solidFill>
          </w14:textFill>
        </w:rPr>
        <w:t>图3-1  事故废水走向示意图</w:t>
      </w:r>
    </w:p>
    <w:p w14:paraId="5F2FB480">
      <w:pPr>
        <w:autoSpaceDE w:val="0"/>
        <w:autoSpaceDN w:val="0"/>
        <w:spacing w:line="500" w:lineRule="exact"/>
        <w:ind w:left="116" w:right="275" w:firstLine="720" w:firstLineChars="300"/>
        <w:rPr>
          <w:color w:val="000000" w:themeColor="text1"/>
          <w14:textFill>
            <w14:solidFill>
              <w14:schemeClr w14:val="tx1"/>
            </w14:solidFill>
          </w14:textFill>
        </w:rPr>
      </w:pPr>
      <w:r>
        <w:rPr>
          <w:rFonts w:hint="eastAsia"/>
          <w:color w:val="000000" w:themeColor="text1"/>
          <w:position w:val="2"/>
          <w:sz w:val="24"/>
          <w14:textFill>
            <w14:solidFill>
              <w14:schemeClr w14:val="tx1"/>
            </w14:solidFill>
          </w14:textFill>
        </w:rPr>
        <w:t>携带物料的消防水收集后送入事故池，通过调节和切换，分批（限流）送入排入大榄坪污水处理厂进行处理，最终经由其处理达标后深海排放。雨水管网排放口设置切换阀，作为事故废水的调控手段，可确保发生较大或重大事故时泄漏物料和污染消防废水控制在厂区，事故应急池等必须进行防渗处理，经采取上述措施后，事故状态下产生的废水对周围环境的影响较小。</w:t>
      </w:r>
    </w:p>
    <w:p w14:paraId="161E0907">
      <w:pPr>
        <w:pStyle w:val="2"/>
        <w:rPr>
          <w:color w:val="000000" w:themeColor="text1"/>
          <w14:textFill>
            <w14:solidFill>
              <w14:schemeClr w14:val="tx1"/>
            </w14:solidFill>
          </w14:textFill>
        </w:rPr>
      </w:pPr>
      <w:bookmarkStart w:id="26" w:name="_Toc32033"/>
      <w:r>
        <w:rPr>
          <w:rFonts w:hint="eastAsia"/>
          <w:color w:val="000000" w:themeColor="text1"/>
          <w14:textFill>
            <w14:solidFill>
              <w14:schemeClr w14:val="tx1"/>
            </w14:solidFill>
          </w14:textFill>
        </w:rPr>
        <w:t>4</w:t>
      </w:r>
      <w:r>
        <w:rPr>
          <w:color w:val="000000" w:themeColor="text1"/>
          <w14:textFill>
            <w14:solidFill>
              <w14:schemeClr w14:val="tx1"/>
            </w14:solidFill>
          </w14:textFill>
        </w:rPr>
        <w:t>风险预测与评价</w:t>
      </w:r>
      <w:bookmarkEnd w:id="26"/>
    </w:p>
    <w:p w14:paraId="194D15CE">
      <w:pPr>
        <w:pStyle w:val="3"/>
        <w:spacing w:before="0" w:after="0" w:line="360" w:lineRule="auto"/>
        <w:rPr>
          <w:rFonts w:ascii="Times New Roman" w:hAnsi="Times New Roman" w:eastAsia="宋体"/>
          <w:b w:val="0"/>
          <w:bCs w:val="0"/>
          <w:color w:val="000000" w:themeColor="text1"/>
          <w:sz w:val="24"/>
          <w:szCs w:val="24"/>
          <w14:textFill>
            <w14:solidFill>
              <w14:schemeClr w14:val="tx1"/>
            </w14:solidFill>
          </w14:textFill>
        </w:rPr>
      </w:pPr>
      <w:bookmarkStart w:id="27" w:name="_Toc25972"/>
      <w:r>
        <w:rPr>
          <w:rFonts w:hint="eastAsia" w:ascii="Times New Roman" w:hAnsi="Times New Roman" w:eastAsia="宋体"/>
          <w:color w:val="000000" w:themeColor="text1"/>
          <w14:textFill>
            <w14:solidFill>
              <w14:schemeClr w14:val="tx1"/>
            </w14:solidFill>
          </w14:textFill>
        </w:rPr>
        <w:t>4</w:t>
      </w:r>
      <w:r>
        <w:rPr>
          <w:rFonts w:ascii="Times New Roman" w:hAnsi="Times New Roman" w:eastAsia="宋体"/>
          <w:color w:val="000000" w:themeColor="text1"/>
          <w14:textFill>
            <w14:solidFill>
              <w14:schemeClr w14:val="tx1"/>
            </w14:solidFill>
          </w14:textFill>
        </w:rPr>
        <w:t>.1</w:t>
      </w:r>
      <w:r>
        <w:rPr>
          <w:rFonts w:hint="eastAsia" w:ascii="Times New Roman" w:hAnsi="Times New Roman" w:eastAsia="宋体"/>
          <w:color w:val="000000" w:themeColor="text1"/>
          <w14:textFill>
            <w14:solidFill>
              <w14:schemeClr w14:val="tx1"/>
            </w14:solidFill>
          </w14:textFill>
        </w:rPr>
        <w:t>大气环境</w:t>
      </w:r>
      <w:r>
        <w:rPr>
          <w:rFonts w:ascii="Times New Roman" w:hAnsi="Times New Roman" w:eastAsia="宋体"/>
          <w:color w:val="000000" w:themeColor="text1"/>
          <w14:textFill>
            <w14:solidFill>
              <w14:schemeClr w14:val="tx1"/>
            </w14:solidFill>
          </w14:textFill>
        </w:rPr>
        <w:t>影响分析</w:t>
      </w:r>
      <w:bookmarkEnd w:id="27"/>
    </w:p>
    <w:p w14:paraId="3D4A4585">
      <w:pPr>
        <w:adjustRightInd w:val="0"/>
        <w:snapToGrid w:val="0"/>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4.1.1</w:t>
      </w:r>
      <w:r>
        <w:rPr>
          <w:b/>
          <w:bCs/>
          <w:color w:val="000000" w:themeColor="text1"/>
          <w:sz w:val="24"/>
          <w14:textFill>
            <w14:solidFill>
              <w14:schemeClr w14:val="tx1"/>
            </w14:solidFill>
          </w14:textFill>
        </w:rPr>
        <w:t>预测模式</w:t>
      </w:r>
    </w:p>
    <w:p w14:paraId="6559D64E">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（1）预测因子</w:t>
      </w:r>
    </w:p>
    <w:p w14:paraId="427F6A1E">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选取</w:t>
      </w:r>
      <w:r>
        <w:rPr>
          <w:rFonts w:hint="eastAsia"/>
          <w:color w:val="000000" w:themeColor="text1"/>
          <w:sz w:val="24"/>
          <w14:textFill>
            <w14:solidFill>
              <w14:schemeClr w14:val="tx1"/>
            </w14:solidFill>
          </w14:textFill>
        </w:rPr>
        <w:t>氨、二氧化硫</w:t>
      </w:r>
      <w:r>
        <w:rPr>
          <w:color w:val="000000" w:themeColor="text1"/>
          <w:sz w:val="24"/>
          <w14:textFill>
            <w14:solidFill>
              <w14:schemeClr w14:val="tx1"/>
            </w14:solidFill>
          </w14:textFill>
        </w:rPr>
        <w:t>作为预测因子，由于事故状态下污染物地面浓度远大于环境现状浓度，因此预测浓度不考虑叠加背景值。</w:t>
      </w:r>
    </w:p>
    <w:p w14:paraId="2D16DD70">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（2）预测模型筛选</w:t>
      </w:r>
    </w:p>
    <w:p w14:paraId="567F5D41">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氨气密度小于空气，属于轻质气体。</w:t>
      </w:r>
      <w:r>
        <w:rPr>
          <w:color w:val="000000" w:themeColor="text1"/>
          <w:sz w:val="24"/>
          <w14:textFill>
            <w14:solidFill>
              <w14:schemeClr w14:val="tx1"/>
            </w14:solidFill>
          </w14:textFill>
        </w:rPr>
        <w:t>根据《建设项目环境风险评价技术导则》（HJ169-2018）附录G大气风险预测推荐模型，</w:t>
      </w:r>
      <w:r>
        <w:rPr>
          <w:rFonts w:hint="eastAsia"/>
          <w:color w:val="000000" w:themeColor="text1"/>
          <w:sz w:val="24"/>
          <w14:textFill>
            <w14:solidFill>
              <w14:schemeClr w14:val="tx1"/>
            </w14:solidFill>
          </w14:textFill>
        </w:rPr>
        <w:t>AFTOX</w:t>
      </w:r>
      <w:r>
        <w:rPr>
          <w:color w:val="000000" w:themeColor="text1"/>
          <w:sz w:val="24"/>
          <w14:textFill>
            <w14:solidFill>
              <w14:schemeClr w14:val="tx1"/>
            </w14:solidFill>
          </w14:textFill>
        </w:rPr>
        <w:t>模型适用于平坦地形下中性气体和轻质气体排放以及液池蒸发气体的扩散模拟，可模拟连续排放或瞬时排放等。因此，项目</w:t>
      </w:r>
      <w:r>
        <w:rPr>
          <w:rFonts w:hint="eastAsia"/>
          <w:color w:val="000000" w:themeColor="text1"/>
          <w:sz w:val="24"/>
          <w14:textFill>
            <w14:solidFill>
              <w14:schemeClr w14:val="tx1"/>
            </w14:solidFill>
          </w14:textFill>
        </w:rPr>
        <w:t>氨的</w:t>
      </w:r>
      <w:r>
        <w:rPr>
          <w:color w:val="000000" w:themeColor="text1"/>
          <w:sz w:val="24"/>
          <w14:textFill>
            <w14:solidFill>
              <w14:schemeClr w14:val="tx1"/>
            </w14:solidFill>
          </w14:textFill>
        </w:rPr>
        <w:t>大气风险预测模型选择</w:t>
      </w:r>
      <w:r>
        <w:rPr>
          <w:rFonts w:hint="eastAsia"/>
          <w:color w:val="000000" w:themeColor="text1"/>
          <w:sz w:val="24"/>
          <w14:textFill>
            <w14:solidFill>
              <w14:schemeClr w14:val="tx1"/>
            </w14:solidFill>
          </w14:textFill>
        </w:rPr>
        <w:t>AFTOX</w:t>
      </w:r>
      <w:r>
        <w:rPr>
          <w:color w:val="000000" w:themeColor="text1"/>
          <w:sz w:val="24"/>
          <w14:textFill>
            <w14:solidFill>
              <w14:schemeClr w14:val="tx1"/>
            </w14:solidFill>
          </w14:textFill>
        </w:rPr>
        <w:t>模型进行。</w:t>
      </w:r>
    </w:p>
    <w:p w14:paraId="521648A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二氧化硫的密度大于空气，属于重质气体，</w:t>
      </w:r>
      <w:r>
        <w:rPr>
          <w:color w:val="000000" w:themeColor="text1"/>
          <w:sz w:val="24"/>
          <w14:textFill>
            <w14:solidFill>
              <w14:schemeClr w14:val="tx1"/>
            </w14:solidFill>
          </w14:textFill>
        </w:rPr>
        <w:t>根据《建设项目环境风险评价技术导则》（HJ169-2018）附录G大气风险预测推荐模型，</w:t>
      </w:r>
      <w:r>
        <w:rPr>
          <w:rFonts w:hint="eastAsia"/>
          <w:color w:val="000000" w:themeColor="text1"/>
          <w:sz w:val="24"/>
          <w14:textFill>
            <w14:solidFill>
              <w14:schemeClr w14:val="tx1"/>
            </w14:solidFill>
          </w14:textFill>
        </w:rPr>
        <w:t>SLAB模型适用于平坦地形下重质气体排放的扩散模拟。SLAB 模型处理的排放类型包括地面水平挥发池、抬升水平喷射、烟囱或抬升垂直喷射以及瞬时体源。</w:t>
      </w:r>
      <w:r>
        <w:rPr>
          <w:color w:val="000000" w:themeColor="text1"/>
          <w:sz w:val="24"/>
          <w14:textFill>
            <w14:solidFill>
              <w14:schemeClr w14:val="tx1"/>
            </w14:solidFill>
          </w14:textFill>
        </w:rPr>
        <w:t>因此，项目</w:t>
      </w:r>
      <w:r>
        <w:rPr>
          <w:rFonts w:hint="eastAsia"/>
          <w:color w:val="000000" w:themeColor="text1"/>
          <w:sz w:val="24"/>
          <w14:textFill>
            <w14:solidFill>
              <w14:schemeClr w14:val="tx1"/>
            </w14:solidFill>
          </w14:textFill>
        </w:rPr>
        <w:t>二氧化硫的</w:t>
      </w:r>
      <w:r>
        <w:rPr>
          <w:color w:val="000000" w:themeColor="text1"/>
          <w:sz w:val="24"/>
          <w14:textFill>
            <w14:solidFill>
              <w14:schemeClr w14:val="tx1"/>
            </w14:solidFill>
          </w14:textFill>
        </w:rPr>
        <w:t>大气风险预测模型选择</w:t>
      </w:r>
      <w:r>
        <w:rPr>
          <w:rFonts w:hint="eastAsia"/>
          <w:color w:val="000000" w:themeColor="text1"/>
          <w:sz w:val="24"/>
          <w14:textFill>
            <w14:solidFill>
              <w14:schemeClr w14:val="tx1"/>
            </w14:solidFill>
          </w14:textFill>
        </w:rPr>
        <w:t xml:space="preserve">SLAB </w:t>
      </w:r>
      <w:r>
        <w:rPr>
          <w:color w:val="000000" w:themeColor="text1"/>
          <w:sz w:val="24"/>
          <w14:textFill>
            <w14:solidFill>
              <w14:schemeClr w14:val="tx1"/>
            </w14:solidFill>
          </w14:textFill>
        </w:rPr>
        <w:t>模型进行。</w:t>
      </w:r>
    </w:p>
    <w:p w14:paraId="142C6C4E">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4.1.2</w:t>
      </w:r>
      <w:r>
        <w:rPr>
          <w:b/>
          <w:bCs/>
          <w:color w:val="000000" w:themeColor="text1"/>
          <w:sz w:val="24"/>
          <w14:textFill>
            <w14:solidFill>
              <w14:schemeClr w14:val="tx1"/>
            </w14:solidFill>
          </w14:textFill>
        </w:rPr>
        <w:t>预测气象参数选取及预测内容</w:t>
      </w:r>
    </w:p>
    <w:p w14:paraId="0743AE47">
      <w:pPr>
        <w:adjustRightInd w:val="0"/>
        <w:snapToGrid w:val="0"/>
        <w:spacing w:line="360" w:lineRule="auto"/>
        <w:ind w:firstLine="480" w:firstLineChars="200"/>
        <w:rPr>
          <w:color w:val="000000" w:themeColor="text1"/>
          <w:sz w:val="24"/>
          <w14:textFill>
            <w14:solidFill>
              <w14:schemeClr w14:val="tx1"/>
            </w14:solidFill>
          </w14:textFill>
        </w:rPr>
      </w:pPr>
      <w:r>
        <w:rPr>
          <w:snapToGrid w:val="0"/>
          <w:color w:val="000000" w:themeColor="text1"/>
          <w:kern w:val="18"/>
          <w:sz w:val="24"/>
          <w14:textFill>
            <w14:solidFill>
              <w14:schemeClr w14:val="tx1"/>
            </w14:solidFill>
          </w14:textFill>
        </w:rPr>
        <w:t>本项目风险评价等级为二级，根据</w:t>
      </w:r>
      <w:r>
        <w:rPr>
          <w:color w:val="000000" w:themeColor="text1"/>
          <w:sz w:val="24"/>
          <w14:textFill>
            <w14:solidFill>
              <w14:schemeClr w14:val="tx1"/>
            </w14:solidFill>
          </w14:textFill>
        </w:rPr>
        <w:t>《建设项目环境风险评价技术导则》（HJ169-2019）的要求，选取最不利气象条件进行后果预测。其中最不利气象条件取F类稳定度，1.5m/s风速，温度25℃，相对湿度50%。</w:t>
      </w:r>
    </w:p>
    <w:p w14:paraId="4A818746">
      <w:pPr>
        <w:adjustRightInd w:val="0"/>
        <w:snapToGrid w:val="0"/>
        <w:spacing w:line="360" w:lineRule="auto"/>
        <w:ind w:firstLine="480" w:firstLineChars="200"/>
        <w:rPr>
          <w:snapToGrid w:val="0"/>
          <w:color w:val="000000" w:themeColor="text1"/>
          <w:kern w:val="18"/>
          <w:sz w:val="24"/>
          <w14:textFill>
            <w14:solidFill>
              <w14:schemeClr w14:val="tx1"/>
            </w14:solidFill>
          </w14:textFill>
        </w:rPr>
      </w:pPr>
      <w:r>
        <w:rPr>
          <w:snapToGrid w:val="0"/>
          <w:color w:val="000000" w:themeColor="text1"/>
          <w:kern w:val="18"/>
          <w:sz w:val="24"/>
          <w14:textFill>
            <w14:solidFill>
              <w14:schemeClr w14:val="tx1"/>
            </w14:solidFill>
          </w14:textFill>
        </w:rPr>
        <w:t>假定发生</w:t>
      </w:r>
      <w:r>
        <w:rPr>
          <w:rFonts w:hint="eastAsia"/>
          <w:color w:val="000000" w:themeColor="text1"/>
          <w:sz w:val="24"/>
          <w14:textFill>
            <w14:solidFill>
              <w14:schemeClr w14:val="tx1"/>
            </w14:solidFill>
          </w14:textFill>
        </w:rPr>
        <w:t>硫酸铵</w:t>
      </w:r>
      <w:r>
        <w:rPr>
          <w:snapToGrid w:val="0"/>
          <w:color w:val="000000" w:themeColor="text1"/>
          <w:kern w:val="18"/>
          <w:sz w:val="24"/>
          <w14:textFill>
            <w14:solidFill>
              <w14:schemeClr w14:val="tx1"/>
            </w14:solidFill>
          </w14:textFill>
        </w:rPr>
        <w:t>泄漏</w:t>
      </w:r>
      <w:r>
        <w:rPr>
          <w:rFonts w:hint="eastAsia"/>
          <w:snapToGrid w:val="0"/>
          <w:color w:val="000000" w:themeColor="text1"/>
          <w:kern w:val="18"/>
          <w:sz w:val="24"/>
          <w14:textFill>
            <w14:solidFill>
              <w14:schemeClr w14:val="tx1"/>
            </w14:solidFill>
          </w14:textFill>
        </w:rPr>
        <w:t>受热分解</w:t>
      </w:r>
      <w:r>
        <w:rPr>
          <w:snapToGrid w:val="0"/>
          <w:color w:val="000000" w:themeColor="text1"/>
          <w:kern w:val="18"/>
          <w:sz w:val="24"/>
          <w14:textFill>
            <w14:solidFill>
              <w14:schemeClr w14:val="tx1"/>
            </w14:solidFill>
          </w14:textFill>
        </w:rPr>
        <w:t>事故，预测</w:t>
      </w:r>
      <w:r>
        <w:rPr>
          <w:rFonts w:hint="eastAsia"/>
          <w:color w:val="000000" w:themeColor="text1"/>
          <w:sz w:val="24"/>
          <w14:textFill>
            <w14:solidFill>
              <w14:schemeClr w14:val="tx1"/>
            </w14:solidFill>
          </w14:textFill>
        </w:rPr>
        <w:t>产生的氨、二氧化硫</w:t>
      </w:r>
      <w:r>
        <w:rPr>
          <w:snapToGrid w:val="0"/>
          <w:color w:val="000000" w:themeColor="text1"/>
          <w:kern w:val="18"/>
          <w:sz w:val="24"/>
          <w14:textFill>
            <w14:solidFill>
              <w14:schemeClr w14:val="tx1"/>
            </w14:solidFill>
          </w14:textFill>
        </w:rPr>
        <w:t>在事故发生30min内的影响范围和程度。</w:t>
      </w:r>
    </w:p>
    <w:p w14:paraId="662F6C15">
      <w:pPr>
        <w:pStyle w:val="23"/>
        <w:adjustRightInd w:val="0"/>
        <w:snapToGrid w:val="0"/>
        <w:spacing w:after="0"/>
        <w:ind w:left="0" w:leftChars="0" w:firstLine="0" w:firstLineChars="0"/>
        <w:jc w:val="center"/>
        <w:rPr>
          <w:rFonts w:eastAsia="宋体"/>
          <w:b/>
          <w:color w:val="000000" w:themeColor="text1"/>
          <w:sz w:val="24"/>
          <w14:textFill>
            <w14:solidFill>
              <w14:schemeClr w14:val="tx1"/>
            </w14:solidFill>
          </w14:textFill>
        </w:rPr>
      </w:pPr>
      <w:r>
        <w:rPr>
          <w:rFonts w:eastAsia="宋体"/>
          <w:b/>
          <w:color w:val="000000" w:themeColor="text1"/>
          <w:sz w:val="24"/>
          <w14:textFill>
            <w14:solidFill>
              <w14:schemeClr w14:val="tx1"/>
            </w14:solidFill>
          </w14:textFill>
        </w:rPr>
        <w:t>表</w:t>
      </w:r>
      <w:r>
        <w:rPr>
          <w:rFonts w:hint="eastAsia" w:eastAsia="宋体"/>
          <w:b/>
          <w:color w:val="000000" w:themeColor="text1"/>
          <w:sz w:val="24"/>
          <w14:textFill>
            <w14:solidFill>
              <w14:schemeClr w14:val="tx1"/>
            </w14:solidFill>
          </w14:textFill>
        </w:rPr>
        <w:t>4.1-1</w:t>
      </w:r>
      <w:r>
        <w:rPr>
          <w:rFonts w:eastAsia="宋体"/>
          <w:b/>
          <w:color w:val="000000" w:themeColor="text1"/>
          <w:sz w:val="24"/>
          <w14:textFill>
            <w14:solidFill>
              <w14:schemeClr w14:val="tx1"/>
            </w14:solidFill>
          </w14:textFill>
        </w:rPr>
        <w:t xml:space="preserve">  大气风险预测模型主要参数表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0"/>
        <w:gridCol w:w="2983"/>
        <w:gridCol w:w="2983"/>
      </w:tblGrid>
      <w:tr w14:paraId="64FB8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Align w:val="center"/>
          </w:tcPr>
          <w:p w14:paraId="445251C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参数情况</w:t>
            </w:r>
          </w:p>
        </w:tc>
        <w:tc>
          <w:tcPr>
            <w:tcW w:w="1667" w:type="pct"/>
            <w:vAlign w:val="center"/>
          </w:tcPr>
          <w:p w14:paraId="2518D5BA">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选项</w:t>
            </w:r>
          </w:p>
        </w:tc>
        <w:tc>
          <w:tcPr>
            <w:tcW w:w="1667" w:type="pct"/>
            <w:vAlign w:val="center"/>
          </w:tcPr>
          <w:p w14:paraId="44CC198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参数</w:t>
            </w:r>
          </w:p>
        </w:tc>
      </w:tr>
      <w:tr w14:paraId="2948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Merge w:val="restart"/>
            <w:vAlign w:val="center"/>
          </w:tcPr>
          <w:p w14:paraId="1F9ED7A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基本情况</w:t>
            </w:r>
          </w:p>
        </w:tc>
        <w:tc>
          <w:tcPr>
            <w:tcW w:w="1667" w:type="pct"/>
            <w:vAlign w:val="center"/>
          </w:tcPr>
          <w:p w14:paraId="2BC3053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事故源经度/（°）</w:t>
            </w:r>
          </w:p>
        </w:tc>
        <w:tc>
          <w:tcPr>
            <w:tcW w:w="1667" w:type="pct"/>
            <w:vAlign w:val="center"/>
          </w:tcPr>
          <w:p w14:paraId="73AC04F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108.661645</w:t>
            </w:r>
          </w:p>
        </w:tc>
      </w:tr>
      <w:tr w14:paraId="2003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Merge w:val="continue"/>
            <w:vAlign w:val="center"/>
          </w:tcPr>
          <w:p w14:paraId="58CAEACB">
            <w:pPr>
              <w:jc w:val="center"/>
              <w:rPr>
                <w:color w:val="000000" w:themeColor="text1"/>
                <w:szCs w:val="21"/>
                <w14:textFill>
                  <w14:solidFill>
                    <w14:schemeClr w14:val="tx1"/>
                  </w14:solidFill>
                </w14:textFill>
              </w:rPr>
            </w:pPr>
          </w:p>
        </w:tc>
        <w:tc>
          <w:tcPr>
            <w:tcW w:w="1667" w:type="pct"/>
            <w:vAlign w:val="center"/>
          </w:tcPr>
          <w:p w14:paraId="7B9E63A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事故源纬度/（°）</w:t>
            </w:r>
          </w:p>
        </w:tc>
        <w:tc>
          <w:tcPr>
            <w:tcW w:w="1667" w:type="pct"/>
            <w:vAlign w:val="center"/>
          </w:tcPr>
          <w:p w14:paraId="066306A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21.681162</w:t>
            </w:r>
          </w:p>
        </w:tc>
      </w:tr>
      <w:tr w14:paraId="6366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Merge w:val="continue"/>
            <w:vAlign w:val="center"/>
          </w:tcPr>
          <w:p w14:paraId="45A02D70">
            <w:pPr>
              <w:jc w:val="center"/>
              <w:rPr>
                <w:color w:val="000000" w:themeColor="text1"/>
                <w:szCs w:val="21"/>
                <w14:textFill>
                  <w14:solidFill>
                    <w14:schemeClr w14:val="tx1"/>
                  </w14:solidFill>
                </w14:textFill>
              </w:rPr>
            </w:pPr>
          </w:p>
        </w:tc>
        <w:tc>
          <w:tcPr>
            <w:tcW w:w="1667" w:type="pct"/>
            <w:vAlign w:val="center"/>
          </w:tcPr>
          <w:p w14:paraId="2CFBFF6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事故源类型</w:t>
            </w:r>
          </w:p>
        </w:tc>
        <w:tc>
          <w:tcPr>
            <w:tcW w:w="1667" w:type="pct"/>
            <w:vAlign w:val="center"/>
          </w:tcPr>
          <w:p w14:paraId="5A82B4F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硫酸铵泄漏分解</w:t>
            </w:r>
          </w:p>
        </w:tc>
      </w:tr>
      <w:tr w14:paraId="0E265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Merge w:val="restart"/>
            <w:vAlign w:val="center"/>
          </w:tcPr>
          <w:p w14:paraId="635FE7C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气象参数</w:t>
            </w:r>
          </w:p>
        </w:tc>
        <w:tc>
          <w:tcPr>
            <w:tcW w:w="1667" w:type="pct"/>
            <w:vAlign w:val="center"/>
          </w:tcPr>
          <w:p w14:paraId="714BB81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气象条件类型</w:t>
            </w:r>
          </w:p>
        </w:tc>
        <w:tc>
          <w:tcPr>
            <w:tcW w:w="1667" w:type="pct"/>
            <w:vAlign w:val="center"/>
          </w:tcPr>
          <w:p w14:paraId="00E28C2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最不利气象</w:t>
            </w:r>
          </w:p>
        </w:tc>
      </w:tr>
      <w:tr w14:paraId="7BD3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Merge w:val="continue"/>
            <w:vAlign w:val="center"/>
          </w:tcPr>
          <w:p w14:paraId="6EEF5839">
            <w:pPr>
              <w:jc w:val="center"/>
              <w:rPr>
                <w:color w:val="000000" w:themeColor="text1"/>
                <w:szCs w:val="21"/>
                <w14:textFill>
                  <w14:solidFill>
                    <w14:schemeClr w14:val="tx1"/>
                  </w14:solidFill>
                </w14:textFill>
              </w:rPr>
            </w:pPr>
          </w:p>
        </w:tc>
        <w:tc>
          <w:tcPr>
            <w:tcW w:w="1667" w:type="pct"/>
            <w:vAlign w:val="center"/>
          </w:tcPr>
          <w:p w14:paraId="6F18691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风速/（m/s）</w:t>
            </w:r>
          </w:p>
        </w:tc>
        <w:tc>
          <w:tcPr>
            <w:tcW w:w="1667" w:type="pct"/>
            <w:vAlign w:val="center"/>
          </w:tcPr>
          <w:p w14:paraId="1684B2F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r>
      <w:tr w14:paraId="7072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Merge w:val="continue"/>
            <w:vAlign w:val="center"/>
          </w:tcPr>
          <w:p w14:paraId="6F336301">
            <w:pPr>
              <w:jc w:val="center"/>
              <w:rPr>
                <w:color w:val="000000" w:themeColor="text1"/>
                <w:szCs w:val="21"/>
                <w14:textFill>
                  <w14:solidFill>
                    <w14:schemeClr w14:val="tx1"/>
                  </w14:solidFill>
                </w14:textFill>
              </w:rPr>
            </w:pPr>
          </w:p>
        </w:tc>
        <w:tc>
          <w:tcPr>
            <w:tcW w:w="1667" w:type="pct"/>
            <w:vAlign w:val="center"/>
          </w:tcPr>
          <w:p w14:paraId="2169FD80">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环境温度/℃</w:t>
            </w:r>
          </w:p>
        </w:tc>
        <w:tc>
          <w:tcPr>
            <w:tcW w:w="1667" w:type="pct"/>
            <w:vAlign w:val="center"/>
          </w:tcPr>
          <w:p w14:paraId="7A2ECCC5">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25</w:t>
            </w:r>
          </w:p>
        </w:tc>
      </w:tr>
      <w:tr w14:paraId="0621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Merge w:val="restart"/>
            <w:vAlign w:val="center"/>
          </w:tcPr>
          <w:p w14:paraId="798C6AA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气象参数</w:t>
            </w:r>
          </w:p>
        </w:tc>
        <w:tc>
          <w:tcPr>
            <w:tcW w:w="1667" w:type="pct"/>
            <w:vAlign w:val="center"/>
          </w:tcPr>
          <w:p w14:paraId="1AE5C72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相对湿度/%</w:t>
            </w:r>
          </w:p>
        </w:tc>
        <w:tc>
          <w:tcPr>
            <w:tcW w:w="1667" w:type="pct"/>
            <w:vAlign w:val="center"/>
          </w:tcPr>
          <w:p w14:paraId="7C167F6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r>
      <w:tr w14:paraId="7A88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Merge w:val="continue"/>
            <w:vAlign w:val="center"/>
          </w:tcPr>
          <w:p w14:paraId="53F86759">
            <w:pPr>
              <w:jc w:val="center"/>
              <w:rPr>
                <w:color w:val="000000" w:themeColor="text1"/>
                <w:szCs w:val="21"/>
                <w14:textFill>
                  <w14:solidFill>
                    <w14:schemeClr w14:val="tx1"/>
                  </w14:solidFill>
                </w14:textFill>
              </w:rPr>
            </w:pPr>
          </w:p>
        </w:tc>
        <w:tc>
          <w:tcPr>
            <w:tcW w:w="1667" w:type="pct"/>
            <w:vAlign w:val="center"/>
          </w:tcPr>
          <w:p w14:paraId="7BA19D3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稳定度</w:t>
            </w:r>
          </w:p>
        </w:tc>
        <w:tc>
          <w:tcPr>
            <w:tcW w:w="1667" w:type="pct"/>
            <w:vAlign w:val="center"/>
          </w:tcPr>
          <w:p w14:paraId="0218552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F（稳定）</w:t>
            </w:r>
          </w:p>
        </w:tc>
      </w:tr>
      <w:tr w14:paraId="6913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Merge w:val="restart"/>
            <w:vAlign w:val="center"/>
          </w:tcPr>
          <w:p w14:paraId="4FE2F8C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w:t>
            </w:r>
            <w:r>
              <w:rPr>
                <w:color w:val="000000" w:themeColor="text1"/>
                <w:szCs w:val="21"/>
                <w14:textFill>
                  <w14:solidFill>
                    <w14:schemeClr w14:val="tx1"/>
                  </w14:solidFill>
                </w14:textFill>
              </w:rPr>
              <w:t>参数</w:t>
            </w:r>
          </w:p>
        </w:tc>
        <w:tc>
          <w:tcPr>
            <w:tcW w:w="1667" w:type="pct"/>
            <w:vAlign w:val="center"/>
          </w:tcPr>
          <w:p w14:paraId="516FE98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地表粗糙度</w:t>
            </w:r>
          </w:p>
        </w:tc>
        <w:tc>
          <w:tcPr>
            <w:tcW w:w="1667" w:type="pct"/>
            <w:vAlign w:val="center"/>
          </w:tcPr>
          <w:p w14:paraId="4D5FA39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r>
      <w:tr w14:paraId="5E152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Merge w:val="continue"/>
            <w:vAlign w:val="center"/>
          </w:tcPr>
          <w:p w14:paraId="29F27A4D">
            <w:pPr>
              <w:jc w:val="center"/>
              <w:rPr>
                <w:color w:val="000000" w:themeColor="text1"/>
                <w:szCs w:val="21"/>
                <w14:textFill>
                  <w14:solidFill>
                    <w14:schemeClr w14:val="tx1"/>
                  </w14:solidFill>
                </w14:textFill>
              </w:rPr>
            </w:pPr>
          </w:p>
        </w:tc>
        <w:tc>
          <w:tcPr>
            <w:tcW w:w="1667" w:type="pct"/>
            <w:vAlign w:val="center"/>
          </w:tcPr>
          <w:p w14:paraId="564A957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是否考虑地形</w:t>
            </w:r>
          </w:p>
        </w:tc>
        <w:tc>
          <w:tcPr>
            <w:tcW w:w="1667" w:type="pct"/>
            <w:vAlign w:val="center"/>
          </w:tcPr>
          <w:p w14:paraId="0653F61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否</w:t>
            </w:r>
          </w:p>
        </w:tc>
      </w:tr>
      <w:tr w14:paraId="4EE66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Merge w:val="continue"/>
            <w:vAlign w:val="center"/>
          </w:tcPr>
          <w:p w14:paraId="6D55F111">
            <w:pPr>
              <w:jc w:val="center"/>
              <w:rPr>
                <w:color w:val="000000" w:themeColor="text1"/>
                <w:szCs w:val="21"/>
                <w14:textFill>
                  <w14:solidFill>
                    <w14:schemeClr w14:val="tx1"/>
                  </w14:solidFill>
                </w14:textFill>
              </w:rPr>
            </w:pPr>
          </w:p>
        </w:tc>
        <w:tc>
          <w:tcPr>
            <w:tcW w:w="1667" w:type="pct"/>
            <w:vAlign w:val="center"/>
          </w:tcPr>
          <w:p w14:paraId="150DFE1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地形数据精度/m</w:t>
            </w:r>
          </w:p>
        </w:tc>
        <w:tc>
          <w:tcPr>
            <w:tcW w:w="1667" w:type="pct"/>
            <w:vAlign w:val="center"/>
          </w:tcPr>
          <w:p w14:paraId="54DA1F0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bl>
    <w:p w14:paraId="64451410">
      <w:pPr>
        <w:pStyle w:val="45"/>
        <w:spacing w:line="240" w:lineRule="auto"/>
        <w:ind w:firstLine="0" w:firstLineChars="0"/>
        <w:rPr>
          <w:b/>
          <w:bCs/>
          <w:color w:val="000000" w:themeColor="text1"/>
          <w14:textFill>
            <w14:solidFill>
              <w14:schemeClr w14:val="tx1"/>
            </w14:solidFill>
          </w14:textFill>
        </w:rPr>
      </w:pPr>
    </w:p>
    <w:p w14:paraId="77FEE293">
      <w:pPr>
        <w:pStyle w:val="45"/>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4.1.3</w:t>
      </w:r>
      <w:r>
        <w:rPr>
          <w:b/>
          <w:bCs/>
          <w:color w:val="000000" w:themeColor="text1"/>
          <w14:textFill>
            <w14:solidFill>
              <w14:schemeClr w14:val="tx1"/>
            </w14:solidFill>
          </w14:textFill>
        </w:rPr>
        <w:t>风险评价标准</w:t>
      </w:r>
    </w:p>
    <w:p w14:paraId="084723C8">
      <w:pPr>
        <w:adjustRightInd w:val="0"/>
        <w:snapToGrid w:val="0"/>
        <w:spacing w:line="360" w:lineRule="auto"/>
        <w:ind w:firstLine="480" w:firstLineChars="200"/>
        <w:rPr>
          <w:color w:val="000000" w:themeColor="text1"/>
          <w14:textFill>
            <w14:solidFill>
              <w14:schemeClr w14:val="tx1"/>
            </w14:solidFill>
          </w14:textFill>
        </w:rPr>
      </w:pPr>
      <w:r>
        <w:rPr>
          <w:snapToGrid w:val="0"/>
          <w:color w:val="000000" w:themeColor="text1"/>
          <w:kern w:val="18"/>
          <w:sz w:val="24"/>
          <w14:textFill>
            <w14:solidFill>
              <w14:schemeClr w14:val="tx1"/>
            </w14:solidFill>
          </w14:textFill>
        </w:rPr>
        <w:t>根据</w:t>
      </w:r>
      <w:r>
        <w:rPr>
          <w:color w:val="000000" w:themeColor="text1"/>
          <w:sz w:val="24"/>
          <w14:textFill>
            <w14:solidFill>
              <w14:schemeClr w14:val="tx1"/>
            </w14:solidFill>
          </w14:textFill>
        </w:rPr>
        <w:t>《建设项目环境风险评价技术导则》（HJ169-2019）的要求，选取</w:t>
      </w:r>
      <w:r>
        <w:rPr>
          <w:rFonts w:hint="eastAsia"/>
          <w:color w:val="000000" w:themeColor="text1"/>
          <w:sz w:val="24"/>
          <w14:textFill>
            <w14:solidFill>
              <w14:schemeClr w14:val="tx1"/>
            </w14:solidFill>
          </w14:textFill>
        </w:rPr>
        <w:t>氨</w:t>
      </w:r>
      <w:r>
        <w:rPr>
          <w:color w:val="000000" w:themeColor="text1"/>
          <w:sz w:val="24"/>
          <w14:textFill>
            <w14:solidFill>
              <w14:schemeClr w14:val="tx1"/>
            </w14:solidFill>
          </w14:textFill>
        </w:rPr>
        <w:t>大气毒性终点浓度为预测评价标准，标准详见表</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w:t>
      </w:r>
    </w:p>
    <w:p w14:paraId="2C34653B">
      <w:pPr>
        <w:adjustRightInd w:val="0"/>
        <w:snapToGrid w:val="0"/>
        <w:ind w:firstLine="422"/>
        <w:jc w:val="center"/>
        <w:rPr>
          <w:b/>
          <w:color w:val="000000" w:themeColor="text1"/>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4.1-2</w:t>
      </w:r>
      <w:r>
        <w:rPr>
          <w:b/>
          <w:color w:val="000000" w:themeColor="text1"/>
          <w:sz w:val="24"/>
          <w14:textFill>
            <w14:solidFill>
              <w14:schemeClr w14:val="tx1"/>
            </w14:solidFill>
          </w14:textFill>
        </w:rPr>
        <w:t xml:space="preserve">  风险评价标准</w:t>
      </w:r>
      <w:r>
        <w:rPr>
          <w:rFonts w:hint="eastAsia"/>
          <w:b/>
          <w:color w:val="000000" w:themeColor="text1"/>
          <w:sz w:val="24"/>
          <w14:textFill>
            <w14:solidFill>
              <w14:schemeClr w14:val="tx1"/>
            </w14:solidFill>
          </w14:textFill>
        </w:rPr>
        <w:t xml:space="preserve">    </w:t>
      </w:r>
      <w:r>
        <w:rPr>
          <w:b/>
          <w:bCs/>
          <w:color w:val="000000" w:themeColor="text1"/>
          <w14:textFill>
            <w14:solidFill>
              <w14:schemeClr w14:val="tx1"/>
            </w14:solidFill>
          </w14:textFill>
        </w:rPr>
        <w:t>单位</w:t>
      </w: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mg/m</w:t>
      </w:r>
      <w:r>
        <w:rPr>
          <w:b/>
          <w:bCs/>
          <w:color w:val="000000" w:themeColor="text1"/>
          <w:vertAlign w:val="superscript"/>
          <w14:textFill>
            <w14:solidFill>
              <w14:schemeClr w14:val="tx1"/>
            </w14:solidFill>
          </w14:textFill>
        </w:rPr>
        <w:t>3</w:t>
      </w:r>
    </w:p>
    <w:tbl>
      <w:tblPr>
        <w:tblStyle w:val="24"/>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978"/>
        <w:gridCol w:w="2982"/>
        <w:gridCol w:w="2982"/>
      </w:tblGrid>
      <w:tr w14:paraId="29D659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665" w:type="pct"/>
            <w:tcBorders>
              <w:top w:val="single" w:color="auto" w:sz="4" w:space="0"/>
              <w:left w:val="single" w:color="auto" w:sz="4" w:space="0"/>
              <w:bottom w:val="single" w:color="auto" w:sz="4" w:space="0"/>
            </w:tcBorders>
            <w:vAlign w:val="center"/>
          </w:tcPr>
          <w:p w14:paraId="711C5D66">
            <w:pPr>
              <w:pStyle w:val="13"/>
              <w:adjustRightInd w:val="0"/>
              <w:snapToGrid w:val="0"/>
              <w:spacing w:after="0" w:line="240" w:lineRule="auto"/>
              <w:ind w:firstLine="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污染物</w:t>
            </w:r>
          </w:p>
        </w:tc>
        <w:tc>
          <w:tcPr>
            <w:tcW w:w="1667" w:type="pct"/>
            <w:tcBorders>
              <w:top w:val="single" w:color="auto" w:sz="4" w:space="0"/>
              <w:bottom w:val="single" w:color="auto" w:sz="4" w:space="0"/>
              <w:right w:val="single" w:color="auto" w:sz="4" w:space="0"/>
            </w:tcBorders>
            <w:vAlign w:val="center"/>
          </w:tcPr>
          <w:p w14:paraId="68381181">
            <w:pPr>
              <w:pStyle w:val="13"/>
              <w:adjustRightInd w:val="0"/>
              <w:snapToGrid w:val="0"/>
              <w:spacing w:after="0" w:line="240" w:lineRule="auto"/>
              <w:ind w:firstLine="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毒性终点浓度-1</w:t>
            </w:r>
          </w:p>
        </w:tc>
        <w:tc>
          <w:tcPr>
            <w:tcW w:w="1667" w:type="pct"/>
            <w:tcBorders>
              <w:top w:val="single" w:color="auto" w:sz="4" w:space="0"/>
              <w:left w:val="single" w:color="auto" w:sz="4" w:space="0"/>
              <w:bottom w:val="single" w:color="auto" w:sz="4" w:space="0"/>
            </w:tcBorders>
            <w:vAlign w:val="center"/>
          </w:tcPr>
          <w:p w14:paraId="4A048104">
            <w:pPr>
              <w:pStyle w:val="13"/>
              <w:adjustRightInd w:val="0"/>
              <w:snapToGrid w:val="0"/>
              <w:spacing w:after="0" w:line="240" w:lineRule="auto"/>
              <w:ind w:firstLine="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毒性终点浓度-2</w:t>
            </w:r>
          </w:p>
        </w:tc>
      </w:tr>
      <w:tr w14:paraId="760332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665" w:type="pct"/>
            <w:tcBorders>
              <w:top w:val="single" w:color="auto" w:sz="4" w:space="0"/>
              <w:left w:val="single" w:color="auto" w:sz="4" w:space="0"/>
              <w:bottom w:val="single" w:color="auto" w:sz="4" w:space="0"/>
            </w:tcBorders>
            <w:vAlign w:val="center"/>
          </w:tcPr>
          <w:p w14:paraId="1F3A6EC1">
            <w:pPr>
              <w:pStyle w:val="13"/>
              <w:adjustRightInd w:val="0"/>
              <w:snapToGrid w:val="0"/>
              <w:spacing w:after="0" w:line="240" w:lineRule="auto"/>
              <w:ind w:firstLine="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氨</w:t>
            </w:r>
          </w:p>
        </w:tc>
        <w:tc>
          <w:tcPr>
            <w:tcW w:w="1667" w:type="pct"/>
            <w:tcBorders>
              <w:top w:val="single" w:color="auto" w:sz="4" w:space="0"/>
              <w:bottom w:val="single" w:color="auto" w:sz="4" w:space="0"/>
              <w:right w:val="single" w:color="auto" w:sz="4" w:space="0"/>
            </w:tcBorders>
            <w:vAlign w:val="center"/>
          </w:tcPr>
          <w:p w14:paraId="1FB7AB19">
            <w:pPr>
              <w:pStyle w:val="13"/>
              <w:adjustRightInd w:val="0"/>
              <w:snapToGrid w:val="0"/>
              <w:spacing w:after="0" w:line="240" w:lineRule="auto"/>
              <w:ind w:firstLine="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770</w:t>
            </w:r>
          </w:p>
        </w:tc>
        <w:tc>
          <w:tcPr>
            <w:tcW w:w="1667" w:type="pct"/>
            <w:tcBorders>
              <w:top w:val="single" w:color="auto" w:sz="4" w:space="0"/>
              <w:left w:val="single" w:color="auto" w:sz="4" w:space="0"/>
              <w:bottom w:val="single" w:color="auto" w:sz="4" w:space="0"/>
            </w:tcBorders>
            <w:vAlign w:val="center"/>
          </w:tcPr>
          <w:p w14:paraId="642B8E69">
            <w:pPr>
              <w:pStyle w:val="13"/>
              <w:adjustRightInd w:val="0"/>
              <w:snapToGrid w:val="0"/>
              <w:spacing w:after="0" w:line="240" w:lineRule="auto"/>
              <w:ind w:firstLine="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110</w:t>
            </w:r>
          </w:p>
        </w:tc>
      </w:tr>
      <w:tr w14:paraId="68DFB7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665" w:type="pct"/>
            <w:tcBorders>
              <w:top w:val="single" w:color="auto" w:sz="4" w:space="0"/>
              <w:left w:val="single" w:color="auto" w:sz="4" w:space="0"/>
              <w:bottom w:val="single" w:color="auto" w:sz="4" w:space="0"/>
            </w:tcBorders>
            <w:vAlign w:val="center"/>
          </w:tcPr>
          <w:p w14:paraId="49B75564">
            <w:pPr>
              <w:pStyle w:val="13"/>
              <w:adjustRightInd w:val="0"/>
              <w:snapToGrid w:val="0"/>
              <w:spacing w:after="0" w:line="240" w:lineRule="auto"/>
              <w:ind w:firstLine="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二氧化硫</w:t>
            </w:r>
          </w:p>
        </w:tc>
        <w:tc>
          <w:tcPr>
            <w:tcW w:w="1667" w:type="pct"/>
            <w:tcBorders>
              <w:top w:val="single" w:color="auto" w:sz="4" w:space="0"/>
              <w:bottom w:val="single" w:color="auto" w:sz="4" w:space="0"/>
              <w:right w:val="single" w:color="auto" w:sz="4" w:space="0"/>
            </w:tcBorders>
            <w:vAlign w:val="center"/>
          </w:tcPr>
          <w:p w14:paraId="7C45EB25">
            <w:pPr>
              <w:pStyle w:val="13"/>
              <w:adjustRightInd w:val="0"/>
              <w:snapToGrid w:val="0"/>
              <w:spacing w:after="0" w:line="240" w:lineRule="auto"/>
              <w:ind w:firstLine="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79</w:t>
            </w:r>
          </w:p>
        </w:tc>
        <w:tc>
          <w:tcPr>
            <w:tcW w:w="1667" w:type="pct"/>
            <w:tcBorders>
              <w:top w:val="single" w:color="auto" w:sz="4" w:space="0"/>
              <w:left w:val="single" w:color="auto" w:sz="4" w:space="0"/>
              <w:bottom w:val="single" w:color="auto" w:sz="4" w:space="0"/>
            </w:tcBorders>
            <w:vAlign w:val="center"/>
          </w:tcPr>
          <w:p w14:paraId="10E9975A">
            <w:pPr>
              <w:pStyle w:val="13"/>
              <w:adjustRightInd w:val="0"/>
              <w:snapToGrid w:val="0"/>
              <w:spacing w:after="0" w:line="240" w:lineRule="auto"/>
              <w:ind w:firstLine="0"/>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w:t>
            </w:r>
          </w:p>
        </w:tc>
      </w:tr>
    </w:tbl>
    <w:p w14:paraId="757577D9">
      <w:pPr>
        <w:pStyle w:val="45"/>
        <w:spacing w:line="240" w:lineRule="auto"/>
        <w:ind w:firstLine="0" w:firstLineChars="0"/>
        <w:rPr>
          <w:b/>
          <w:bCs/>
          <w:color w:val="000000" w:themeColor="text1"/>
          <w14:textFill>
            <w14:solidFill>
              <w14:schemeClr w14:val="tx1"/>
            </w14:solidFill>
          </w14:textFill>
        </w:rPr>
      </w:pPr>
    </w:p>
    <w:p w14:paraId="7716A2F3">
      <w:pPr>
        <w:pStyle w:val="45"/>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4.1.4</w:t>
      </w:r>
      <w:r>
        <w:rPr>
          <w:b/>
          <w:bCs/>
          <w:color w:val="000000" w:themeColor="text1"/>
          <w14:textFill>
            <w14:solidFill>
              <w14:schemeClr w14:val="tx1"/>
            </w14:solidFill>
          </w14:textFill>
        </w:rPr>
        <w:t>预测结果</w:t>
      </w:r>
    </w:p>
    <w:p w14:paraId="644B0A28">
      <w:pPr>
        <w:adjustRightInd w:val="0"/>
        <w:snapToGrid w:val="0"/>
        <w:ind w:firstLine="422"/>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4.1-3</w:t>
      </w:r>
      <w:r>
        <w:rPr>
          <w:b/>
          <w:color w:val="000000" w:themeColor="text1"/>
          <w:sz w:val="24"/>
          <w14:textFill>
            <w14:solidFill>
              <w14:schemeClr w14:val="tx1"/>
            </w14:solidFill>
          </w14:textFill>
        </w:rPr>
        <w:t xml:space="preserve">  </w:t>
      </w:r>
      <w:r>
        <w:rPr>
          <w:b/>
          <w:snapToGrid w:val="0"/>
          <w:color w:val="000000" w:themeColor="text1"/>
          <w:kern w:val="18"/>
          <w:sz w:val="24"/>
          <w14:textFill>
            <w14:solidFill>
              <w14:schemeClr w14:val="tx1"/>
            </w14:solidFill>
          </w14:textFill>
        </w:rPr>
        <w:t>下风向不同距离</w:t>
      </w:r>
      <w:r>
        <w:rPr>
          <w:rFonts w:hint="eastAsia"/>
          <w:b/>
          <w:snapToGrid w:val="0"/>
          <w:color w:val="000000" w:themeColor="text1"/>
          <w:kern w:val="18"/>
          <w:sz w:val="24"/>
          <w14:textFill>
            <w14:solidFill>
              <w14:schemeClr w14:val="tx1"/>
            </w14:solidFill>
          </w14:textFill>
        </w:rPr>
        <w:t>的</w:t>
      </w:r>
      <w:r>
        <w:rPr>
          <w:b/>
          <w:snapToGrid w:val="0"/>
          <w:color w:val="000000" w:themeColor="text1"/>
          <w:kern w:val="18"/>
          <w:sz w:val="24"/>
          <w14:textFill>
            <w14:solidFill>
              <w14:schemeClr w14:val="tx1"/>
            </w14:solidFill>
          </w14:textFill>
        </w:rPr>
        <w:t>浓度</w:t>
      </w:r>
      <w:r>
        <w:rPr>
          <w:b/>
          <w:color w:val="000000" w:themeColor="text1"/>
          <w:sz w:val="24"/>
          <w14:textFill>
            <w14:solidFill>
              <w14:schemeClr w14:val="tx1"/>
            </w14:solidFill>
          </w14:textFill>
        </w:rPr>
        <w:t>预测结果</w:t>
      </w:r>
      <w:r>
        <w:rPr>
          <w:rFonts w:hint="eastAsia"/>
          <w:b/>
          <w:color w:val="000000" w:themeColor="text1"/>
          <w:sz w:val="24"/>
          <w14:textFill>
            <w14:solidFill>
              <w14:schemeClr w14:val="tx1"/>
            </w14:solidFill>
          </w14:textFill>
        </w:rPr>
        <w:t xml:space="preserve">  </w:t>
      </w:r>
      <w:r>
        <w:rPr>
          <w:rFonts w:hint="eastAsia"/>
          <w:b/>
          <w:color w:val="000000" w:themeColor="text1"/>
          <w:szCs w:val="21"/>
          <w14:textFill>
            <w14:solidFill>
              <w14:schemeClr w14:val="tx1"/>
            </w14:solidFill>
          </w14:textFill>
        </w:rPr>
        <w:t>单位：</w:t>
      </w:r>
      <w:r>
        <w:rPr>
          <w:b/>
          <w:color w:val="000000" w:themeColor="text1"/>
          <w:szCs w:val="21"/>
          <w14:textFill>
            <w14:solidFill>
              <w14:schemeClr w14:val="tx1"/>
            </w14:solidFill>
          </w14:textFill>
        </w:rPr>
        <w:t>mg/m</w:t>
      </w:r>
      <w:r>
        <w:rPr>
          <w:b/>
          <w:color w:val="000000" w:themeColor="text1"/>
          <w:szCs w:val="21"/>
          <w:vertAlign w:val="superscript"/>
          <w14:textFill>
            <w14:solidFill>
              <w14:schemeClr w14:val="tx1"/>
            </w14:solidFill>
          </w14:textFill>
        </w:rPr>
        <w:t>3</w:t>
      </w:r>
    </w:p>
    <w:tbl>
      <w:tblPr>
        <w:tblStyle w:val="24"/>
        <w:tblW w:w="4997"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2098"/>
        <w:gridCol w:w="1840"/>
        <w:gridCol w:w="1667"/>
        <w:gridCol w:w="1667"/>
        <w:gridCol w:w="1669"/>
      </w:tblGrid>
      <w:tr w14:paraId="7D9742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blHeader/>
        </w:trPr>
        <w:tc>
          <w:tcPr>
            <w:tcW w:w="1173" w:type="pct"/>
            <w:vMerge w:val="restart"/>
            <w:noWrap/>
            <w:vAlign w:val="center"/>
          </w:tcPr>
          <w:p w14:paraId="4B76091D">
            <w:pPr>
              <w:widowControl/>
              <w:adjustRightInd w:val="0"/>
              <w:snapToGrid w:val="0"/>
              <w:spacing w:line="240" w:lineRule="atLeas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下向风距离(m)</w:t>
            </w:r>
          </w:p>
        </w:tc>
        <w:tc>
          <w:tcPr>
            <w:tcW w:w="1961" w:type="pct"/>
            <w:gridSpan w:val="2"/>
            <w:noWrap/>
            <w:vAlign w:val="center"/>
          </w:tcPr>
          <w:p w14:paraId="73D4558D">
            <w:pPr>
              <w:widowControl/>
              <w:adjustRightInd w:val="0"/>
              <w:snapToGrid w:val="0"/>
              <w:spacing w:line="240" w:lineRule="atLeast"/>
              <w:jc w:val="center"/>
              <w:textAlignment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氨</w:t>
            </w:r>
          </w:p>
        </w:tc>
        <w:tc>
          <w:tcPr>
            <w:tcW w:w="1865" w:type="pct"/>
            <w:gridSpan w:val="2"/>
            <w:noWrap/>
            <w:vAlign w:val="center"/>
          </w:tcPr>
          <w:p w14:paraId="3D63D68B">
            <w:pPr>
              <w:widowControl/>
              <w:adjustRightInd w:val="0"/>
              <w:snapToGrid w:val="0"/>
              <w:spacing w:line="240" w:lineRule="atLeast"/>
              <w:jc w:val="center"/>
              <w:textAlignment w:val="center"/>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二氧化硫</w:t>
            </w:r>
          </w:p>
        </w:tc>
      </w:tr>
      <w:tr w14:paraId="21429D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blHeader/>
        </w:trPr>
        <w:tc>
          <w:tcPr>
            <w:tcW w:w="1173" w:type="pct"/>
            <w:vMerge w:val="continue"/>
            <w:noWrap/>
            <w:vAlign w:val="center"/>
          </w:tcPr>
          <w:p w14:paraId="2DD182B0">
            <w:pPr>
              <w:widowControl/>
              <w:adjustRightInd w:val="0"/>
              <w:snapToGrid w:val="0"/>
              <w:spacing w:line="240" w:lineRule="atLeast"/>
              <w:jc w:val="center"/>
              <w:textAlignment w:val="center"/>
              <w:rPr>
                <w:b/>
                <w:bCs/>
                <w:color w:val="000000" w:themeColor="text1"/>
                <w:szCs w:val="21"/>
                <w14:textFill>
                  <w14:solidFill>
                    <w14:schemeClr w14:val="tx1"/>
                  </w14:solidFill>
                </w14:textFill>
              </w:rPr>
            </w:pPr>
          </w:p>
        </w:tc>
        <w:tc>
          <w:tcPr>
            <w:tcW w:w="1029" w:type="pct"/>
            <w:noWrap/>
            <w:vAlign w:val="center"/>
          </w:tcPr>
          <w:p w14:paraId="598F71D4">
            <w:pPr>
              <w:widowControl/>
              <w:adjustRightInd w:val="0"/>
              <w:snapToGrid w:val="0"/>
              <w:spacing w:line="240" w:lineRule="atLeas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出现时间(s)</w:t>
            </w:r>
          </w:p>
        </w:tc>
        <w:tc>
          <w:tcPr>
            <w:tcW w:w="932" w:type="pct"/>
            <w:noWrap/>
            <w:vAlign w:val="center"/>
          </w:tcPr>
          <w:p w14:paraId="19ED350C">
            <w:pPr>
              <w:widowControl/>
              <w:adjustRightInd w:val="0"/>
              <w:snapToGrid w:val="0"/>
              <w:spacing w:line="240" w:lineRule="atLeast"/>
              <w:jc w:val="center"/>
              <w:textAlignment w:val="center"/>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浓度(mg/m³)</w:t>
            </w:r>
          </w:p>
        </w:tc>
        <w:tc>
          <w:tcPr>
            <w:tcW w:w="932" w:type="pct"/>
            <w:noWrap/>
            <w:vAlign w:val="center"/>
          </w:tcPr>
          <w:p w14:paraId="5494E5F5">
            <w:pPr>
              <w:widowControl/>
              <w:adjustRightInd w:val="0"/>
              <w:snapToGrid w:val="0"/>
              <w:spacing w:line="240" w:lineRule="atLeast"/>
              <w:jc w:val="center"/>
              <w:textAlignment w:val="center"/>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出现时间(s)</w:t>
            </w:r>
          </w:p>
        </w:tc>
        <w:tc>
          <w:tcPr>
            <w:tcW w:w="932" w:type="pct"/>
            <w:noWrap/>
            <w:vAlign w:val="center"/>
          </w:tcPr>
          <w:p w14:paraId="6F0EAE53">
            <w:pPr>
              <w:widowControl/>
              <w:adjustRightInd w:val="0"/>
              <w:snapToGrid w:val="0"/>
              <w:spacing w:line="240" w:lineRule="atLeas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浓度(mg/m³)</w:t>
            </w:r>
          </w:p>
        </w:tc>
      </w:tr>
      <w:tr w14:paraId="367AD2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73" w:type="pct"/>
            <w:noWrap/>
            <w:vAlign w:val="center"/>
          </w:tcPr>
          <w:p w14:paraId="13B2D14B">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1029" w:type="pct"/>
            <w:noWrap/>
            <w:vAlign w:val="center"/>
          </w:tcPr>
          <w:p w14:paraId="4E13E570">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932" w:type="pct"/>
            <w:noWrap/>
            <w:vAlign w:val="center"/>
          </w:tcPr>
          <w:p w14:paraId="7B932347">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4.76</w:t>
            </w:r>
          </w:p>
        </w:tc>
        <w:tc>
          <w:tcPr>
            <w:tcW w:w="932" w:type="pct"/>
            <w:noWrap/>
            <w:vAlign w:val="center"/>
          </w:tcPr>
          <w:p w14:paraId="2220EA17">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242</w:t>
            </w:r>
          </w:p>
        </w:tc>
        <w:tc>
          <w:tcPr>
            <w:tcW w:w="932" w:type="pct"/>
            <w:noWrap/>
            <w:vAlign w:val="center"/>
          </w:tcPr>
          <w:p w14:paraId="6C55E68E">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1.15</w:t>
            </w:r>
          </w:p>
        </w:tc>
      </w:tr>
      <w:tr w14:paraId="12604F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73" w:type="pct"/>
            <w:noWrap/>
            <w:vAlign w:val="center"/>
          </w:tcPr>
          <w:p w14:paraId="20F85D1A">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029" w:type="pct"/>
            <w:noWrap/>
            <w:vAlign w:val="center"/>
          </w:tcPr>
          <w:p w14:paraId="731868BD">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w:t>
            </w:r>
          </w:p>
        </w:tc>
        <w:tc>
          <w:tcPr>
            <w:tcW w:w="932" w:type="pct"/>
            <w:noWrap/>
            <w:vAlign w:val="center"/>
          </w:tcPr>
          <w:p w14:paraId="23638E25">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465.82</w:t>
            </w:r>
          </w:p>
        </w:tc>
        <w:tc>
          <w:tcPr>
            <w:tcW w:w="932" w:type="pct"/>
            <w:noWrap/>
            <w:vAlign w:val="center"/>
          </w:tcPr>
          <w:p w14:paraId="337182AD">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319</w:t>
            </w:r>
          </w:p>
        </w:tc>
        <w:tc>
          <w:tcPr>
            <w:tcW w:w="932" w:type="pct"/>
            <w:noWrap/>
            <w:vAlign w:val="center"/>
          </w:tcPr>
          <w:p w14:paraId="0A7700A4">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1.82</w:t>
            </w:r>
          </w:p>
        </w:tc>
      </w:tr>
      <w:tr w14:paraId="6F617D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73" w:type="pct"/>
            <w:noWrap/>
            <w:vAlign w:val="center"/>
          </w:tcPr>
          <w:p w14:paraId="13CEE789">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100</w:t>
            </w:r>
          </w:p>
        </w:tc>
        <w:tc>
          <w:tcPr>
            <w:tcW w:w="1029" w:type="pct"/>
            <w:noWrap/>
            <w:vAlign w:val="center"/>
          </w:tcPr>
          <w:p w14:paraId="03952CD8">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w:t>
            </w:r>
          </w:p>
        </w:tc>
        <w:tc>
          <w:tcPr>
            <w:tcW w:w="932" w:type="pct"/>
            <w:noWrap/>
            <w:vAlign w:val="center"/>
          </w:tcPr>
          <w:p w14:paraId="4EB455D5">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287.56</w:t>
            </w:r>
          </w:p>
        </w:tc>
        <w:tc>
          <w:tcPr>
            <w:tcW w:w="932" w:type="pct"/>
            <w:noWrap/>
            <w:vAlign w:val="center"/>
          </w:tcPr>
          <w:p w14:paraId="55D5A5CB">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406</w:t>
            </w:r>
          </w:p>
        </w:tc>
        <w:tc>
          <w:tcPr>
            <w:tcW w:w="932" w:type="pct"/>
            <w:noWrap/>
            <w:vAlign w:val="center"/>
          </w:tcPr>
          <w:p w14:paraId="0CE6052E">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2.89</w:t>
            </w:r>
          </w:p>
        </w:tc>
      </w:tr>
      <w:tr w14:paraId="165401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73" w:type="pct"/>
            <w:noWrap/>
            <w:vAlign w:val="center"/>
          </w:tcPr>
          <w:p w14:paraId="0A20C4AD">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200</w:t>
            </w:r>
          </w:p>
        </w:tc>
        <w:tc>
          <w:tcPr>
            <w:tcW w:w="1029" w:type="pct"/>
            <w:noWrap/>
            <w:vAlign w:val="center"/>
          </w:tcPr>
          <w:p w14:paraId="2625E99B">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180</w:t>
            </w:r>
          </w:p>
        </w:tc>
        <w:tc>
          <w:tcPr>
            <w:tcW w:w="932" w:type="pct"/>
            <w:noWrap/>
            <w:vAlign w:val="center"/>
          </w:tcPr>
          <w:p w14:paraId="3BC9E248">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104.86</w:t>
            </w:r>
          </w:p>
        </w:tc>
        <w:tc>
          <w:tcPr>
            <w:tcW w:w="932" w:type="pct"/>
            <w:noWrap/>
            <w:vAlign w:val="center"/>
          </w:tcPr>
          <w:p w14:paraId="64234F7F">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556</w:t>
            </w:r>
          </w:p>
        </w:tc>
        <w:tc>
          <w:tcPr>
            <w:tcW w:w="932" w:type="pct"/>
            <w:noWrap/>
            <w:vAlign w:val="center"/>
          </w:tcPr>
          <w:p w14:paraId="177FA119">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1.67</w:t>
            </w:r>
          </w:p>
        </w:tc>
      </w:tr>
      <w:tr w14:paraId="263990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73" w:type="pct"/>
            <w:noWrap/>
            <w:vAlign w:val="center"/>
          </w:tcPr>
          <w:p w14:paraId="658E9C0A">
            <w:pPr>
              <w:widowControl/>
              <w:adjustRightInd w:val="0"/>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300</w:t>
            </w:r>
          </w:p>
        </w:tc>
        <w:tc>
          <w:tcPr>
            <w:tcW w:w="1029" w:type="pct"/>
            <w:noWrap/>
            <w:vAlign w:val="center"/>
          </w:tcPr>
          <w:p w14:paraId="2B051296">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240</w:t>
            </w:r>
          </w:p>
        </w:tc>
        <w:tc>
          <w:tcPr>
            <w:tcW w:w="932" w:type="pct"/>
            <w:noWrap/>
            <w:vAlign w:val="center"/>
          </w:tcPr>
          <w:p w14:paraId="207B2B3A">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45.85</w:t>
            </w:r>
          </w:p>
        </w:tc>
        <w:tc>
          <w:tcPr>
            <w:tcW w:w="932" w:type="pct"/>
            <w:noWrap/>
            <w:vAlign w:val="center"/>
          </w:tcPr>
          <w:p w14:paraId="437EA89A">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680</w:t>
            </w:r>
          </w:p>
        </w:tc>
        <w:tc>
          <w:tcPr>
            <w:tcW w:w="932" w:type="pct"/>
            <w:noWrap/>
            <w:vAlign w:val="center"/>
          </w:tcPr>
          <w:p w14:paraId="7CA6CDFE">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1.38</w:t>
            </w:r>
          </w:p>
        </w:tc>
      </w:tr>
      <w:tr w14:paraId="4DF0E7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73" w:type="pct"/>
            <w:noWrap/>
            <w:vAlign w:val="center"/>
          </w:tcPr>
          <w:p w14:paraId="61740B60">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400</w:t>
            </w:r>
          </w:p>
        </w:tc>
        <w:tc>
          <w:tcPr>
            <w:tcW w:w="1029" w:type="pct"/>
            <w:noWrap/>
            <w:vAlign w:val="center"/>
          </w:tcPr>
          <w:p w14:paraId="3BE54335">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330</w:t>
            </w:r>
          </w:p>
        </w:tc>
        <w:tc>
          <w:tcPr>
            <w:tcW w:w="932" w:type="pct"/>
            <w:noWrap/>
            <w:vAlign w:val="center"/>
          </w:tcPr>
          <w:p w14:paraId="7AE709CD">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24.39</w:t>
            </w:r>
          </w:p>
        </w:tc>
        <w:tc>
          <w:tcPr>
            <w:tcW w:w="932" w:type="pct"/>
            <w:noWrap/>
            <w:vAlign w:val="center"/>
          </w:tcPr>
          <w:p w14:paraId="6ACCDC32">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790</w:t>
            </w:r>
          </w:p>
        </w:tc>
        <w:tc>
          <w:tcPr>
            <w:tcW w:w="1669" w:type="dxa"/>
            <w:noWrap/>
            <w:vAlign w:val="center"/>
          </w:tcPr>
          <w:p w14:paraId="65502038">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1.19</w:t>
            </w:r>
          </w:p>
        </w:tc>
      </w:tr>
      <w:tr w14:paraId="33E89C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73" w:type="pct"/>
            <w:noWrap/>
            <w:vAlign w:val="center"/>
          </w:tcPr>
          <w:p w14:paraId="2DF2B274">
            <w:pPr>
              <w:widowControl/>
              <w:adjustRightInd w:val="0"/>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500</w:t>
            </w:r>
          </w:p>
        </w:tc>
        <w:tc>
          <w:tcPr>
            <w:tcW w:w="1029" w:type="pct"/>
            <w:noWrap/>
            <w:vAlign w:val="center"/>
          </w:tcPr>
          <w:p w14:paraId="52B4D100">
            <w:pPr>
              <w:widowControl/>
              <w:adjustRightInd w:val="0"/>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390</w:t>
            </w:r>
          </w:p>
        </w:tc>
        <w:tc>
          <w:tcPr>
            <w:tcW w:w="932" w:type="pct"/>
            <w:noWrap/>
            <w:vAlign w:val="center"/>
          </w:tcPr>
          <w:p w14:paraId="27652F3A">
            <w:pPr>
              <w:widowControl/>
              <w:adjustRightInd w:val="0"/>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14.47</w:t>
            </w:r>
          </w:p>
        </w:tc>
        <w:tc>
          <w:tcPr>
            <w:tcW w:w="932" w:type="pct"/>
            <w:noWrap/>
            <w:vAlign w:val="center"/>
          </w:tcPr>
          <w:p w14:paraId="281C98FE">
            <w:pPr>
              <w:widowControl/>
              <w:adjustRightInd w:val="0"/>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860</w:t>
            </w:r>
          </w:p>
        </w:tc>
        <w:tc>
          <w:tcPr>
            <w:tcW w:w="1669" w:type="dxa"/>
            <w:noWrap/>
            <w:vAlign w:val="center"/>
          </w:tcPr>
          <w:p w14:paraId="7DC2C410">
            <w:pPr>
              <w:widowControl/>
              <w:adjustRightInd w:val="0"/>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0.94</w:t>
            </w:r>
          </w:p>
        </w:tc>
      </w:tr>
      <w:tr w14:paraId="1E5A92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73" w:type="pct"/>
            <w:noWrap/>
            <w:vAlign w:val="center"/>
          </w:tcPr>
          <w:p w14:paraId="7DCB18CD">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600</w:t>
            </w:r>
          </w:p>
        </w:tc>
        <w:tc>
          <w:tcPr>
            <w:tcW w:w="1029" w:type="pct"/>
            <w:noWrap/>
            <w:vAlign w:val="center"/>
          </w:tcPr>
          <w:p w14:paraId="73835E2A">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450</w:t>
            </w:r>
          </w:p>
        </w:tc>
        <w:tc>
          <w:tcPr>
            <w:tcW w:w="932" w:type="pct"/>
            <w:noWrap/>
            <w:vAlign w:val="center"/>
          </w:tcPr>
          <w:p w14:paraId="5EB979C3">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9.30</w:t>
            </w:r>
          </w:p>
        </w:tc>
        <w:tc>
          <w:tcPr>
            <w:tcW w:w="932" w:type="pct"/>
            <w:noWrap/>
            <w:vAlign w:val="center"/>
          </w:tcPr>
          <w:p w14:paraId="4FC2597A">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974</w:t>
            </w:r>
          </w:p>
        </w:tc>
        <w:tc>
          <w:tcPr>
            <w:tcW w:w="1669" w:type="dxa"/>
            <w:noWrap/>
            <w:vAlign w:val="center"/>
          </w:tcPr>
          <w:p w14:paraId="11C06E77">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0.64</w:t>
            </w:r>
          </w:p>
        </w:tc>
      </w:tr>
      <w:tr w14:paraId="6AB20A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73" w:type="pct"/>
            <w:noWrap/>
            <w:vAlign w:val="center"/>
          </w:tcPr>
          <w:p w14:paraId="13BE14C5">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800</w:t>
            </w:r>
          </w:p>
        </w:tc>
        <w:tc>
          <w:tcPr>
            <w:tcW w:w="1029" w:type="pct"/>
            <w:noWrap/>
            <w:vAlign w:val="center"/>
          </w:tcPr>
          <w:p w14:paraId="7E2F84AE">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600</w:t>
            </w:r>
          </w:p>
        </w:tc>
        <w:tc>
          <w:tcPr>
            <w:tcW w:w="932" w:type="pct"/>
            <w:noWrap/>
            <w:vAlign w:val="center"/>
          </w:tcPr>
          <w:p w14:paraId="42C8E798">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45.54</w:t>
            </w:r>
          </w:p>
        </w:tc>
        <w:tc>
          <w:tcPr>
            <w:tcW w:w="932" w:type="pct"/>
            <w:noWrap/>
            <w:vAlign w:val="center"/>
          </w:tcPr>
          <w:p w14:paraId="390680A9">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1150</w:t>
            </w:r>
          </w:p>
        </w:tc>
        <w:tc>
          <w:tcPr>
            <w:tcW w:w="1669" w:type="dxa"/>
            <w:noWrap/>
            <w:vAlign w:val="center"/>
          </w:tcPr>
          <w:p w14:paraId="0002137B">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0.42</w:t>
            </w:r>
          </w:p>
        </w:tc>
      </w:tr>
      <w:tr w14:paraId="09ED43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73" w:type="pct"/>
            <w:noWrap/>
            <w:vAlign w:val="center"/>
          </w:tcPr>
          <w:p w14:paraId="4B443980">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r>
              <w:rPr>
                <w:rFonts w:hint="eastAsia"/>
                <w:color w:val="000000" w:themeColor="text1"/>
                <w:kern w:val="0"/>
                <w:szCs w:val="21"/>
                <w:lang w:bidi="ar"/>
                <w14:textFill>
                  <w14:solidFill>
                    <w14:schemeClr w14:val="tx1"/>
                  </w14:solidFill>
                </w14:textFill>
              </w:rPr>
              <w:t>0</w:t>
            </w:r>
            <w:r>
              <w:rPr>
                <w:color w:val="000000" w:themeColor="text1"/>
                <w:kern w:val="0"/>
                <w:szCs w:val="21"/>
                <w:lang w:bidi="ar"/>
                <w14:textFill>
                  <w14:solidFill>
                    <w14:schemeClr w14:val="tx1"/>
                  </w14:solidFill>
                </w14:textFill>
              </w:rPr>
              <w:t>0</w:t>
            </w:r>
          </w:p>
        </w:tc>
        <w:tc>
          <w:tcPr>
            <w:tcW w:w="1029" w:type="pct"/>
            <w:noWrap/>
            <w:vAlign w:val="center"/>
          </w:tcPr>
          <w:p w14:paraId="135EAF2E">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720</w:t>
            </w:r>
          </w:p>
        </w:tc>
        <w:tc>
          <w:tcPr>
            <w:tcW w:w="932" w:type="pct"/>
            <w:noWrap/>
            <w:vAlign w:val="center"/>
          </w:tcPr>
          <w:p w14:paraId="607DBAEA">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2.60</w:t>
            </w:r>
          </w:p>
        </w:tc>
        <w:tc>
          <w:tcPr>
            <w:tcW w:w="932" w:type="pct"/>
            <w:noWrap/>
            <w:vAlign w:val="center"/>
          </w:tcPr>
          <w:p w14:paraId="63AC7E56">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1270</w:t>
            </w:r>
          </w:p>
        </w:tc>
        <w:tc>
          <w:tcPr>
            <w:tcW w:w="932" w:type="pct"/>
            <w:noWrap/>
            <w:vAlign w:val="center"/>
          </w:tcPr>
          <w:p w14:paraId="32733CB9">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0.28</w:t>
            </w:r>
          </w:p>
        </w:tc>
      </w:tr>
      <w:tr w14:paraId="5DD118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73" w:type="pct"/>
            <w:noWrap/>
            <w:vAlign w:val="center"/>
          </w:tcPr>
          <w:p w14:paraId="6E50AFF9">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Fonts w:hint="eastAsia"/>
                <w:color w:val="000000" w:themeColor="text1"/>
                <w:kern w:val="0"/>
                <w:szCs w:val="21"/>
                <w:lang w:bidi="ar"/>
                <w14:textFill>
                  <w14:solidFill>
                    <w14:schemeClr w14:val="tx1"/>
                  </w14:solidFill>
                </w14:textFill>
              </w:rPr>
              <w:t>500</w:t>
            </w:r>
          </w:p>
        </w:tc>
        <w:tc>
          <w:tcPr>
            <w:tcW w:w="1029" w:type="pct"/>
            <w:noWrap/>
            <w:vAlign w:val="center"/>
          </w:tcPr>
          <w:p w14:paraId="287BE2FD">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1050</w:t>
            </w:r>
          </w:p>
        </w:tc>
        <w:tc>
          <w:tcPr>
            <w:tcW w:w="932" w:type="pct"/>
            <w:noWrap/>
            <w:vAlign w:val="center"/>
          </w:tcPr>
          <w:p w14:paraId="2434D809">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0.94</w:t>
            </w:r>
          </w:p>
        </w:tc>
        <w:tc>
          <w:tcPr>
            <w:tcW w:w="932" w:type="pct"/>
            <w:noWrap/>
            <w:vAlign w:val="center"/>
          </w:tcPr>
          <w:p w14:paraId="6B561F67">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1640</w:t>
            </w:r>
          </w:p>
        </w:tc>
        <w:tc>
          <w:tcPr>
            <w:tcW w:w="932" w:type="pct"/>
            <w:noWrap/>
            <w:vAlign w:val="center"/>
          </w:tcPr>
          <w:p w14:paraId="33BFBD62">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0.18</w:t>
            </w:r>
          </w:p>
        </w:tc>
      </w:tr>
      <w:tr w14:paraId="78C458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73" w:type="pct"/>
            <w:noWrap/>
            <w:vAlign w:val="center"/>
          </w:tcPr>
          <w:p w14:paraId="399DB7DC">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3000</w:t>
            </w:r>
          </w:p>
        </w:tc>
        <w:tc>
          <w:tcPr>
            <w:tcW w:w="1029" w:type="pct"/>
            <w:noWrap/>
            <w:vAlign w:val="center"/>
          </w:tcPr>
          <w:p w14:paraId="72A338C1">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2040</w:t>
            </w:r>
          </w:p>
        </w:tc>
        <w:tc>
          <w:tcPr>
            <w:tcW w:w="932" w:type="pct"/>
            <w:noWrap/>
            <w:vAlign w:val="center"/>
          </w:tcPr>
          <w:p w14:paraId="57703892">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0.21</w:t>
            </w:r>
          </w:p>
        </w:tc>
        <w:tc>
          <w:tcPr>
            <w:tcW w:w="932" w:type="pct"/>
            <w:noWrap/>
            <w:vAlign w:val="center"/>
          </w:tcPr>
          <w:p w14:paraId="739F6AA9">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2640</w:t>
            </w:r>
          </w:p>
        </w:tc>
        <w:tc>
          <w:tcPr>
            <w:tcW w:w="932" w:type="pct"/>
            <w:noWrap/>
            <w:vAlign w:val="center"/>
          </w:tcPr>
          <w:p w14:paraId="7AC5290A">
            <w:pPr>
              <w:widowControl/>
              <w:adjustRightInd w:val="0"/>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0.11</w:t>
            </w:r>
          </w:p>
        </w:tc>
      </w:tr>
      <w:tr w14:paraId="6B021F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73" w:type="pct"/>
            <w:noWrap/>
            <w:vAlign w:val="center"/>
          </w:tcPr>
          <w:p w14:paraId="1F7A4D38">
            <w:pPr>
              <w:widowControl/>
              <w:adjustRightInd w:val="0"/>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4000</w:t>
            </w:r>
          </w:p>
        </w:tc>
        <w:tc>
          <w:tcPr>
            <w:tcW w:w="1029" w:type="pct"/>
            <w:noWrap/>
            <w:vAlign w:val="center"/>
          </w:tcPr>
          <w:p w14:paraId="31F11936">
            <w:pPr>
              <w:widowControl/>
              <w:adjustRightInd w:val="0"/>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2100</w:t>
            </w:r>
          </w:p>
        </w:tc>
        <w:tc>
          <w:tcPr>
            <w:tcW w:w="932" w:type="pct"/>
            <w:noWrap/>
            <w:vAlign w:val="center"/>
          </w:tcPr>
          <w:p w14:paraId="1ED7AEA6">
            <w:pPr>
              <w:widowControl/>
              <w:adjustRightInd w:val="0"/>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0.067</w:t>
            </w:r>
          </w:p>
        </w:tc>
        <w:tc>
          <w:tcPr>
            <w:tcW w:w="932" w:type="pct"/>
            <w:noWrap/>
            <w:vAlign w:val="center"/>
          </w:tcPr>
          <w:p w14:paraId="5C971149">
            <w:pPr>
              <w:widowControl/>
              <w:adjustRightInd w:val="0"/>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3250</w:t>
            </w:r>
          </w:p>
        </w:tc>
        <w:tc>
          <w:tcPr>
            <w:tcW w:w="932" w:type="pct"/>
            <w:noWrap/>
            <w:vAlign w:val="center"/>
          </w:tcPr>
          <w:p w14:paraId="09610B7B">
            <w:pPr>
              <w:widowControl/>
              <w:adjustRightInd w:val="0"/>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0.071</w:t>
            </w:r>
          </w:p>
        </w:tc>
      </w:tr>
      <w:tr w14:paraId="58365E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173" w:type="pct"/>
            <w:noWrap/>
            <w:vAlign w:val="center"/>
          </w:tcPr>
          <w:p w14:paraId="4B7FB669">
            <w:pPr>
              <w:widowControl/>
              <w:adjustRightInd w:val="0"/>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5000</w:t>
            </w:r>
          </w:p>
        </w:tc>
        <w:tc>
          <w:tcPr>
            <w:tcW w:w="1029" w:type="pct"/>
            <w:noWrap/>
            <w:vAlign w:val="center"/>
          </w:tcPr>
          <w:p w14:paraId="7D85C178">
            <w:pPr>
              <w:widowControl/>
              <w:adjustRightInd w:val="0"/>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2200</w:t>
            </w:r>
          </w:p>
        </w:tc>
        <w:tc>
          <w:tcPr>
            <w:tcW w:w="932" w:type="pct"/>
            <w:noWrap/>
            <w:vAlign w:val="center"/>
          </w:tcPr>
          <w:p w14:paraId="33EDFC2E">
            <w:pPr>
              <w:widowControl/>
              <w:adjustRightInd w:val="0"/>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0.016</w:t>
            </w:r>
          </w:p>
        </w:tc>
        <w:tc>
          <w:tcPr>
            <w:tcW w:w="932" w:type="pct"/>
            <w:noWrap/>
            <w:vAlign w:val="center"/>
          </w:tcPr>
          <w:p w14:paraId="2998E816">
            <w:pPr>
              <w:widowControl/>
              <w:adjustRightInd w:val="0"/>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4010</w:t>
            </w:r>
          </w:p>
        </w:tc>
        <w:tc>
          <w:tcPr>
            <w:tcW w:w="932" w:type="pct"/>
            <w:noWrap/>
            <w:vAlign w:val="center"/>
          </w:tcPr>
          <w:p w14:paraId="0F5C04F2">
            <w:pPr>
              <w:widowControl/>
              <w:adjustRightInd w:val="0"/>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0.044</w:t>
            </w:r>
          </w:p>
        </w:tc>
      </w:tr>
    </w:tbl>
    <w:p w14:paraId="5A0F86F9">
      <w:pPr>
        <w:adjustRightInd w:val="0"/>
        <w:snapToGrid w:val="0"/>
        <w:ind w:firstLine="422"/>
        <w:jc w:val="center"/>
        <w:rPr>
          <w:b/>
          <w:color w:val="000000" w:themeColor="text1"/>
          <w:sz w:val="24"/>
          <w14:textFill>
            <w14:solidFill>
              <w14:schemeClr w14:val="tx1"/>
            </w14:solidFill>
          </w14:textFill>
        </w:rPr>
      </w:pPr>
    </w:p>
    <w:p w14:paraId="090AE5A3">
      <w:pPr>
        <w:adjustRightInd w:val="0"/>
        <w:snapToGrid w:val="0"/>
        <w:ind w:firstLine="422"/>
        <w:jc w:val="center"/>
        <w:rPr>
          <w:b/>
          <w:color w:val="000000" w:themeColor="text1"/>
          <w:szCs w:val="21"/>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4.1-4</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 xml:space="preserve">敏感点氨浓度预测情况   </w:t>
      </w:r>
      <w:r>
        <w:rPr>
          <w:rFonts w:hint="eastAsia"/>
          <w:b/>
          <w:color w:val="000000" w:themeColor="text1"/>
          <w:szCs w:val="21"/>
          <w14:textFill>
            <w14:solidFill>
              <w14:schemeClr w14:val="tx1"/>
            </w14:solidFill>
          </w14:textFill>
        </w:rPr>
        <w:t>单位：</w:t>
      </w:r>
      <w:r>
        <w:rPr>
          <w:b/>
          <w:color w:val="000000" w:themeColor="text1"/>
          <w:szCs w:val="21"/>
          <w14:textFill>
            <w14:solidFill>
              <w14:schemeClr w14:val="tx1"/>
            </w14:solidFill>
          </w14:textFill>
        </w:rPr>
        <w:t>mg/m</w:t>
      </w:r>
      <w:r>
        <w:rPr>
          <w:b/>
          <w:color w:val="000000" w:themeColor="text1"/>
          <w:szCs w:val="21"/>
          <w:vertAlign w:val="superscript"/>
          <w14:textFill>
            <w14:solidFill>
              <w14:schemeClr w14:val="tx1"/>
            </w14:solidFill>
          </w14:textFill>
        </w:rPr>
        <w:t>3</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50"/>
        <w:gridCol w:w="1752"/>
        <w:gridCol w:w="1752"/>
        <w:gridCol w:w="1752"/>
        <w:gridCol w:w="1752"/>
      </w:tblGrid>
      <w:tr w14:paraId="142F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tcMar>
              <w:top w:w="15" w:type="dxa"/>
              <w:left w:w="15" w:type="dxa"/>
              <w:right w:w="15" w:type="dxa"/>
            </w:tcMar>
            <w:vAlign w:val="center"/>
          </w:tcPr>
          <w:p w14:paraId="021850DF">
            <w:pPr>
              <w:widowControl/>
              <w:snapToGrid w:val="0"/>
              <w:spacing w:line="240" w:lineRule="atLeas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敏感点名称</w:t>
            </w:r>
          </w:p>
        </w:tc>
        <w:tc>
          <w:tcPr>
            <w:tcW w:w="1000" w:type="pct"/>
            <w:tcMar>
              <w:top w:w="15" w:type="dxa"/>
              <w:left w:w="15" w:type="dxa"/>
              <w:right w:w="15" w:type="dxa"/>
            </w:tcMar>
            <w:vAlign w:val="center"/>
          </w:tcPr>
          <w:p w14:paraId="2B55CA90">
            <w:pPr>
              <w:pStyle w:val="5"/>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15min</w:t>
            </w:r>
          </w:p>
        </w:tc>
        <w:tc>
          <w:tcPr>
            <w:tcW w:w="1000" w:type="pct"/>
            <w:tcMar>
              <w:top w:w="15" w:type="dxa"/>
              <w:left w:w="15" w:type="dxa"/>
              <w:right w:w="15" w:type="dxa"/>
            </w:tcMar>
            <w:vAlign w:val="center"/>
          </w:tcPr>
          <w:p w14:paraId="4D740F49">
            <w:pPr>
              <w:pStyle w:val="5"/>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30min</w:t>
            </w:r>
          </w:p>
        </w:tc>
        <w:tc>
          <w:tcPr>
            <w:tcW w:w="1000" w:type="pct"/>
            <w:tcMar>
              <w:top w:w="15" w:type="dxa"/>
              <w:left w:w="15" w:type="dxa"/>
              <w:right w:w="15" w:type="dxa"/>
            </w:tcMar>
            <w:vAlign w:val="center"/>
          </w:tcPr>
          <w:p w14:paraId="787B3DCE">
            <w:pPr>
              <w:widowControl/>
              <w:snapToGrid w:val="0"/>
              <w:spacing w:line="240" w:lineRule="atLeas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毒性终点浓度-1出现时刻</w:t>
            </w:r>
          </w:p>
        </w:tc>
        <w:tc>
          <w:tcPr>
            <w:tcW w:w="1000" w:type="pct"/>
            <w:tcMar>
              <w:top w:w="15" w:type="dxa"/>
              <w:left w:w="15" w:type="dxa"/>
              <w:right w:w="15" w:type="dxa"/>
            </w:tcMar>
            <w:vAlign w:val="center"/>
          </w:tcPr>
          <w:p w14:paraId="2AFF0352">
            <w:pPr>
              <w:widowControl/>
              <w:snapToGrid w:val="0"/>
              <w:spacing w:line="240" w:lineRule="atLeas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毒性终点浓度-2出现时刻</w:t>
            </w:r>
          </w:p>
        </w:tc>
      </w:tr>
      <w:tr w14:paraId="36EC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tcMar>
              <w:top w:w="15" w:type="dxa"/>
              <w:left w:w="15" w:type="dxa"/>
              <w:right w:w="15" w:type="dxa"/>
            </w:tcMar>
            <w:vAlign w:val="center"/>
          </w:tcPr>
          <w:p w14:paraId="6F232F9C">
            <w:pPr>
              <w:adjustRightInd w:val="0"/>
              <w:snapToGrid w:val="0"/>
              <w:jc w:val="center"/>
              <w:rPr>
                <w:color w:val="000000" w:themeColor="text1"/>
                <w:sz w:val="23"/>
                <w:szCs w:val="23"/>
                <w14:textFill>
                  <w14:solidFill>
                    <w14:schemeClr w14:val="tx1"/>
                  </w14:solidFill>
                </w14:textFill>
              </w:rPr>
            </w:pPr>
            <w:r>
              <w:rPr>
                <w:rFonts w:hint="eastAsia"/>
                <w:color w:val="000000" w:themeColor="text1"/>
                <w:kern w:val="0"/>
                <w:szCs w:val="21"/>
                <w14:textFill>
                  <w14:solidFill>
                    <w14:schemeClr w14:val="tx1"/>
                  </w14:solidFill>
                </w14:textFill>
              </w:rPr>
              <w:t>硫磺山村</w:t>
            </w:r>
          </w:p>
        </w:tc>
        <w:tc>
          <w:tcPr>
            <w:tcW w:w="1000" w:type="pct"/>
            <w:tcMar>
              <w:top w:w="15" w:type="dxa"/>
              <w:left w:w="15" w:type="dxa"/>
              <w:right w:w="15" w:type="dxa"/>
            </w:tcMar>
            <w:vAlign w:val="center"/>
          </w:tcPr>
          <w:p w14:paraId="3851E182">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0.003</w:t>
            </w:r>
          </w:p>
        </w:tc>
        <w:tc>
          <w:tcPr>
            <w:tcW w:w="1000" w:type="pct"/>
            <w:tcMar>
              <w:top w:w="15" w:type="dxa"/>
              <w:left w:w="15" w:type="dxa"/>
              <w:right w:w="15" w:type="dxa"/>
            </w:tcMar>
            <w:vAlign w:val="center"/>
          </w:tcPr>
          <w:p w14:paraId="30758CD2">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0.068</w:t>
            </w:r>
          </w:p>
        </w:tc>
        <w:tc>
          <w:tcPr>
            <w:tcW w:w="1000" w:type="pct"/>
            <w:tcMar>
              <w:top w:w="15" w:type="dxa"/>
              <w:left w:w="15" w:type="dxa"/>
              <w:right w:w="15" w:type="dxa"/>
            </w:tcMar>
            <w:vAlign w:val="center"/>
          </w:tcPr>
          <w:p w14:paraId="28A82284">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c>
          <w:tcPr>
            <w:tcW w:w="1000" w:type="pct"/>
            <w:tcMar>
              <w:top w:w="15" w:type="dxa"/>
              <w:left w:w="15" w:type="dxa"/>
              <w:right w:w="15" w:type="dxa"/>
            </w:tcMar>
            <w:vAlign w:val="center"/>
          </w:tcPr>
          <w:p w14:paraId="5540EDB4">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r>
      <w:tr w14:paraId="26A19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tcMar>
              <w:top w:w="15" w:type="dxa"/>
              <w:left w:w="15" w:type="dxa"/>
              <w:right w:w="15" w:type="dxa"/>
            </w:tcMar>
            <w:vAlign w:val="center"/>
          </w:tcPr>
          <w:p w14:paraId="15662780">
            <w:pPr>
              <w:spacing w:line="240" w:lineRule="exact"/>
              <w:jc w:val="center"/>
              <w:rPr>
                <w:color w:val="000000" w:themeColor="text1"/>
                <w:sz w:val="23"/>
                <w:szCs w:val="23"/>
                <w14:textFill>
                  <w14:solidFill>
                    <w14:schemeClr w14:val="tx1"/>
                  </w14:solidFill>
                </w14:textFill>
              </w:rPr>
            </w:pPr>
            <w:r>
              <w:rPr>
                <w:rFonts w:hint="eastAsia"/>
                <w:color w:val="000000" w:themeColor="text1"/>
                <w:szCs w:val="21"/>
                <w14:textFill>
                  <w14:solidFill>
                    <w14:schemeClr w14:val="tx1"/>
                  </w14:solidFill>
                </w14:textFill>
              </w:rPr>
              <w:t>大坑村</w:t>
            </w:r>
          </w:p>
        </w:tc>
        <w:tc>
          <w:tcPr>
            <w:tcW w:w="1000" w:type="pct"/>
            <w:tcMar>
              <w:top w:w="15" w:type="dxa"/>
              <w:left w:w="15" w:type="dxa"/>
              <w:right w:w="15" w:type="dxa"/>
            </w:tcMar>
            <w:vAlign w:val="center"/>
          </w:tcPr>
          <w:p w14:paraId="6E97E7BD">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0.0015</w:t>
            </w:r>
          </w:p>
        </w:tc>
        <w:tc>
          <w:tcPr>
            <w:tcW w:w="1000" w:type="pct"/>
            <w:tcMar>
              <w:top w:w="15" w:type="dxa"/>
              <w:left w:w="15" w:type="dxa"/>
              <w:right w:w="15" w:type="dxa"/>
            </w:tcMar>
            <w:vAlign w:val="center"/>
          </w:tcPr>
          <w:p w14:paraId="0F936886">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0.039</w:t>
            </w:r>
          </w:p>
        </w:tc>
        <w:tc>
          <w:tcPr>
            <w:tcW w:w="1000" w:type="pct"/>
            <w:tcMar>
              <w:top w:w="15" w:type="dxa"/>
              <w:left w:w="15" w:type="dxa"/>
              <w:right w:w="15" w:type="dxa"/>
            </w:tcMar>
            <w:vAlign w:val="center"/>
          </w:tcPr>
          <w:p w14:paraId="251DA909">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c>
          <w:tcPr>
            <w:tcW w:w="1000" w:type="pct"/>
            <w:tcMar>
              <w:top w:w="15" w:type="dxa"/>
              <w:left w:w="15" w:type="dxa"/>
              <w:right w:w="15" w:type="dxa"/>
            </w:tcMar>
            <w:vAlign w:val="center"/>
          </w:tcPr>
          <w:p w14:paraId="7DEA7543">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r>
      <w:tr w14:paraId="5309F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tcMar>
              <w:top w:w="15" w:type="dxa"/>
              <w:left w:w="15" w:type="dxa"/>
              <w:right w:w="15" w:type="dxa"/>
            </w:tcMar>
            <w:vAlign w:val="center"/>
          </w:tcPr>
          <w:p w14:paraId="20504FC7">
            <w:pPr>
              <w:spacing w:line="240" w:lineRule="exact"/>
              <w:jc w:val="center"/>
              <w:rPr>
                <w:color w:val="000000" w:themeColor="text1"/>
                <w:sz w:val="23"/>
                <w:szCs w:val="23"/>
                <w14:textFill>
                  <w14:solidFill>
                    <w14:schemeClr w14:val="tx1"/>
                  </w14:solidFill>
                </w14:textFill>
              </w:rPr>
            </w:pPr>
            <w:r>
              <w:rPr>
                <w:rFonts w:hint="eastAsia"/>
                <w:color w:val="000000" w:themeColor="text1"/>
                <w:szCs w:val="21"/>
                <w14:textFill>
                  <w14:solidFill>
                    <w14:schemeClr w14:val="tx1"/>
                  </w14:solidFill>
                </w14:textFill>
              </w:rPr>
              <w:t>鸡墩头村</w:t>
            </w:r>
          </w:p>
        </w:tc>
        <w:tc>
          <w:tcPr>
            <w:tcW w:w="1000" w:type="pct"/>
            <w:tcMar>
              <w:top w:w="15" w:type="dxa"/>
              <w:left w:w="15" w:type="dxa"/>
              <w:right w:w="15" w:type="dxa"/>
            </w:tcMar>
            <w:vAlign w:val="center"/>
          </w:tcPr>
          <w:p w14:paraId="7CAC1227">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000" w:type="pct"/>
            <w:tcMar>
              <w:top w:w="15" w:type="dxa"/>
              <w:left w:w="15" w:type="dxa"/>
              <w:right w:w="15" w:type="dxa"/>
            </w:tcMar>
            <w:vAlign w:val="center"/>
          </w:tcPr>
          <w:p w14:paraId="0EFF6633">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0.015</w:t>
            </w:r>
          </w:p>
        </w:tc>
        <w:tc>
          <w:tcPr>
            <w:tcW w:w="1000" w:type="pct"/>
            <w:tcMar>
              <w:top w:w="15" w:type="dxa"/>
              <w:left w:w="15" w:type="dxa"/>
              <w:right w:w="15" w:type="dxa"/>
            </w:tcMar>
            <w:vAlign w:val="center"/>
          </w:tcPr>
          <w:p w14:paraId="77007E34">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c>
          <w:tcPr>
            <w:tcW w:w="1000" w:type="pct"/>
            <w:tcMar>
              <w:top w:w="15" w:type="dxa"/>
              <w:left w:w="15" w:type="dxa"/>
              <w:right w:w="15" w:type="dxa"/>
            </w:tcMar>
            <w:vAlign w:val="center"/>
          </w:tcPr>
          <w:p w14:paraId="68F67C43">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r>
      <w:tr w14:paraId="50189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tcMar>
              <w:top w:w="15" w:type="dxa"/>
              <w:left w:w="15" w:type="dxa"/>
              <w:right w:w="15" w:type="dxa"/>
            </w:tcMar>
            <w:vAlign w:val="center"/>
          </w:tcPr>
          <w:p w14:paraId="40FF12FC">
            <w:pPr>
              <w:spacing w:line="240" w:lineRule="exact"/>
              <w:jc w:val="center"/>
              <w:rPr>
                <w:color w:val="000000" w:themeColor="text1"/>
                <w:sz w:val="23"/>
                <w:szCs w:val="23"/>
                <w14:textFill>
                  <w14:solidFill>
                    <w14:schemeClr w14:val="tx1"/>
                  </w14:solidFill>
                </w14:textFill>
              </w:rPr>
            </w:pPr>
            <w:r>
              <w:rPr>
                <w:rFonts w:hint="eastAsia"/>
                <w:color w:val="000000" w:themeColor="text1"/>
                <w:szCs w:val="21"/>
                <w14:textFill>
                  <w14:solidFill>
                    <w14:schemeClr w14:val="tx1"/>
                  </w14:solidFill>
                </w14:textFill>
              </w:rPr>
              <w:t>过山路村</w:t>
            </w:r>
          </w:p>
        </w:tc>
        <w:tc>
          <w:tcPr>
            <w:tcW w:w="1000" w:type="pct"/>
            <w:tcMar>
              <w:top w:w="15" w:type="dxa"/>
              <w:left w:w="15" w:type="dxa"/>
              <w:right w:w="15" w:type="dxa"/>
            </w:tcMar>
            <w:vAlign w:val="center"/>
          </w:tcPr>
          <w:p w14:paraId="04303A01">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000" w:type="pct"/>
            <w:tcMar>
              <w:top w:w="15" w:type="dxa"/>
              <w:left w:w="15" w:type="dxa"/>
              <w:right w:w="15" w:type="dxa"/>
            </w:tcMar>
            <w:vAlign w:val="center"/>
          </w:tcPr>
          <w:p w14:paraId="2B0E65A5">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0.015</w:t>
            </w:r>
          </w:p>
        </w:tc>
        <w:tc>
          <w:tcPr>
            <w:tcW w:w="1000" w:type="pct"/>
            <w:tcMar>
              <w:top w:w="15" w:type="dxa"/>
              <w:left w:w="15" w:type="dxa"/>
              <w:right w:w="15" w:type="dxa"/>
            </w:tcMar>
            <w:vAlign w:val="center"/>
          </w:tcPr>
          <w:p w14:paraId="625E4707">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c>
          <w:tcPr>
            <w:tcW w:w="1000" w:type="pct"/>
            <w:tcMar>
              <w:top w:w="15" w:type="dxa"/>
              <w:left w:w="15" w:type="dxa"/>
              <w:right w:w="15" w:type="dxa"/>
            </w:tcMar>
            <w:vAlign w:val="center"/>
          </w:tcPr>
          <w:p w14:paraId="55D7BA73">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r>
      <w:tr w14:paraId="359C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tcMar>
              <w:top w:w="15" w:type="dxa"/>
              <w:left w:w="15" w:type="dxa"/>
              <w:right w:w="15" w:type="dxa"/>
            </w:tcMar>
            <w:vAlign w:val="center"/>
          </w:tcPr>
          <w:p w14:paraId="5B8A3997">
            <w:pPr>
              <w:spacing w:line="240" w:lineRule="exact"/>
              <w:jc w:val="center"/>
              <w:rPr>
                <w:color w:val="000000" w:themeColor="text1"/>
                <w:sz w:val="23"/>
                <w:szCs w:val="23"/>
                <w14:textFill>
                  <w14:solidFill>
                    <w14:schemeClr w14:val="tx1"/>
                  </w14:solidFill>
                </w14:textFill>
              </w:rPr>
            </w:pPr>
            <w:r>
              <w:rPr>
                <w:rFonts w:hint="eastAsia"/>
                <w:color w:val="000000" w:themeColor="text1"/>
                <w:szCs w:val="21"/>
                <w14:textFill>
                  <w14:solidFill>
                    <w14:schemeClr w14:val="tx1"/>
                  </w14:solidFill>
                </w14:textFill>
              </w:rPr>
              <w:t>淡水湾村</w:t>
            </w:r>
          </w:p>
        </w:tc>
        <w:tc>
          <w:tcPr>
            <w:tcW w:w="1000" w:type="pct"/>
            <w:tcMar>
              <w:top w:w="15" w:type="dxa"/>
              <w:left w:w="15" w:type="dxa"/>
              <w:right w:w="15" w:type="dxa"/>
            </w:tcMar>
            <w:vAlign w:val="center"/>
          </w:tcPr>
          <w:p w14:paraId="03C2A5DF">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000" w:type="pct"/>
            <w:tcMar>
              <w:top w:w="15" w:type="dxa"/>
              <w:left w:w="15" w:type="dxa"/>
              <w:right w:w="15" w:type="dxa"/>
            </w:tcMar>
            <w:vAlign w:val="center"/>
          </w:tcPr>
          <w:p w14:paraId="7556A097">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0.0056</w:t>
            </w:r>
          </w:p>
        </w:tc>
        <w:tc>
          <w:tcPr>
            <w:tcW w:w="1000" w:type="pct"/>
            <w:tcMar>
              <w:top w:w="15" w:type="dxa"/>
              <w:left w:w="15" w:type="dxa"/>
              <w:right w:w="15" w:type="dxa"/>
            </w:tcMar>
            <w:vAlign w:val="center"/>
          </w:tcPr>
          <w:p w14:paraId="175BC70E">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c>
          <w:tcPr>
            <w:tcW w:w="1000" w:type="pct"/>
            <w:tcMar>
              <w:top w:w="15" w:type="dxa"/>
              <w:left w:w="15" w:type="dxa"/>
              <w:right w:w="15" w:type="dxa"/>
            </w:tcMar>
            <w:vAlign w:val="center"/>
          </w:tcPr>
          <w:p w14:paraId="36F023DA">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r>
      <w:tr w14:paraId="79C2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tcMar>
              <w:top w:w="15" w:type="dxa"/>
              <w:left w:w="15" w:type="dxa"/>
              <w:right w:w="15" w:type="dxa"/>
            </w:tcMar>
            <w:vAlign w:val="center"/>
          </w:tcPr>
          <w:p w14:paraId="43483301">
            <w:pPr>
              <w:spacing w:line="240" w:lineRule="exact"/>
              <w:jc w:val="center"/>
              <w:rPr>
                <w:color w:val="000000" w:themeColor="text1"/>
                <w:sz w:val="23"/>
                <w:szCs w:val="23"/>
                <w14:textFill>
                  <w14:solidFill>
                    <w14:schemeClr w14:val="tx1"/>
                  </w14:solidFill>
                </w14:textFill>
              </w:rPr>
            </w:pPr>
            <w:r>
              <w:rPr>
                <w:rFonts w:hint="eastAsia"/>
                <w:color w:val="000000" w:themeColor="text1"/>
                <w:szCs w:val="21"/>
                <w14:textFill>
                  <w14:solidFill>
                    <w14:schemeClr w14:val="tx1"/>
                  </w14:solidFill>
                </w14:textFill>
              </w:rPr>
              <w:t>钦州港开发区第七小学</w:t>
            </w:r>
          </w:p>
        </w:tc>
        <w:tc>
          <w:tcPr>
            <w:tcW w:w="1000" w:type="pct"/>
            <w:tcMar>
              <w:top w:w="15" w:type="dxa"/>
              <w:left w:w="15" w:type="dxa"/>
              <w:right w:w="15" w:type="dxa"/>
            </w:tcMar>
            <w:vAlign w:val="center"/>
          </w:tcPr>
          <w:p w14:paraId="1D651316">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0.0017</w:t>
            </w:r>
          </w:p>
        </w:tc>
        <w:tc>
          <w:tcPr>
            <w:tcW w:w="1000" w:type="pct"/>
            <w:tcMar>
              <w:top w:w="15" w:type="dxa"/>
              <w:left w:w="15" w:type="dxa"/>
              <w:right w:w="15" w:type="dxa"/>
            </w:tcMar>
            <w:vAlign w:val="center"/>
          </w:tcPr>
          <w:p w14:paraId="4B7E5B37">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0.043</w:t>
            </w:r>
          </w:p>
        </w:tc>
        <w:tc>
          <w:tcPr>
            <w:tcW w:w="1000" w:type="pct"/>
            <w:tcMar>
              <w:top w:w="15" w:type="dxa"/>
              <w:left w:w="15" w:type="dxa"/>
              <w:right w:w="15" w:type="dxa"/>
            </w:tcMar>
            <w:vAlign w:val="center"/>
          </w:tcPr>
          <w:p w14:paraId="497E3B20">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c>
          <w:tcPr>
            <w:tcW w:w="1000" w:type="pct"/>
            <w:tcMar>
              <w:top w:w="15" w:type="dxa"/>
              <w:left w:w="15" w:type="dxa"/>
              <w:right w:w="15" w:type="dxa"/>
            </w:tcMar>
            <w:vAlign w:val="center"/>
          </w:tcPr>
          <w:p w14:paraId="0AAF14EB">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r>
      <w:tr w14:paraId="02527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tcMar>
              <w:top w:w="15" w:type="dxa"/>
              <w:left w:w="15" w:type="dxa"/>
              <w:right w:w="15" w:type="dxa"/>
            </w:tcMar>
            <w:vAlign w:val="center"/>
          </w:tcPr>
          <w:p w14:paraId="28D6F4A7">
            <w:pPr>
              <w:spacing w:line="240" w:lineRule="exact"/>
              <w:jc w:val="center"/>
              <w:rPr>
                <w:color w:val="000000" w:themeColor="text1"/>
                <w:sz w:val="23"/>
                <w:szCs w:val="23"/>
                <w14:textFill>
                  <w14:solidFill>
                    <w14:schemeClr w14:val="tx1"/>
                  </w14:solidFill>
                </w14:textFill>
              </w:rPr>
            </w:pPr>
            <w:r>
              <w:rPr>
                <w:rFonts w:hint="eastAsia"/>
                <w:color w:val="000000" w:themeColor="text1"/>
                <w:szCs w:val="21"/>
                <w14:textFill>
                  <w14:solidFill>
                    <w14:schemeClr w14:val="tx1"/>
                  </w14:solidFill>
                </w14:textFill>
              </w:rPr>
              <w:t>钦州港第五小学</w:t>
            </w:r>
          </w:p>
        </w:tc>
        <w:tc>
          <w:tcPr>
            <w:tcW w:w="1000" w:type="pct"/>
            <w:tcMar>
              <w:top w:w="15" w:type="dxa"/>
              <w:left w:w="15" w:type="dxa"/>
              <w:right w:w="15" w:type="dxa"/>
            </w:tcMar>
            <w:vAlign w:val="center"/>
          </w:tcPr>
          <w:p w14:paraId="640CFBE1">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000" w:type="pct"/>
            <w:tcMar>
              <w:top w:w="15" w:type="dxa"/>
              <w:left w:w="15" w:type="dxa"/>
              <w:right w:w="15" w:type="dxa"/>
            </w:tcMar>
            <w:vAlign w:val="center"/>
          </w:tcPr>
          <w:p w14:paraId="405DB0F5">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0.022</w:t>
            </w:r>
          </w:p>
        </w:tc>
        <w:tc>
          <w:tcPr>
            <w:tcW w:w="1000" w:type="pct"/>
            <w:tcMar>
              <w:top w:w="15" w:type="dxa"/>
              <w:left w:w="15" w:type="dxa"/>
              <w:right w:w="15" w:type="dxa"/>
            </w:tcMar>
            <w:vAlign w:val="center"/>
          </w:tcPr>
          <w:p w14:paraId="655A85C9">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c>
          <w:tcPr>
            <w:tcW w:w="1000" w:type="pct"/>
            <w:tcMar>
              <w:top w:w="15" w:type="dxa"/>
              <w:left w:w="15" w:type="dxa"/>
              <w:right w:w="15" w:type="dxa"/>
            </w:tcMar>
            <w:vAlign w:val="center"/>
          </w:tcPr>
          <w:p w14:paraId="5CCB679B">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r>
      <w:tr w14:paraId="5518C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tcMar>
              <w:top w:w="15" w:type="dxa"/>
              <w:left w:w="15" w:type="dxa"/>
              <w:right w:w="15" w:type="dxa"/>
            </w:tcMar>
            <w:vAlign w:val="center"/>
          </w:tcPr>
          <w:p w14:paraId="314F2D34">
            <w:pPr>
              <w:spacing w:line="240" w:lineRule="exact"/>
              <w:jc w:val="center"/>
              <w:rPr>
                <w:color w:val="000000" w:themeColor="text1"/>
                <w:sz w:val="23"/>
                <w:szCs w:val="23"/>
                <w14:textFill>
                  <w14:solidFill>
                    <w14:schemeClr w14:val="tx1"/>
                  </w14:solidFill>
                </w14:textFill>
              </w:rPr>
            </w:pPr>
            <w:r>
              <w:rPr>
                <w:rFonts w:hint="eastAsia"/>
                <w:color w:val="000000" w:themeColor="text1"/>
                <w:szCs w:val="21"/>
                <w14:textFill>
                  <w14:solidFill>
                    <w14:schemeClr w14:val="tx1"/>
                  </w14:solidFill>
                </w14:textFill>
              </w:rPr>
              <w:t>东港区第一幼儿园</w:t>
            </w:r>
          </w:p>
        </w:tc>
        <w:tc>
          <w:tcPr>
            <w:tcW w:w="1000" w:type="pct"/>
            <w:tcMar>
              <w:top w:w="15" w:type="dxa"/>
              <w:left w:w="15" w:type="dxa"/>
              <w:right w:w="15" w:type="dxa"/>
            </w:tcMar>
            <w:vAlign w:val="center"/>
          </w:tcPr>
          <w:p w14:paraId="009ADEDF">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000" w:type="pct"/>
            <w:tcMar>
              <w:top w:w="15" w:type="dxa"/>
              <w:left w:w="15" w:type="dxa"/>
              <w:right w:w="15" w:type="dxa"/>
            </w:tcMar>
            <w:vAlign w:val="center"/>
          </w:tcPr>
          <w:p w14:paraId="5CA47BCD">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0.0081</w:t>
            </w:r>
          </w:p>
        </w:tc>
        <w:tc>
          <w:tcPr>
            <w:tcW w:w="1000" w:type="pct"/>
            <w:tcMar>
              <w:top w:w="15" w:type="dxa"/>
              <w:left w:w="15" w:type="dxa"/>
              <w:right w:w="15" w:type="dxa"/>
            </w:tcMar>
            <w:vAlign w:val="center"/>
          </w:tcPr>
          <w:p w14:paraId="2D2E5A1D">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c>
          <w:tcPr>
            <w:tcW w:w="1000" w:type="pct"/>
            <w:tcMar>
              <w:top w:w="15" w:type="dxa"/>
              <w:left w:w="15" w:type="dxa"/>
              <w:right w:w="15" w:type="dxa"/>
            </w:tcMar>
            <w:vAlign w:val="center"/>
          </w:tcPr>
          <w:p w14:paraId="6643E0ED">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r>
    </w:tbl>
    <w:p w14:paraId="5E61F5C0">
      <w:pPr>
        <w:adjustRightInd w:val="0"/>
        <w:snapToGrid w:val="0"/>
        <w:spacing w:line="360" w:lineRule="auto"/>
        <w:ind w:firstLine="480" w:firstLineChars="200"/>
        <w:jc w:val="left"/>
        <w:rPr>
          <w:bCs/>
          <w:color w:val="000000" w:themeColor="text1"/>
          <w:sz w:val="24"/>
          <w14:textFill>
            <w14:solidFill>
              <w14:schemeClr w14:val="tx1"/>
            </w14:solidFill>
          </w14:textFill>
        </w:rPr>
      </w:pPr>
    </w:p>
    <w:p w14:paraId="4C560694">
      <w:pPr>
        <w:rPr>
          <w:color w:val="000000" w:themeColor="text1"/>
          <w14:textFill>
            <w14:solidFill>
              <w14:schemeClr w14:val="tx1"/>
            </w14:solidFill>
          </w14:textFill>
        </w:rPr>
      </w:pPr>
    </w:p>
    <w:p w14:paraId="2D004BA5">
      <w:pPr>
        <w:rPr>
          <w:bCs/>
          <w:color w:val="000000" w:themeColor="text1"/>
          <w:sz w:val="24"/>
          <w14:textFill>
            <w14:solidFill>
              <w14:schemeClr w14:val="tx1"/>
            </w14:solidFill>
          </w14:textFill>
        </w:rPr>
      </w:pPr>
    </w:p>
    <w:p w14:paraId="41CA6C9A">
      <w:pPr>
        <w:rPr>
          <w:color w:val="000000" w:themeColor="text1"/>
          <w14:textFill>
            <w14:solidFill>
              <w14:schemeClr w14:val="tx1"/>
            </w14:solidFill>
          </w14:textFill>
        </w:rPr>
      </w:pPr>
    </w:p>
    <w:p w14:paraId="150C7DAA">
      <w:pPr>
        <w:rPr>
          <w:color w:val="000000" w:themeColor="text1"/>
          <w14:textFill>
            <w14:solidFill>
              <w14:schemeClr w14:val="tx1"/>
            </w14:solidFill>
          </w14:textFill>
        </w:rPr>
      </w:pPr>
    </w:p>
    <w:p w14:paraId="01EA1182">
      <w:pPr>
        <w:adjustRightInd w:val="0"/>
        <w:snapToGrid w:val="0"/>
        <w:ind w:firstLine="422"/>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4.1-5</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 xml:space="preserve">敏感点二氧化硫浓度预测情况     </w:t>
      </w:r>
      <w:r>
        <w:rPr>
          <w:rFonts w:hint="eastAsia"/>
          <w:b/>
          <w:color w:val="000000" w:themeColor="text1"/>
          <w:szCs w:val="21"/>
          <w14:textFill>
            <w14:solidFill>
              <w14:schemeClr w14:val="tx1"/>
            </w14:solidFill>
          </w14:textFill>
        </w:rPr>
        <w:t>单位：</w:t>
      </w:r>
      <w:r>
        <w:rPr>
          <w:b/>
          <w:color w:val="000000" w:themeColor="text1"/>
          <w:szCs w:val="21"/>
          <w14:textFill>
            <w14:solidFill>
              <w14:schemeClr w14:val="tx1"/>
            </w14:solidFill>
          </w14:textFill>
        </w:rPr>
        <w:t>mg/m</w:t>
      </w:r>
      <w:r>
        <w:rPr>
          <w:b/>
          <w:color w:val="000000" w:themeColor="text1"/>
          <w:szCs w:val="21"/>
          <w:vertAlign w:val="superscript"/>
          <w14:textFill>
            <w14:solidFill>
              <w14:schemeClr w14:val="tx1"/>
            </w14:solidFill>
          </w14:textFill>
        </w:rPr>
        <w:t>3</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50"/>
        <w:gridCol w:w="1752"/>
        <w:gridCol w:w="1752"/>
        <w:gridCol w:w="1752"/>
        <w:gridCol w:w="1752"/>
      </w:tblGrid>
      <w:tr w14:paraId="302B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tcMar>
              <w:top w:w="15" w:type="dxa"/>
              <w:left w:w="15" w:type="dxa"/>
              <w:right w:w="15" w:type="dxa"/>
            </w:tcMar>
            <w:vAlign w:val="center"/>
          </w:tcPr>
          <w:p w14:paraId="738ECFC0">
            <w:pPr>
              <w:widowControl/>
              <w:snapToGrid w:val="0"/>
              <w:spacing w:line="240" w:lineRule="atLeas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敏感点名称</w:t>
            </w:r>
          </w:p>
        </w:tc>
        <w:tc>
          <w:tcPr>
            <w:tcW w:w="1000" w:type="pct"/>
            <w:tcMar>
              <w:top w:w="15" w:type="dxa"/>
              <w:left w:w="15" w:type="dxa"/>
              <w:right w:w="15" w:type="dxa"/>
            </w:tcMar>
            <w:vAlign w:val="center"/>
          </w:tcPr>
          <w:p w14:paraId="5143930E">
            <w:pPr>
              <w:pStyle w:val="5"/>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15min</w:t>
            </w:r>
          </w:p>
        </w:tc>
        <w:tc>
          <w:tcPr>
            <w:tcW w:w="1000" w:type="pct"/>
            <w:tcMar>
              <w:top w:w="15" w:type="dxa"/>
              <w:left w:w="15" w:type="dxa"/>
              <w:right w:w="15" w:type="dxa"/>
            </w:tcMar>
            <w:vAlign w:val="center"/>
          </w:tcPr>
          <w:p w14:paraId="50E9ACC5">
            <w:pPr>
              <w:pStyle w:val="5"/>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30min</w:t>
            </w:r>
          </w:p>
        </w:tc>
        <w:tc>
          <w:tcPr>
            <w:tcW w:w="1000" w:type="pct"/>
            <w:tcMar>
              <w:top w:w="15" w:type="dxa"/>
              <w:left w:w="15" w:type="dxa"/>
              <w:right w:w="15" w:type="dxa"/>
            </w:tcMar>
            <w:vAlign w:val="center"/>
          </w:tcPr>
          <w:p w14:paraId="4EF26C6F">
            <w:pPr>
              <w:widowControl/>
              <w:snapToGrid w:val="0"/>
              <w:spacing w:line="240" w:lineRule="atLeas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毒性终点浓度-1出现时刻</w:t>
            </w:r>
          </w:p>
        </w:tc>
        <w:tc>
          <w:tcPr>
            <w:tcW w:w="1000" w:type="pct"/>
            <w:tcMar>
              <w:top w:w="15" w:type="dxa"/>
              <w:left w:w="15" w:type="dxa"/>
              <w:right w:w="15" w:type="dxa"/>
            </w:tcMar>
            <w:vAlign w:val="center"/>
          </w:tcPr>
          <w:p w14:paraId="343B9665">
            <w:pPr>
              <w:widowControl/>
              <w:snapToGrid w:val="0"/>
              <w:spacing w:line="240" w:lineRule="atLeast"/>
              <w:jc w:val="center"/>
              <w:textAlignment w:val="center"/>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毒性终点浓度-2出现时刻</w:t>
            </w:r>
          </w:p>
        </w:tc>
      </w:tr>
      <w:tr w14:paraId="475F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tcMar>
              <w:top w:w="15" w:type="dxa"/>
              <w:left w:w="15" w:type="dxa"/>
              <w:right w:w="15" w:type="dxa"/>
            </w:tcMar>
            <w:vAlign w:val="center"/>
          </w:tcPr>
          <w:p w14:paraId="3D6B0EE9">
            <w:pPr>
              <w:adjustRightInd w:val="0"/>
              <w:snapToGrid w:val="0"/>
              <w:jc w:val="center"/>
              <w:rPr>
                <w:color w:val="000000" w:themeColor="text1"/>
                <w:sz w:val="23"/>
                <w:szCs w:val="23"/>
                <w14:textFill>
                  <w14:solidFill>
                    <w14:schemeClr w14:val="tx1"/>
                  </w14:solidFill>
                </w14:textFill>
              </w:rPr>
            </w:pPr>
            <w:r>
              <w:rPr>
                <w:rFonts w:hint="eastAsia"/>
                <w:color w:val="000000" w:themeColor="text1"/>
                <w:kern w:val="0"/>
                <w:szCs w:val="21"/>
                <w14:textFill>
                  <w14:solidFill>
                    <w14:schemeClr w14:val="tx1"/>
                  </w14:solidFill>
                </w14:textFill>
              </w:rPr>
              <w:t>硫磺山村</w:t>
            </w:r>
          </w:p>
        </w:tc>
        <w:tc>
          <w:tcPr>
            <w:tcW w:w="1000" w:type="pct"/>
            <w:tcMar>
              <w:top w:w="15" w:type="dxa"/>
              <w:left w:w="15" w:type="dxa"/>
              <w:right w:w="15" w:type="dxa"/>
            </w:tcMar>
            <w:vAlign w:val="center"/>
          </w:tcPr>
          <w:p w14:paraId="222633B5">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000" w:type="pct"/>
            <w:tcMar>
              <w:top w:w="15" w:type="dxa"/>
              <w:left w:w="15" w:type="dxa"/>
              <w:right w:w="15" w:type="dxa"/>
            </w:tcMar>
            <w:vAlign w:val="center"/>
          </w:tcPr>
          <w:p w14:paraId="474DCBD9">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0.058</w:t>
            </w:r>
          </w:p>
        </w:tc>
        <w:tc>
          <w:tcPr>
            <w:tcW w:w="1000" w:type="pct"/>
            <w:tcMar>
              <w:top w:w="15" w:type="dxa"/>
              <w:left w:w="15" w:type="dxa"/>
              <w:right w:w="15" w:type="dxa"/>
            </w:tcMar>
            <w:vAlign w:val="center"/>
          </w:tcPr>
          <w:p w14:paraId="18F99A42">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c>
          <w:tcPr>
            <w:tcW w:w="1000" w:type="pct"/>
            <w:tcMar>
              <w:top w:w="15" w:type="dxa"/>
              <w:left w:w="15" w:type="dxa"/>
              <w:right w:w="15" w:type="dxa"/>
            </w:tcMar>
            <w:vAlign w:val="center"/>
          </w:tcPr>
          <w:p w14:paraId="5476A615">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r>
      <w:tr w14:paraId="2446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tcMar>
              <w:top w:w="15" w:type="dxa"/>
              <w:left w:w="15" w:type="dxa"/>
              <w:right w:w="15" w:type="dxa"/>
            </w:tcMar>
            <w:vAlign w:val="center"/>
          </w:tcPr>
          <w:p w14:paraId="5ED7B8FE">
            <w:pPr>
              <w:spacing w:line="240" w:lineRule="exact"/>
              <w:jc w:val="center"/>
              <w:rPr>
                <w:color w:val="000000" w:themeColor="text1"/>
                <w:sz w:val="23"/>
                <w:szCs w:val="23"/>
                <w14:textFill>
                  <w14:solidFill>
                    <w14:schemeClr w14:val="tx1"/>
                  </w14:solidFill>
                </w14:textFill>
              </w:rPr>
            </w:pPr>
            <w:r>
              <w:rPr>
                <w:rFonts w:hint="eastAsia"/>
                <w:color w:val="000000" w:themeColor="text1"/>
                <w:szCs w:val="21"/>
                <w14:textFill>
                  <w14:solidFill>
                    <w14:schemeClr w14:val="tx1"/>
                  </w14:solidFill>
                </w14:textFill>
              </w:rPr>
              <w:t>大坑村</w:t>
            </w:r>
          </w:p>
        </w:tc>
        <w:tc>
          <w:tcPr>
            <w:tcW w:w="1000" w:type="pct"/>
            <w:tcMar>
              <w:top w:w="15" w:type="dxa"/>
              <w:left w:w="15" w:type="dxa"/>
              <w:right w:w="15" w:type="dxa"/>
            </w:tcMar>
            <w:vAlign w:val="center"/>
          </w:tcPr>
          <w:p w14:paraId="35FD4ADC">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000" w:type="pct"/>
            <w:tcMar>
              <w:top w:w="15" w:type="dxa"/>
              <w:left w:w="15" w:type="dxa"/>
              <w:right w:w="15" w:type="dxa"/>
            </w:tcMar>
            <w:vAlign w:val="center"/>
          </w:tcPr>
          <w:p w14:paraId="6C0B18F0">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0.057</w:t>
            </w:r>
          </w:p>
        </w:tc>
        <w:tc>
          <w:tcPr>
            <w:tcW w:w="1000" w:type="pct"/>
            <w:tcMar>
              <w:top w:w="15" w:type="dxa"/>
              <w:left w:w="15" w:type="dxa"/>
              <w:right w:w="15" w:type="dxa"/>
            </w:tcMar>
            <w:vAlign w:val="center"/>
          </w:tcPr>
          <w:p w14:paraId="6E9641BA">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c>
          <w:tcPr>
            <w:tcW w:w="1000" w:type="pct"/>
            <w:tcMar>
              <w:top w:w="15" w:type="dxa"/>
              <w:left w:w="15" w:type="dxa"/>
              <w:right w:w="15" w:type="dxa"/>
            </w:tcMar>
            <w:vAlign w:val="center"/>
          </w:tcPr>
          <w:p w14:paraId="45B6B960">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r>
      <w:tr w14:paraId="66D1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tcMar>
              <w:top w:w="15" w:type="dxa"/>
              <w:left w:w="15" w:type="dxa"/>
              <w:right w:w="15" w:type="dxa"/>
            </w:tcMar>
            <w:vAlign w:val="center"/>
          </w:tcPr>
          <w:p w14:paraId="35980F4C">
            <w:pPr>
              <w:spacing w:line="240" w:lineRule="exact"/>
              <w:jc w:val="center"/>
              <w:rPr>
                <w:color w:val="000000" w:themeColor="text1"/>
                <w:sz w:val="23"/>
                <w:szCs w:val="23"/>
                <w14:textFill>
                  <w14:solidFill>
                    <w14:schemeClr w14:val="tx1"/>
                  </w14:solidFill>
                </w14:textFill>
              </w:rPr>
            </w:pPr>
            <w:r>
              <w:rPr>
                <w:rFonts w:hint="eastAsia"/>
                <w:color w:val="000000" w:themeColor="text1"/>
                <w:szCs w:val="21"/>
                <w14:textFill>
                  <w14:solidFill>
                    <w14:schemeClr w14:val="tx1"/>
                  </w14:solidFill>
                </w14:textFill>
              </w:rPr>
              <w:t>鸡墩头村</w:t>
            </w:r>
          </w:p>
        </w:tc>
        <w:tc>
          <w:tcPr>
            <w:tcW w:w="1000" w:type="pct"/>
            <w:tcMar>
              <w:top w:w="15" w:type="dxa"/>
              <w:left w:w="15" w:type="dxa"/>
              <w:right w:w="15" w:type="dxa"/>
            </w:tcMar>
            <w:vAlign w:val="center"/>
          </w:tcPr>
          <w:p w14:paraId="69D46F86">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000" w:type="pct"/>
            <w:tcMar>
              <w:top w:w="15" w:type="dxa"/>
              <w:left w:w="15" w:type="dxa"/>
              <w:right w:w="15" w:type="dxa"/>
            </w:tcMar>
            <w:vAlign w:val="center"/>
          </w:tcPr>
          <w:p w14:paraId="6750E35F">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000" w:type="pct"/>
            <w:tcMar>
              <w:top w:w="15" w:type="dxa"/>
              <w:left w:w="15" w:type="dxa"/>
              <w:right w:w="15" w:type="dxa"/>
            </w:tcMar>
            <w:vAlign w:val="center"/>
          </w:tcPr>
          <w:p w14:paraId="528D7928">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c>
          <w:tcPr>
            <w:tcW w:w="1000" w:type="pct"/>
            <w:tcMar>
              <w:top w:w="15" w:type="dxa"/>
              <w:left w:w="15" w:type="dxa"/>
              <w:right w:w="15" w:type="dxa"/>
            </w:tcMar>
            <w:vAlign w:val="center"/>
          </w:tcPr>
          <w:p w14:paraId="146033EA">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r>
      <w:tr w14:paraId="0BFA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tcMar>
              <w:top w:w="15" w:type="dxa"/>
              <w:left w:w="15" w:type="dxa"/>
              <w:right w:w="15" w:type="dxa"/>
            </w:tcMar>
            <w:vAlign w:val="center"/>
          </w:tcPr>
          <w:p w14:paraId="3673946C">
            <w:pPr>
              <w:spacing w:line="240" w:lineRule="exact"/>
              <w:jc w:val="center"/>
              <w:rPr>
                <w:color w:val="000000" w:themeColor="text1"/>
                <w:sz w:val="23"/>
                <w:szCs w:val="23"/>
                <w14:textFill>
                  <w14:solidFill>
                    <w14:schemeClr w14:val="tx1"/>
                  </w14:solidFill>
                </w14:textFill>
              </w:rPr>
            </w:pPr>
            <w:r>
              <w:rPr>
                <w:rFonts w:hint="eastAsia"/>
                <w:color w:val="000000" w:themeColor="text1"/>
                <w:szCs w:val="21"/>
                <w14:textFill>
                  <w14:solidFill>
                    <w14:schemeClr w14:val="tx1"/>
                  </w14:solidFill>
                </w14:textFill>
              </w:rPr>
              <w:t>过山路村</w:t>
            </w:r>
          </w:p>
        </w:tc>
        <w:tc>
          <w:tcPr>
            <w:tcW w:w="1000" w:type="pct"/>
            <w:tcMar>
              <w:top w:w="15" w:type="dxa"/>
              <w:left w:w="15" w:type="dxa"/>
              <w:right w:w="15" w:type="dxa"/>
            </w:tcMar>
            <w:vAlign w:val="center"/>
          </w:tcPr>
          <w:p w14:paraId="5C024608">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000" w:type="pct"/>
            <w:tcMar>
              <w:top w:w="15" w:type="dxa"/>
              <w:left w:w="15" w:type="dxa"/>
              <w:right w:w="15" w:type="dxa"/>
            </w:tcMar>
            <w:vAlign w:val="center"/>
          </w:tcPr>
          <w:p w14:paraId="1D567D06">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000" w:type="pct"/>
            <w:tcMar>
              <w:top w:w="15" w:type="dxa"/>
              <w:left w:w="15" w:type="dxa"/>
              <w:right w:w="15" w:type="dxa"/>
            </w:tcMar>
            <w:vAlign w:val="center"/>
          </w:tcPr>
          <w:p w14:paraId="57C03D2E">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c>
          <w:tcPr>
            <w:tcW w:w="1000" w:type="pct"/>
            <w:tcMar>
              <w:top w:w="15" w:type="dxa"/>
              <w:left w:w="15" w:type="dxa"/>
              <w:right w:w="15" w:type="dxa"/>
            </w:tcMar>
            <w:vAlign w:val="center"/>
          </w:tcPr>
          <w:p w14:paraId="18F26171">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r>
      <w:tr w14:paraId="1709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tcMar>
              <w:top w:w="15" w:type="dxa"/>
              <w:left w:w="15" w:type="dxa"/>
              <w:right w:w="15" w:type="dxa"/>
            </w:tcMar>
            <w:vAlign w:val="center"/>
          </w:tcPr>
          <w:p w14:paraId="714CF216">
            <w:pPr>
              <w:spacing w:line="240" w:lineRule="exact"/>
              <w:jc w:val="center"/>
              <w:rPr>
                <w:color w:val="000000" w:themeColor="text1"/>
                <w:sz w:val="23"/>
                <w:szCs w:val="23"/>
                <w14:textFill>
                  <w14:solidFill>
                    <w14:schemeClr w14:val="tx1"/>
                  </w14:solidFill>
                </w14:textFill>
              </w:rPr>
            </w:pPr>
            <w:r>
              <w:rPr>
                <w:rFonts w:hint="eastAsia"/>
                <w:color w:val="000000" w:themeColor="text1"/>
                <w:szCs w:val="21"/>
                <w14:textFill>
                  <w14:solidFill>
                    <w14:schemeClr w14:val="tx1"/>
                  </w14:solidFill>
                </w14:textFill>
              </w:rPr>
              <w:t>淡水湾村</w:t>
            </w:r>
          </w:p>
        </w:tc>
        <w:tc>
          <w:tcPr>
            <w:tcW w:w="1000" w:type="pct"/>
            <w:tcMar>
              <w:top w:w="15" w:type="dxa"/>
              <w:left w:w="15" w:type="dxa"/>
              <w:right w:w="15" w:type="dxa"/>
            </w:tcMar>
            <w:vAlign w:val="center"/>
          </w:tcPr>
          <w:p w14:paraId="263A769C">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000" w:type="pct"/>
            <w:tcMar>
              <w:top w:w="15" w:type="dxa"/>
              <w:left w:w="15" w:type="dxa"/>
              <w:right w:w="15" w:type="dxa"/>
            </w:tcMar>
            <w:vAlign w:val="center"/>
          </w:tcPr>
          <w:p w14:paraId="58BDCADE">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000" w:type="pct"/>
            <w:tcMar>
              <w:top w:w="15" w:type="dxa"/>
              <w:left w:w="15" w:type="dxa"/>
              <w:right w:w="15" w:type="dxa"/>
            </w:tcMar>
            <w:vAlign w:val="center"/>
          </w:tcPr>
          <w:p w14:paraId="50278F00">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c>
          <w:tcPr>
            <w:tcW w:w="1000" w:type="pct"/>
            <w:tcMar>
              <w:top w:w="15" w:type="dxa"/>
              <w:left w:w="15" w:type="dxa"/>
              <w:right w:w="15" w:type="dxa"/>
            </w:tcMar>
            <w:vAlign w:val="center"/>
          </w:tcPr>
          <w:p w14:paraId="1C0044FE">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r>
      <w:tr w14:paraId="3BF6E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tcMar>
              <w:top w:w="15" w:type="dxa"/>
              <w:left w:w="15" w:type="dxa"/>
              <w:right w:w="15" w:type="dxa"/>
            </w:tcMar>
            <w:vAlign w:val="center"/>
          </w:tcPr>
          <w:p w14:paraId="625DEB63">
            <w:pPr>
              <w:spacing w:line="240" w:lineRule="exact"/>
              <w:jc w:val="center"/>
              <w:rPr>
                <w:color w:val="000000" w:themeColor="text1"/>
                <w:sz w:val="23"/>
                <w:szCs w:val="23"/>
                <w14:textFill>
                  <w14:solidFill>
                    <w14:schemeClr w14:val="tx1"/>
                  </w14:solidFill>
                </w14:textFill>
              </w:rPr>
            </w:pPr>
            <w:r>
              <w:rPr>
                <w:rFonts w:hint="eastAsia"/>
                <w:color w:val="000000" w:themeColor="text1"/>
                <w:szCs w:val="21"/>
                <w14:textFill>
                  <w14:solidFill>
                    <w14:schemeClr w14:val="tx1"/>
                  </w14:solidFill>
                </w14:textFill>
              </w:rPr>
              <w:t>钦州港开发区第七小学</w:t>
            </w:r>
          </w:p>
        </w:tc>
        <w:tc>
          <w:tcPr>
            <w:tcW w:w="1000" w:type="pct"/>
            <w:tcMar>
              <w:top w:w="15" w:type="dxa"/>
              <w:left w:w="15" w:type="dxa"/>
              <w:right w:w="15" w:type="dxa"/>
            </w:tcMar>
            <w:vAlign w:val="center"/>
          </w:tcPr>
          <w:p w14:paraId="78036543">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000" w:type="pct"/>
            <w:tcMar>
              <w:top w:w="15" w:type="dxa"/>
              <w:left w:w="15" w:type="dxa"/>
              <w:right w:w="15" w:type="dxa"/>
            </w:tcMar>
            <w:vAlign w:val="center"/>
          </w:tcPr>
          <w:p w14:paraId="07BBA36A">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0.0097</w:t>
            </w:r>
          </w:p>
        </w:tc>
        <w:tc>
          <w:tcPr>
            <w:tcW w:w="1000" w:type="pct"/>
            <w:tcMar>
              <w:top w:w="15" w:type="dxa"/>
              <w:left w:w="15" w:type="dxa"/>
              <w:right w:w="15" w:type="dxa"/>
            </w:tcMar>
            <w:vAlign w:val="center"/>
          </w:tcPr>
          <w:p w14:paraId="7CC60C16">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c>
          <w:tcPr>
            <w:tcW w:w="1000" w:type="pct"/>
            <w:tcMar>
              <w:top w:w="15" w:type="dxa"/>
              <w:left w:w="15" w:type="dxa"/>
              <w:right w:w="15" w:type="dxa"/>
            </w:tcMar>
            <w:vAlign w:val="center"/>
          </w:tcPr>
          <w:p w14:paraId="13D170D5">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r>
      <w:tr w14:paraId="6AF63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tcMar>
              <w:top w:w="15" w:type="dxa"/>
              <w:left w:w="15" w:type="dxa"/>
              <w:right w:w="15" w:type="dxa"/>
            </w:tcMar>
            <w:vAlign w:val="center"/>
          </w:tcPr>
          <w:p w14:paraId="22309EAE">
            <w:pPr>
              <w:spacing w:line="240" w:lineRule="exact"/>
              <w:jc w:val="center"/>
              <w:rPr>
                <w:color w:val="000000" w:themeColor="text1"/>
                <w:sz w:val="23"/>
                <w:szCs w:val="23"/>
                <w14:textFill>
                  <w14:solidFill>
                    <w14:schemeClr w14:val="tx1"/>
                  </w14:solidFill>
                </w14:textFill>
              </w:rPr>
            </w:pPr>
            <w:r>
              <w:rPr>
                <w:rFonts w:hint="eastAsia"/>
                <w:color w:val="000000" w:themeColor="text1"/>
                <w:szCs w:val="21"/>
                <w14:textFill>
                  <w14:solidFill>
                    <w14:schemeClr w14:val="tx1"/>
                  </w14:solidFill>
                </w14:textFill>
              </w:rPr>
              <w:t>钦州港第五小学</w:t>
            </w:r>
          </w:p>
        </w:tc>
        <w:tc>
          <w:tcPr>
            <w:tcW w:w="1000" w:type="pct"/>
            <w:tcMar>
              <w:top w:w="15" w:type="dxa"/>
              <w:left w:w="15" w:type="dxa"/>
              <w:right w:w="15" w:type="dxa"/>
            </w:tcMar>
            <w:vAlign w:val="center"/>
          </w:tcPr>
          <w:p w14:paraId="0A6888BA">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000" w:type="pct"/>
            <w:tcMar>
              <w:top w:w="15" w:type="dxa"/>
              <w:left w:w="15" w:type="dxa"/>
              <w:right w:w="15" w:type="dxa"/>
            </w:tcMar>
            <w:vAlign w:val="center"/>
          </w:tcPr>
          <w:p w14:paraId="1CD5575B">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000" w:type="pct"/>
            <w:tcMar>
              <w:top w:w="15" w:type="dxa"/>
              <w:left w:w="15" w:type="dxa"/>
              <w:right w:w="15" w:type="dxa"/>
            </w:tcMar>
            <w:vAlign w:val="center"/>
          </w:tcPr>
          <w:p w14:paraId="3C13FBF2">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c>
          <w:tcPr>
            <w:tcW w:w="1000" w:type="pct"/>
            <w:tcMar>
              <w:top w:w="15" w:type="dxa"/>
              <w:left w:w="15" w:type="dxa"/>
              <w:right w:w="15" w:type="dxa"/>
            </w:tcMar>
            <w:vAlign w:val="center"/>
          </w:tcPr>
          <w:p w14:paraId="2E2A3D4F">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r>
      <w:tr w14:paraId="3473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99" w:type="pct"/>
            <w:tcMar>
              <w:top w:w="15" w:type="dxa"/>
              <w:left w:w="15" w:type="dxa"/>
              <w:right w:w="15" w:type="dxa"/>
            </w:tcMar>
            <w:vAlign w:val="center"/>
          </w:tcPr>
          <w:p w14:paraId="0A734C9C">
            <w:pPr>
              <w:spacing w:line="240" w:lineRule="exact"/>
              <w:jc w:val="center"/>
              <w:rPr>
                <w:color w:val="000000" w:themeColor="text1"/>
                <w:sz w:val="23"/>
                <w:szCs w:val="23"/>
                <w14:textFill>
                  <w14:solidFill>
                    <w14:schemeClr w14:val="tx1"/>
                  </w14:solidFill>
                </w14:textFill>
              </w:rPr>
            </w:pPr>
            <w:r>
              <w:rPr>
                <w:rFonts w:hint="eastAsia"/>
                <w:color w:val="000000" w:themeColor="text1"/>
                <w:szCs w:val="21"/>
                <w14:textFill>
                  <w14:solidFill>
                    <w14:schemeClr w14:val="tx1"/>
                  </w14:solidFill>
                </w14:textFill>
              </w:rPr>
              <w:t>东港区第一幼儿园</w:t>
            </w:r>
          </w:p>
        </w:tc>
        <w:tc>
          <w:tcPr>
            <w:tcW w:w="1000" w:type="pct"/>
            <w:tcMar>
              <w:top w:w="15" w:type="dxa"/>
              <w:left w:w="15" w:type="dxa"/>
              <w:right w:w="15" w:type="dxa"/>
            </w:tcMar>
            <w:vAlign w:val="center"/>
          </w:tcPr>
          <w:p w14:paraId="2A5B17E1">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000" w:type="pct"/>
            <w:tcMar>
              <w:top w:w="15" w:type="dxa"/>
              <w:left w:w="15" w:type="dxa"/>
              <w:right w:w="15" w:type="dxa"/>
            </w:tcMar>
            <w:vAlign w:val="center"/>
          </w:tcPr>
          <w:p w14:paraId="3F28151C">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c>
          <w:tcPr>
            <w:tcW w:w="1000" w:type="pct"/>
            <w:tcMar>
              <w:top w:w="15" w:type="dxa"/>
              <w:left w:w="15" w:type="dxa"/>
              <w:right w:w="15" w:type="dxa"/>
            </w:tcMar>
            <w:vAlign w:val="center"/>
          </w:tcPr>
          <w:p w14:paraId="632331CA">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c>
          <w:tcPr>
            <w:tcW w:w="1000" w:type="pct"/>
            <w:tcMar>
              <w:top w:w="15" w:type="dxa"/>
              <w:left w:w="15" w:type="dxa"/>
              <w:right w:w="15" w:type="dxa"/>
            </w:tcMar>
            <w:vAlign w:val="center"/>
          </w:tcPr>
          <w:p w14:paraId="0EF5F6BA">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未出现</w:t>
            </w:r>
          </w:p>
        </w:tc>
      </w:tr>
    </w:tbl>
    <w:p w14:paraId="36ED91E4">
      <w:pPr>
        <w:bidi w:val="0"/>
        <w:rPr>
          <w:color w:val="000000" w:themeColor="text1"/>
          <w14:textFill>
            <w14:solidFill>
              <w14:schemeClr w14:val="tx1"/>
            </w14:solidFill>
          </w14:textFill>
        </w:rPr>
      </w:pPr>
    </w:p>
    <w:p w14:paraId="381F8014">
      <w:pPr>
        <w:adjustRightInd w:val="0"/>
        <w:snapToGrid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本项目最不利气象条件下，</w:t>
      </w:r>
      <w:r>
        <w:rPr>
          <w:rFonts w:hint="eastAsia"/>
          <w:bCs/>
          <w:color w:val="000000" w:themeColor="text1"/>
          <w:sz w:val="24"/>
          <w14:textFill>
            <w14:solidFill>
              <w14:schemeClr w14:val="tx1"/>
            </w14:solidFill>
          </w14:textFill>
        </w:rPr>
        <w:t>氨、二氧化硫</w:t>
      </w:r>
      <w:r>
        <w:rPr>
          <w:bCs/>
          <w:color w:val="000000" w:themeColor="text1"/>
          <w:sz w:val="24"/>
          <w14:textFill>
            <w14:solidFill>
              <w14:schemeClr w14:val="tx1"/>
            </w14:solidFill>
          </w14:textFill>
        </w:rPr>
        <w:t>预测浓度达到毒性终点浓度</w:t>
      </w:r>
      <w:r>
        <w:rPr>
          <w:rFonts w:hint="eastAsia"/>
          <w:bCs/>
          <w:color w:val="000000" w:themeColor="text1"/>
          <w:sz w:val="24"/>
          <w14:textFill>
            <w14:solidFill>
              <w14:schemeClr w14:val="tx1"/>
            </w14:solidFill>
          </w14:textFill>
        </w:rPr>
        <w:t>-2</w:t>
      </w:r>
      <w:r>
        <w:rPr>
          <w:bCs/>
          <w:color w:val="000000" w:themeColor="text1"/>
          <w:sz w:val="24"/>
          <w14:textFill>
            <w14:solidFill>
              <w14:schemeClr w14:val="tx1"/>
            </w14:solidFill>
          </w14:textFill>
        </w:rPr>
        <w:t>的最大影响范围图见下图</w:t>
      </w:r>
      <w:r>
        <w:rPr>
          <w:rFonts w:hint="eastAsia"/>
          <w:bCs/>
          <w:color w:val="000000" w:themeColor="text1"/>
          <w:sz w:val="24"/>
          <w14:textFill>
            <w14:solidFill>
              <w14:schemeClr w14:val="tx1"/>
            </w14:solidFill>
          </w14:textFill>
        </w:rPr>
        <w:t>4</w:t>
      </w:r>
      <w:r>
        <w:rPr>
          <w:bCs/>
          <w:color w:val="000000" w:themeColor="text1"/>
          <w:sz w:val="24"/>
          <w14:textFill>
            <w14:solidFill>
              <w14:schemeClr w14:val="tx1"/>
            </w14:solidFill>
          </w14:textFill>
        </w:rPr>
        <w:t>-1。</w:t>
      </w:r>
    </w:p>
    <w:p w14:paraId="2B8142ED">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781550" cy="3771900"/>
            <wp:effectExtent l="0" t="0" r="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4"/>
                    <a:stretch>
                      <a:fillRect/>
                    </a:stretch>
                  </pic:blipFill>
                  <pic:spPr>
                    <a:xfrm>
                      <a:off x="0" y="0"/>
                      <a:ext cx="4781550" cy="3771900"/>
                    </a:xfrm>
                    <a:prstGeom prst="rect">
                      <a:avLst/>
                    </a:prstGeom>
                    <a:noFill/>
                    <a:ln>
                      <a:noFill/>
                    </a:ln>
                  </pic:spPr>
                </pic:pic>
              </a:graphicData>
            </a:graphic>
          </wp:inline>
        </w:drawing>
      </w:r>
    </w:p>
    <w:p w14:paraId="18F158C3">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w:t>
      </w: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 xml:space="preserve">-1  </w:t>
      </w:r>
      <w:r>
        <w:rPr>
          <w:rFonts w:hint="eastAsia"/>
          <w:b/>
          <w:bCs/>
          <w:color w:val="000000" w:themeColor="text1"/>
          <w:sz w:val="24"/>
          <w14:textFill>
            <w14:solidFill>
              <w14:schemeClr w14:val="tx1"/>
            </w14:solidFill>
          </w14:textFill>
        </w:rPr>
        <w:t>氨</w:t>
      </w:r>
      <w:r>
        <w:rPr>
          <w:b/>
          <w:bCs/>
          <w:color w:val="000000" w:themeColor="text1"/>
          <w:sz w:val="24"/>
          <w14:textFill>
            <w14:solidFill>
              <w14:schemeClr w14:val="tx1"/>
            </w14:solidFill>
          </w14:textFill>
        </w:rPr>
        <w:t>预测浓度达到毒性终点浓度</w:t>
      </w: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的最大影响范围图</w:t>
      </w:r>
    </w:p>
    <w:p w14:paraId="613438BE">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810125" cy="3810000"/>
            <wp:effectExtent l="0" t="0" r="9525"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5"/>
                    <a:stretch>
                      <a:fillRect/>
                    </a:stretch>
                  </pic:blipFill>
                  <pic:spPr>
                    <a:xfrm>
                      <a:off x="0" y="0"/>
                      <a:ext cx="4810125" cy="3810000"/>
                    </a:xfrm>
                    <a:prstGeom prst="rect">
                      <a:avLst/>
                    </a:prstGeom>
                    <a:noFill/>
                    <a:ln>
                      <a:noFill/>
                    </a:ln>
                  </pic:spPr>
                </pic:pic>
              </a:graphicData>
            </a:graphic>
          </wp:inline>
        </w:drawing>
      </w:r>
    </w:p>
    <w:p w14:paraId="146F02E5">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w:t>
      </w: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二氧化硫</w:t>
      </w:r>
      <w:r>
        <w:rPr>
          <w:b/>
          <w:bCs/>
          <w:color w:val="000000" w:themeColor="text1"/>
          <w:sz w:val="24"/>
          <w14:textFill>
            <w14:solidFill>
              <w14:schemeClr w14:val="tx1"/>
            </w14:solidFill>
          </w14:textFill>
        </w:rPr>
        <w:t>预测浓度达到毒性终点浓度</w:t>
      </w: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的最大影响范围图</w:t>
      </w:r>
    </w:p>
    <w:p w14:paraId="2255551C">
      <w:pPr>
        <w:pStyle w:val="45"/>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4.1.5</w:t>
      </w:r>
      <w:r>
        <w:rPr>
          <w:b/>
          <w:bCs/>
          <w:color w:val="000000" w:themeColor="text1"/>
          <w14:textFill>
            <w14:solidFill>
              <w14:schemeClr w14:val="tx1"/>
            </w14:solidFill>
          </w14:textFill>
        </w:rPr>
        <w:t>事故影响分析</w:t>
      </w:r>
    </w:p>
    <w:p w14:paraId="4B34173D">
      <w:pPr>
        <w:pStyle w:val="45"/>
        <w:ind w:firstLine="480"/>
        <w:rPr>
          <w:color w:val="000000" w:themeColor="text1"/>
          <w14:textFill>
            <w14:solidFill>
              <w14:schemeClr w14:val="tx1"/>
            </w14:solidFill>
          </w14:textFill>
        </w:rPr>
      </w:pPr>
      <w:r>
        <w:rPr>
          <w:bCs/>
          <w:color w:val="000000" w:themeColor="text1"/>
          <w14:textFill>
            <w14:solidFill>
              <w14:schemeClr w14:val="tx1"/>
            </w14:solidFill>
          </w14:textFill>
        </w:rPr>
        <w:t>最不利气象条件下：</w:t>
      </w: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硫酸铵泄漏遇明火受热分解产生氨气、二氧化硫、氮气等，污染物释放进入大气环境，本次评价中主要分析氨和二氧化硫。</w:t>
      </w:r>
    </w:p>
    <w:p w14:paraId="6E4E39FC">
      <w:pPr>
        <w:pStyle w:val="45"/>
        <w:ind w:firstLine="480"/>
        <w:rPr>
          <w:color w:val="000000" w:themeColor="text1"/>
          <w:u w:val="single"/>
          <w14:textFill>
            <w14:solidFill>
              <w14:schemeClr w14:val="tx1"/>
            </w14:solidFill>
          </w14:textFill>
        </w:rPr>
      </w:pPr>
      <w:r>
        <w:rPr>
          <w:rFonts w:hint="eastAsia"/>
          <w:color w:val="000000" w:themeColor="text1"/>
          <w14:textFill>
            <w14:solidFill>
              <w14:schemeClr w14:val="tx1"/>
            </w14:solidFill>
          </w14:textFill>
        </w:rPr>
        <w:t>根据预测结果：氨</w:t>
      </w:r>
      <w:r>
        <w:rPr>
          <w:color w:val="000000" w:themeColor="text1"/>
          <w14:textFill>
            <w14:solidFill>
              <w14:schemeClr w14:val="tx1"/>
            </w14:solidFill>
          </w14:textFill>
        </w:rPr>
        <w:t>毒性终点浓度值-1（</w:t>
      </w:r>
      <w:r>
        <w:rPr>
          <w:rFonts w:hint="eastAsia"/>
          <w:color w:val="000000" w:themeColor="text1"/>
          <w14:textFill>
            <w14:solidFill>
              <w14:schemeClr w14:val="tx1"/>
            </w14:solidFill>
          </w14:textFill>
        </w:rPr>
        <w:t>770</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未出现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氨</w:t>
      </w:r>
      <w:r>
        <w:rPr>
          <w:color w:val="000000" w:themeColor="text1"/>
          <w14:textFill>
            <w14:solidFill>
              <w14:schemeClr w14:val="tx1"/>
            </w14:solidFill>
          </w14:textFill>
        </w:rPr>
        <w:t>毒性终点浓度值-2（</w:t>
      </w:r>
      <w:r>
        <w:rPr>
          <w:rFonts w:hint="eastAsia"/>
          <w:color w:val="000000" w:themeColor="text1"/>
          <w14:textFill>
            <w14:solidFill>
              <w14:schemeClr w14:val="tx1"/>
            </w14:solidFill>
          </w14:textFill>
        </w:rPr>
        <w:t>110</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）出现距离为</w:t>
      </w:r>
      <w:r>
        <w:rPr>
          <w:rFonts w:hint="eastAsia"/>
          <w:color w:val="000000" w:themeColor="text1"/>
          <w14:textFill>
            <w14:solidFill>
              <w14:schemeClr w14:val="tx1"/>
            </w14:solidFill>
          </w14:textFill>
        </w:rPr>
        <w:t>195.4</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在大气环境敏感点处的最大落地浓度均未超出</w:t>
      </w:r>
      <w:r>
        <w:rPr>
          <w:rFonts w:hint="eastAsia"/>
          <w:color w:val="000000" w:themeColor="text1"/>
          <w14:textFill>
            <w14:solidFill>
              <w14:schemeClr w14:val="tx1"/>
            </w14:solidFill>
          </w14:textFill>
        </w:rPr>
        <w:t>氨</w:t>
      </w:r>
      <w:r>
        <w:rPr>
          <w:color w:val="000000" w:themeColor="text1"/>
          <w14:textFill>
            <w14:solidFill>
              <w14:schemeClr w14:val="tx1"/>
            </w14:solidFill>
          </w14:textFill>
        </w:rPr>
        <w:t>毒性终点浓度值。</w:t>
      </w:r>
      <w:r>
        <w:rPr>
          <w:rFonts w:hint="eastAsia"/>
          <w:color w:val="000000" w:themeColor="text1"/>
          <w14:textFill>
            <w14:solidFill>
              <w14:schemeClr w14:val="tx1"/>
            </w14:solidFill>
          </w14:textFill>
        </w:rPr>
        <w:t>二氧化硫</w:t>
      </w:r>
      <w:r>
        <w:rPr>
          <w:color w:val="000000" w:themeColor="text1"/>
          <w14:textFill>
            <w14:solidFill>
              <w14:schemeClr w14:val="tx1"/>
            </w14:solidFill>
          </w14:textFill>
        </w:rPr>
        <w:t>毒性终点浓度值-1（</w:t>
      </w:r>
      <w:r>
        <w:rPr>
          <w:rFonts w:hint="eastAsia"/>
          <w:color w:val="000000" w:themeColor="text1"/>
          <w14:textFill>
            <w14:solidFill>
              <w14:schemeClr w14:val="tx1"/>
            </w14:solidFill>
          </w14:textFill>
        </w:rPr>
        <w:t>79</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未出现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氨</w:t>
      </w:r>
      <w:r>
        <w:rPr>
          <w:color w:val="000000" w:themeColor="text1"/>
          <w14:textFill>
            <w14:solidFill>
              <w14:schemeClr w14:val="tx1"/>
            </w14:solidFill>
          </w14:textFill>
        </w:rPr>
        <w:t>毒性终点浓度值-2（</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）出现距离为</w:t>
      </w:r>
      <w:r>
        <w:rPr>
          <w:rFonts w:hint="eastAsia"/>
          <w:color w:val="000000" w:themeColor="text1"/>
          <w14:textFill>
            <w14:solidFill>
              <w14:schemeClr w14:val="tx1"/>
            </w14:solidFill>
          </w14:textFill>
        </w:rPr>
        <w:t>172.9</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在大气环境敏感点处的最大落地浓度均未超出</w:t>
      </w:r>
      <w:r>
        <w:rPr>
          <w:rFonts w:hint="eastAsia"/>
          <w:color w:val="000000" w:themeColor="text1"/>
          <w14:textFill>
            <w14:solidFill>
              <w14:schemeClr w14:val="tx1"/>
            </w14:solidFill>
          </w14:textFill>
        </w:rPr>
        <w:t>氨</w:t>
      </w:r>
      <w:r>
        <w:rPr>
          <w:color w:val="000000" w:themeColor="text1"/>
          <w14:textFill>
            <w14:solidFill>
              <w14:schemeClr w14:val="tx1"/>
            </w14:solidFill>
          </w14:textFill>
        </w:rPr>
        <w:t>毒性终点浓度值。</w:t>
      </w:r>
    </w:p>
    <w:p w14:paraId="56A7EAB1">
      <w:pPr>
        <w:pStyle w:val="3"/>
        <w:spacing w:before="0" w:after="0" w:line="360" w:lineRule="auto"/>
        <w:rPr>
          <w:rFonts w:ascii="Times New Roman" w:hAnsi="Times New Roman" w:eastAsia="宋体"/>
          <w:color w:val="000000" w:themeColor="text1"/>
          <w14:textFill>
            <w14:solidFill>
              <w14:schemeClr w14:val="tx1"/>
            </w14:solidFill>
          </w14:textFill>
        </w:rPr>
      </w:pPr>
      <w:bookmarkStart w:id="28" w:name="_Toc6217"/>
      <w:r>
        <w:rPr>
          <w:rFonts w:hint="eastAsia" w:ascii="Times New Roman" w:hAnsi="Times New Roman" w:eastAsia="宋体"/>
          <w:color w:val="000000" w:themeColor="text1"/>
          <w14:textFill>
            <w14:solidFill>
              <w14:schemeClr w14:val="tx1"/>
            </w14:solidFill>
          </w14:textFill>
        </w:rPr>
        <w:t>4</w:t>
      </w:r>
      <w:r>
        <w:rPr>
          <w:rFonts w:ascii="Times New Roman" w:hAnsi="Times New Roman" w:eastAsia="宋体"/>
          <w:color w:val="000000" w:themeColor="text1"/>
          <w14:textFill>
            <w14:solidFill>
              <w14:schemeClr w14:val="tx1"/>
            </w14:solidFill>
          </w14:textFill>
        </w:rPr>
        <w:t>.2火灾爆炸事故影响分析</w:t>
      </w:r>
      <w:bookmarkEnd w:id="28"/>
    </w:p>
    <w:p w14:paraId="02E37E2B">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本项目废机油均具有一定的火灾危险性，</w:t>
      </w:r>
      <w:r>
        <w:rPr>
          <w:rFonts w:hint="eastAsia"/>
          <w:color w:val="000000" w:themeColor="text1"/>
          <w14:textFill>
            <w14:solidFill>
              <w14:schemeClr w14:val="tx1"/>
            </w14:solidFill>
          </w14:textFill>
        </w:rPr>
        <w:t>废机油泄漏或</w:t>
      </w:r>
      <w:r>
        <w:rPr>
          <w:color w:val="000000" w:themeColor="text1"/>
          <w14:textFill>
            <w14:solidFill>
              <w14:schemeClr w14:val="tx1"/>
            </w14:solidFill>
          </w14:textFill>
        </w:rPr>
        <w:t>液体挥发后与空气混合达到爆炸极限，遇明火，有引起燃烧的危险。</w:t>
      </w:r>
    </w:p>
    <w:p w14:paraId="6C6BE061">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由于一旦发生</w:t>
      </w:r>
      <w:r>
        <w:rPr>
          <w:rFonts w:hint="eastAsia"/>
          <w:color w:val="000000" w:themeColor="text1"/>
          <w14:textFill>
            <w14:solidFill>
              <w14:schemeClr w14:val="tx1"/>
            </w14:solidFill>
          </w14:textFill>
        </w:rPr>
        <w:t>火灾</w:t>
      </w:r>
      <w:r>
        <w:rPr>
          <w:color w:val="000000" w:themeColor="text1"/>
          <w14:textFill>
            <w14:solidFill>
              <w14:schemeClr w14:val="tx1"/>
            </w14:solidFill>
          </w14:textFill>
        </w:rPr>
        <w:t>后将导致周围设施损毁</w:t>
      </w:r>
      <w:r>
        <w:rPr>
          <w:rFonts w:hint="eastAsia"/>
          <w:color w:val="000000" w:themeColor="text1"/>
          <w14:textFill>
            <w14:solidFill>
              <w14:schemeClr w14:val="tx1"/>
            </w14:solidFill>
          </w14:textFill>
        </w:rPr>
        <w:t>、项目原料遇热分解产生氨、二氧化硫等污染物</w:t>
      </w:r>
      <w:r>
        <w:rPr>
          <w:color w:val="000000" w:themeColor="text1"/>
          <w14:textFill>
            <w14:solidFill>
              <w14:schemeClr w14:val="tx1"/>
            </w14:solidFill>
          </w14:textFill>
        </w:rPr>
        <w:t>而形成二次污染。</w:t>
      </w:r>
    </w:p>
    <w:p w14:paraId="018BE241">
      <w:pPr>
        <w:pStyle w:val="45"/>
        <w:ind w:firstLine="480"/>
        <w:rPr>
          <w:color w:val="000000" w:themeColor="text1"/>
          <w14:textFill>
            <w14:solidFill>
              <w14:schemeClr w14:val="tx1"/>
            </w14:solidFill>
          </w14:textFill>
        </w:rPr>
      </w:pPr>
      <w:r>
        <w:rPr>
          <w:rFonts w:hint="eastAsia"/>
          <w:bCs/>
          <w:color w:val="000000" w:themeColor="text1"/>
          <w14:textFill>
            <w14:solidFill>
              <w14:schemeClr w14:val="tx1"/>
            </w14:solidFill>
          </w14:textFill>
        </w:rPr>
        <w:t>厂区内</w:t>
      </w:r>
      <w:r>
        <w:rPr>
          <w:color w:val="000000" w:themeColor="text1"/>
          <w14:textFill>
            <w14:solidFill>
              <w14:schemeClr w14:val="tx1"/>
            </w14:solidFill>
          </w14:textFill>
        </w:rPr>
        <w:t>发生火灾爆炸后，其影响范围主要是影响厂内及周边区域，因此事故发生后，应立即组织人员封锁区域路段，禁止无关人员及车辆驶入，避免不必要伤亡。</w:t>
      </w:r>
    </w:p>
    <w:p w14:paraId="6E738923">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从项目周围敏感点来看，距离本项目储罐最近的敏感点是项目</w:t>
      </w:r>
      <w:r>
        <w:rPr>
          <w:rFonts w:hint="eastAsia"/>
          <w:color w:val="000000" w:themeColor="text1"/>
          <w14:textFill>
            <w14:solidFill>
              <w14:schemeClr w14:val="tx1"/>
            </w14:solidFill>
          </w14:textFill>
        </w:rPr>
        <w:t>东北</w:t>
      </w:r>
      <w:r>
        <w:rPr>
          <w:color w:val="000000" w:themeColor="text1"/>
          <w14:textFill>
            <w14:solidFill>
              <w14:schemeClr w14:val="tx1"/>
            </w14:solidFill>
          </w14:textFill>
        </w:rPr>
        <w:t>面</w:t>
      </w:r>
      <w:r>
        <w:rPr>
          <w:rFonts w:hint="eastAsia"/>
          <w:color w:val="000000" w:themeColor="text1"/>
          <w14:textFill>
            <w14:solidFill>
              <w14:schemeClr w14:val="tx1"/>
            </w14:solidFill>
          </w14:textFill>
        </w:rPr>
        <w:t>3.1千</w:t>
      </w:r>
      <w:r>
        <w:rPr>
          <w:color w:val="000000" w:themeColor="text1"/>
          <w14:textFill>
            <w14:solidFill>
              <w14:schemeClr w14:val="tx1"/>
            </w14:solidFill>
          </w14:textFill>
        </w:rPr>
        <w:t>米</w:t>
      </w:r>
      <w:r>
        <w:rPr>
          <w:rFonts w:hint="eastAsia"/>
          <w:color w:val="000000" w:themeColor="text1"/>
          <w14:textFill>
            <w14:solidFill>
              <w14:schemeClr w14:val="tx1"/>
            </w14:solidFill>
          </w14:textFill>
        </w:rPr>
        <w:t>硫磺山村</w:t>
      </w:r>
      <w:r>
        <w:rPr>
          <w:color w:val="000000" w:themeColor="text1"/>
          <w14:textFill>
            <w14:solidFill>
              <w14:schemeClr w14:val="tx1"/>
            </w14:solidFill>
          </w14:textFill>
        </w:rPr>
        <w:t>，大于一度烧伤半径的距离，对</w:t>
      </w:r>
      <w:r>
        <w:rPr>
          <w:rFonts w:hint="eastAsia"/>
          <w:color w:val="000000" w:themeColor="text1"/>
          <w:szCs w:val="21"/>
          <w14:textFill>
            <w14:solidFill>
              <w14:schemeClr w14:val="tx1"/>
            </w14:solidFill>
          </w14:textFill>
        </w:rPr>
        <w:t>其</w:t>
      </w:r>
      <w:r>
        <w:rPr>
          <w:color w:val="000000" w:themeColor="text1"/>
          <w14:textFill>
            <w14:solidFill>
              <w14:schemeClr w14:val="tx1"/>
            </w14:solidFill>
          </w14:textFill>
        </w:rPr>
        <w:t>影响不大。</w:t>
      </w:r>
    </w:p>
    <w:p w14:paraId="61610664">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对于火灾爆炸事故，必须建立完善的事故应急及防范措施，企业须加强管理，采取必要的风险事故防范措施，杜绝</w:t>
      </w:r>
      <w:r>
        <w:rPr>
          <w:rFonts w:hint="eastAsia"/>
          <w:color w:val="000000" w:themeColor="text1"/>
          <w14:textFill>
            <w14:solidFill>
              <w14:schemeClr w14:val="tx1"/>
            </w14:solidFill>
          </w14:textFill>
        </w:rPr>
        <w:t>废机油</w:t>
      </w:r>
      <w:r>
        <w:rPr>
          <w:color w:val="000000" w:themeColor="text1"/>
          <w14:textFill>
            <w14:solidFill>
              <w14:schemeClr w14:val="tx1"/>
            </w14:solidFill>
          </w14:textFill>
        </w:rPr>
        <w:t>泄漏事故发生；同时若一旦发生事故，则应立即启动应急预案，判断风向，及时对下风向的敏感点发布警报，并组织厂内员工及附近群众在短时间内按拟定的逃生路线进行撤离。</w:t>
      </w:r>
    </w:p>
    <w:p w14:paraId="623F0750">
      <w:pPr>
        <w:pStyle w:val="3"/>
        <w:spacing w:before="0" w:after="0" w:line="360" w:lineRule="auto"/>
        <w:rPr>
          <w:rFonts w:ascii="Times New Roman" w:hAnsi="Times New Roman" w:eastAsia="宋体"/>
          <w:color w:val="000000" w:themeColor="text1"/>
          <w14:textFill>
            <w14:solidFill>
              <w14:schemeClr w14:val="tx1"/>
            </w14:solidFill>
          </w14:textFill>
        </w:rPr>
      </w:pPr>
      <w:bookmarkStart w:id="29" w:name="_Toc185151749"/>
      <w:bookmarkStart w:id="30" w:name="_Toc187828465"/>
      <w:bookmarkStart w:id="31" w:name="_Toc184637414"/>
      <w:bookmarkStart w:id="32" w:name="_Toc182920271"/>
      <w:bookmarkStart w:id="33" w:name="_Toc188074087"/>
      <w:bookmarkStart w:id="34" w:name="_Toc205025168"/>
      <w:bookmarkStart w:id="35" w:name="_Toc185213987"/>
      <w:bookmarkStart w:id="36" w:name="_Toc9743"/>
      <w:bookmarkStart w:id="37" w:name="_Toc185234392"/>
      <w:bookmarkStart w:id="38" w:name="_Toc184788345"/>
      <w:bookmarkStart w:id="39" w:name="_Toc182912592"/>
      <w:bookmarkStart w:id="40" w:name="_Toc187828849"/>
      <w:bookmarkStart w:id="41" w:name="_Toc182912955"/>
      <w:bookmarkStart w:id="42" w:name="_Toc184788068"/>
      <w:r>
        <w:rPr>
          <w:rFonts w:hint="eastAsia" w:ascii="Times New Roman" w:hAnsi="Times New Roman" w:eastAsia="宋体"/>
          <w:color w:val="000000" w:themeColor="text1"/>
          <w14:textFill>
            <w14:solidFill>
              <w14:schemeClr w14:val="tx1"/>
            </w14:solidFill>
          </w14:textFill>
        </w:rPr>
        <w:t>4</w:t>
      </w:r>
      <w:r>
        <w:rPr>
          <w:rFonts w:ascii="Times New Roman" w:hAnsi="Times New Roman" w:eastAsia="宋体"/>
          <w:color w:val="000000" w:themeColor="text1"/>
          <w14:textFill>
            <w14:solidFill>
              <w14:schemeClr w14:val="tx1"/>
            </w14:solidFill>
          </w14:textFill>
        </w:rPr>
        <w:t>.3事故伴生/次生污染分析</w:t>
      </w:r>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270871DD">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在发生火灾、爆炸事故处理过程中，有可能会产生以下伴生/次生污染：燃烧烟气、消防废水、液体</w:t>
      </w:r>
      <w:r>
        <w:rPr>
          <w:rFonts w:hint="eastAsia"/>
          <w:color w:val="000000" w:themeColor="text1"/>
          <w14:textFill>
            <w14:solidFill>
              <w14:schemeClr w14:val="tx1"/>
            </w14:solidFill>
          </w14:textFill>
        </w:rPr>
        <w:t>废</w:t>
      </w:r>
      <w:bookmarkStart w:id="43" w:name="Bookmark7"/>
      <w:r>
        <w:rPr>
          <w:color w:val="000000" w:themeColor="text1"/>
          <w14:textFill>
            <w14:solidFill>
              <w14:schemeClr w14:val="tx1"/>
            </w14:solidFill>
          </w14:textFill>
        </w:rPr>
        <w:t>料</w:t>
      </w:r>
      <w:bookmarkEnd w:id="43"/>
      <w:r>
        <w:rPr>
          <w:color w:val="000000" w:themeColor="text1"/>
          <w14:textFill>
            <w14:solidFill>
              <w14:schemeClr w14:val="tx1"/>
            </w14:solidFill>
          </w14:textFill>
        </w:rPr>
        <w:t>。若发生事故时下雨，还会产生污染雨水。</w:t>
      </w:r>
    </w:p>
    <w:p w14:paraId="7C15A874">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火灾、爆炸产生的浓烟会以爆炸点为中心在一定范围内降落大量烟尘，爆炸点上空局部气温、气压、能见度等会产生明显的变化，对局部大气环境</w:t>
      </w:r>
      <w:bookmarkStart w:id="44" w:name="Bookmark5"/>
      <w:r>
        <w:rPr>
          <w:color w:val="000000" w:themeColor="text1"/>
          <w14:textFill>
            <w14:solidFill>
              <w14:schemeClr w14:val="tx1"/>
            </w14:solidFill>
          </w14:textFill>
        </w:rPr>
        <w:t>(</w:t>
      </w:r>
      <w:bookmarkEnd w:id="44"/>
      <w:r>
        <w:rPr>
          <w:color w:val="000000" w:themeColor="text1"/>
          <w14:textFill>
            <w14:solidFill>
              <w14:schemeClr w14:val="tx1"/>
            </w14:solidFill>
          </w14:textFill>
        </w:rPr>
        <w:t>包括下风向大气环境</w:t>
      </w:r>
      <w:bookmarkStart w:id="45" w:name="Bookmark6"/>
      <w:r>
        <w:rPr>
          <w:color w:val="000000" w:themeColor="text1"/>
          <w14:textFill>
            <w14:solidFill>
              <w14:schemeClr w14:val="tx1"/>
            </w14:solidFill>
          </w14:textFill>
        </w:rPr>
        <w:t>)</w:t>
      </w:r>
      <w:bookmarkEnd w:id="45"/>
      <w:r>
        <w:rPr>
          <w:color w:val="000000" w:themeColor="text1"/>
          <w14:textFill>
            <w14:solidFill>
              <w14:schemeClr w14:val="tx1"/>
            </w14:solidFill>
          </w14:textFill>
        </w:rPr>
        <w:t>造成较大的短期影响。</w:t>
      </w:r>
    </w:p>
    <w:p w14:paraId="7AA010F4">
      <w:pPr>
        <w:pStyle w:val="4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根据烟气特性和火灾特点，烟气的扩散符合高斯分布，可以采用高斯扩散模式计算烟气的落地浓度，但烟气的源强估算十分困难，还与燃烧物质种类有关，所以烟气落地浓度的精确计算意义不大。</w:t>
      </w:r>
    </w:p>
    <w:p w14:paraId="39C35EF6">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一般说来，火灾燃烧时，烟气排放的时间虽然短，但强度很大，有可能为大型锅炉烟气排放的几百倍，因此，火灾燃烧时，周围500m范围内的环境空气质量在短时间内会受到明显的影响，并超过《环境空气质量标准》（GB3095-2012）二级标准，对周围环境带来一定的影响。</w:t>
      </w:r>
    </w:p>
    <w:p w14:paraId="1DDC7FDD">
      <w:pPr>
        <w:pStyle w:val="3"/>
        <w:spacing w:before="0" w:after="0" w:line="360" w:lineRule="auto"/>
        <w:rPr>
          <w:rFonts w:ascii="Times New Roman" w:hAnsi="Times New Roman" w:eastAsia="宋体"/>
          <w:color w:val="000000" w:themeColor="text1"/>
          <w14:textFill>
            <w14:solidFill>
              <w14:schemeClr w14:val="tx1"/>
            </w14:solidFill>
          </w14:textFill>
        </w:rPr>
      </w:pPr>
      <w:bookmarkStart w:id="46" w:name="_Toc3295"/>
      <w:r>
        <w:rPr>
          <w:rFonts w:hint="eastAsia" w:ascii="Times New Roman" w:hAnsi="Times New Roman" w:eastAsia="宋体"/>
          <w:color w:val="000000" w:themeColor="text1"/>
          <w14:textFill>
            <w14:solidFill>
              <w14:schemeClr w14:val="tx1"/>
            </w14:solidFill>
          </w14:textFill>
        </w:rPr>
        <w:t>4</w:t>
      </w:r>
      <w:r>
        <w:rPr>
          <w:rFonts w:ascii="Times New Roman" w:hAnsi="Times New Roman" w:eastAsia="宋体"/>
          <w:color w:val="000000" w:themeColor="text1"/>
          <w14:textFill>
            <w14:solidFill>
              <w14:schemeClr w14:val="tx1"/>
            </w14:solidFill>
          </w14:textFill>
        </w:rPr>
        <w:t>.4</w:t>
      </w:r>
      <w:r>
        <w:rPr>
          <w:rFonts w:hint="eastAsia" w:ascii="Times New Roman" w:hAnsi="Times New Roman" w:eastAsia="宋体"/>
          <w:color w:val="000000" w:themeColor="text1"/>
          <w14:textFill>
            <w14:solidFill>
              <w14:schemeClr w14:val="tx1"/>
            </w14:solidFill>
          </w14:textFill>
        </w:rPr>
        <w:t>地表水环境风险分析</w:t>
      </w:r>
      <w:bookmarkEnd w:id="46"/>
    </w:p>
    <w:p w14:paraId="491238FF">
      <w:pPr>
        <w:pStyle w:val="45"/>
        <w:ind w:firstLine="480"/>
        <w:rPr>
          <w:rFonts w:hint="default" w:eastAsia="宋体"/>
          <w:color w:val="000000" w:themeColor="text1"/>
          <w:u w:val="single"/>
          <w:lang w:val="en-US" w:eastAsia="zh-CN"/>
          <w14:textFill>
            <w14:solidFill>
              <w14:schemeClr w14:val="tx1"/>
            </w14:solidFill>
          </w14:textFill>
        </w:rPr>
      </w:pPr>
      <w:r>
        <w:rPr>
          <w:rFonts w:hint="eastAsia"/>
          <w:color w:val="000000" w:themeColor="text1"/>
          <w14:textFill>
            <w14:solidFill>
              <w14:schemeClr w14:val="tx1"/>
            </w14:solidFill>
          </w14:textFill>
        </w:rPr>
        <w:t>距项目最近的地表水为项目厂区东面1.4km的近岸海域。项目硫酸铵泄漏、火灾事故引发的水环境风险，主要是含有物料的高浓度事故消防废水可能进入附近水体，对周边水环境造成污染，影响下游取水，甚至可能会破坏水生态环境。因此建设单位一旦发生水环境风险事故，应立即关闭雨水外排口，将废水转入事故应急池，将废水控制在厂内。</w:t>
      </w:r>
      <w:r>
        <w:rPr>
          <w:rFonts w:hint="eastAsia"/>
          <w:color w:val="000000" w:themeColor="text1"/>
          <w:u w:val="single"/>
          <w:lang w:val="en-US" w:eastAsia="zh-CN"/>
          <w14:textFill>
            <w14:solidFill>
              <w14:schemeClr w14:val="tx1"/>
            </w14:solidFill>
          </w14:textFill>
        </w:rPr>
        <w:t>项目厂外雨水走向见图4-3。</w:t>
      </w:r>
    </w:p>
    <w:p w14:paraId="44A8BDDA">
      <w:pPr>
        <w:pStyle w:val="45"/>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539740" cy="3285490"/>
            <wp:effectExtent l="0" t="0" r="3810" b="1016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6"/>
                    <a:stretch>
                      <a:fillRect/>
                    </a:stretch>
                  </pic:blipFill>
                  <pic:spPr>
                    <a:xfrm>
                      <a:off x="0" y="0"/>
                      <a:ext cx="5539740" cy="3285490"/>
                    </a:xfrm>
                    <a:prstGeom prst="rect">
                      <a:avLst/>
                    </a:prstGeom>
                    <a:noFill/>
                    <a:ln>
                      <a:noFill/>
                    </a:ln>
                  </pic:spPr>
                </pic:pic>
              </a:graphicData>
            </a:graphic>
          </wp:inline>
        </w:drawing>
      </w:r>
    </w:p>
    <w:p w14:paraId="4973C48A">
      <w:pPr>
        <w:pStyle w:val="45"/>
        <w:ind w:firstLine="480"/>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图4-3 厂区外雨水走向示意图</w:t>
      </w:r>
    </w:p>
    <w:p w14:paraId="298FBA91">
      <w:pPr>
        <w:pStyle w:val="45"/>
        <w:rPr>
          <w:color w:val="000000" w:themeColor="text1"/>
          <w14:textFill>
            <w14:solidFill>
              <w14:schemeClr w14:val="tx1"/>
            </w14:solidFill>
          </w14:textFill>
        </w:rPr>
      </w:pPr>
      <w:r>
        <w:rPr>
          <w:rFonts w:hint="eastAsia"/>
          <w:color w:val="000000" w:themeColor="text1"/>
          <w:u w:val="single"/>
          <w:lang w:val="en-US" w:eastAsia="zh-CN"/>
          <w14:textFill>
            <w14:solidFill>
              <w14:schemeClr w14:val="tx1"/>
            </w14:solidFill>
          </w14:textFill>
        </w:rPr>
        <w:t>由图4-3可知，若未能及时收集事故废水和关闭雨水闸阀，项目事故废水经雨水管道在南面海域排放。</w:t>
      </w:r>
      <w:r>
        <w:rPr>
          <w:rFonts w:hint="eastAsia"/>
          <w:color w:val="000000" w:themeColor="text1"/>
          <w14:textFill>
            <w14:solidFill>
              <w14:schemeClr w14:val="tx1"/>
            </w14:solidFill>
          </w14:textFill>
        </w:rPr>
        <w:t>企业应当设置事故应急池、雨水、废水排口闸阀等三级防范措施，将事故废水控制在厂区内。为防止事故废水污染，本环评还提出以下预防措施：</w:t>
      </w:r>
    </w:p>
    <w:p w14:paraId="14EA212A">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（1）要求事故应急池平时必须保证空置。事故应急池在平时不得占用，以保证可以随时容纳可能发生的事故废水。</w:t>
      </w:r>
    </w:p>
    <w:p w14:paraId="7506F523">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（2）在厂区边界准备适量沙包，在厂区灭火时堵住围墙泄漏处，防止消防废水泄漏。</w:t>
      </w:r>
    </w:p>
    <w:p w14:paraId="26F7385A">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携带物料的消防水收集后送入事故应急池，通过调节和切换，分批（限流）送入排入大榄坪污水处理厂进行处理，最终经由其处理达标后深海排放</w:t>
      </w:r>
      <w:r>
        <w:rPr>
          <w:color w:val="000000" w:themeColor="text1"/>
          <w14:textFill>
            <w14:solidFill>
              <w14:schemeClr w14:val="tx1"/>
            </w14:solidFill>
          </w14:textFill>
        </w:rPr>
        <w:t>。</w:t>
      </w:r>
    </w:p>
    <w:p w14:paraId="3F84653B">
      <w:pPr>
        <w:pStyle w:val="47"/>
        <w:adjustRightInd/>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（4）雨水管网排放口设置切换阀，作为储存事故废水的调控手段，可确保发生较大或重大事故时泄漏物料和污染消防废水控制在厂区。</w:t>
      </w:r>
    </w:p>
    <w:p w14:paraId="75399940">
      <w:pPr>
        <w:pStyle w:val="47"/>
        <w:adjustRightInd/>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根据项目特征和环境风险防控措施，项目产生的消防事故废水泄漏进入周边地表水的可能性较小，因此本评价不对事故废水进入周边地表水的水质影响的预测分析。</w:t>
      </w:r>
    </w:p>
    <w:p w14:paraId="3DB9342C">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通过以上治理措施</w:t>
      </w:r>
      <w:r>
        <w:rPr>
          <w:rFonts w:hint="eastAsia"/>
          <w:color w:val="000000" w:themeColor="text1"/>
          <w14:textFill>
            <w14:solidFill>
              <w14:schemeClr w14:val="tx1"/>
            </w14:solidFill>
          </w14:textFill>
        </w:rPr>
        <w:t>可有</w:t>
      </w:r>
      <w:r>
        <w:rPr>
          <w:color w:val="000000" w:themeColor="text1"/>
          <w14:textFill>
            <w14:solidFill>
              <w14:schemeClr w14:val="tx1"/>
            </w14:solidFill>
          </w14:textFill>
        </w:rPr>
        <w:t>效</w:t>
      </w:r>
      <w:r>
        <w:rPr>
          <w:rFonts w:hint="eastAsia"/>
          <w:color w:val="000000" w:themeColor="text1"/>
          <w14:textFill>
            <w14:solidFill>
              <w14:schemeClr w14:val="tx1"/>
            </w14:solidFill>
          </w14:textFill>
        </w:rPr>
        <w:t>地</w:t>
      </w:r>
      <w:r>
        <w:rPr>
          <w:color w:val="000000" w:themeColor="text1"/>
          <w14:textFill>
            <w14:solidFill>
              <w14:schemeClr w14:val="tx1"/>
            </w14:solidFill>
          </w14:textFill>
        </w:rPr>
        <w:t>避免事故废水对区域地表水环境的影响。</w:t>
      </w:r>
    </w:p>
    <w:p w14:paraId="6B2FE157">
      <w:pPr>
        <w:pStyle w:val="45"/>
        <w:ind w:firstLine="0" w:firstLineChars="0"/>
        <w:jc w:val="left"/>
        <w:outlineLvl w:val="1"/>
        <w:rPr>
          <w:color w:val="000000" w:themeColor="text1"/>
          <w:u w:val="single"/>
          <w14:textFill>
            <w14:solidFill>
              <w14:schemeClr w14:val="tx1"/>
            </w14:solidFill>
          </w14:textFill>
        </w:rPr>
      </w:pPr>
      <w:bookmarkStart w:id="47" w:name="_Toc24372"/>
      <w:r>
        <w:rPr>
          <w:rFonts w:hint="eastAsia"/>
          <w:b/>
          <w:bCs/>
          <w:color w:val="000000" w:themeColor="text1"/>
          <w:sz w:val="32"/>
          <w:szCs w:val="32"/>
          <w14:textFill>
            <w14:solidFill>
              <w14:schemeClr w14:val="tx1"/>
            </w14:solidFill>
          </w14:textFill>
        </w:rPr>
        <w:t>4</w:t>
      </w:r>
      <w:r>
        <w:rPr>
          <w:b/>
          <w:bCs/>
          <w:color w:val="000000" w:themeColor="text1"/>
          <w:sz w:val="32"/>
          <w:szCs w:val="32"/>
          <w14:textFill>
            <w14:solidFill>
              <w14:schemeClr w14:val="tx1"/>
            </w14:solidFill>
          </w14:textFill>
        </w:rPr>
        <w:t>.5</w:t>
      </w:r>
      <w:r>
        <w:rPr>
          <w:rFonts w:hint="eastAsia"/>
          <w:b/>
          <w:bCs/>
          <w:color w:val="000000" w:themeColor="text1"/>
          <w:sz w:val="32"/>
          <w:szCs w:val="32"/>
          <w14:textFill>
            <w14:solidFill>
              <w14:schemeClr w14:val="tx1"/>
            </w14:solidFill>
          </w14:textFill>
        </w:rPr>
        <w:t>地下水环境风险分析</w:t>
      </w:r>
      <w:bookmarkEnd w:id="47"/>
    </w:p>
    <w:p w14:paraId="1B6C1895">
      <w:pPr>
        <w:pStyle w:val="4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（1）预测情景</w:t>
      </w:r>
    </w:p>
    <w:p w14:paraId="2A4EB40E">
      <w:pPr>
        <w:pStyle w:val="4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本次地下水风险评价预测情景设定为硫酸铵泄漏遇水分解，且防渗系统损坏，分解的硫酸盐下渗进入地下水。</w:t>
      </w:r>
    </w:p>
    <w:p w14:paraId="40959056">
      <w:pPr>
        <w:pStyle w:val="4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（2）预测时段和范围</w:t>
      </w:r>
    </w:p>
    <w:p w14:paraId="673303D2">
      <w:pPr>
        <w:pStyle w:val="45"/>
        <w:ind w:firstLine="480"/>
        <w:rPr>
          <w:color w:val="000000" w:themeColor="text1"/>
          <w14:textFill>
            <w14:solidFill>
              <w14:schemeClr w14:val="tx1"/>
            </w14:solidFill>
          </w14:textFill>
        </w:rPr>
      </w:pPr>
      <w:r>
        <w:rPr>
          <w:rFonts w:hint="eastAsia"/>
          <w:color w:val="000000" w:themeColor="text1"/>
          <w:u w:val="single"/>
          <w:lang w:val="en-US" w:eastAsia="zh-CN"/>
          <w14:textFill>
            <w14:solidFill>
              <w14:schemeClr w14:val="tx1"/>
            </w14:solidFill>
          </w14:textFill>
        </w:rPr>
        <w:t>参照</w:t>
      </w:r>
      <w:r>
        <w:rPr>
          <w:rFonts w:hint="eastAsia"/>
          <w:color w:val="000000" w:themeColor="text1"/>
          <w:u w:val="single"/>
          <w14:textFill>
            <w14:solidFill>
              <w14:schemeClr w14:val="tx1"/>
            </w14:solidFill>
          </w14:textFill>
        </w:rPr>
        <w:t>地下水</w:t>
      </w:r>
      <w:r>
        <w:rPr>
          <w:rFonts w:hint="eastAsia"/>
          <w:color w:val="000000" w:themeColor="text1"/>
          <w:u w:val="single"/>
          <w:lang w:val="en-US" w:eastAsia="zh-CN"/>
          <w14:textFill>
            <w14:solidFill>
              <w14:schemeClr w14:val="tx1"/>
            </w14:solidFill>
          </w14:textFill>
        </w:rPr>
        <w:t>自行</w:t>
      </w:r>
      <w:r>
        <w:rPr>
          <w:rFonts w:hint="eastAsia"/>
          <w:color w:val="000000" w:themeColor="text1"/>
          <w:u w:val="single"/>
          <w14:textFill>
            <w14:solidFill>
              <w14:schemeClr w14:val="tx1"/>
            </w14:solidFill>
          </w14:textFill>
        </w:rPr>
        <w:t>监测的频率（1次/年）</w:t>
      </w:r>
      <w:r>
        <w:rPr>
          <w:rFonts w:hint="eastAsia"/>
          <w:color w:val="000000" w:themeColor="text1"/>
          <w14:textFill>
            <w14:solidFill>
              <w14:schemeClr w14:val="tx1"/>
            </w14:solidFill>
          </w14:textFill>
        </w:rPr>
        <w:t>，预测时段设定为发生水解的硫酸盐泄漏水解后的1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天、100天、3</w:t>
      </w:r>
      <w:r>
        <w:rPr>
          <w:color w:val="000000" w:themeColor="text1"/>
          <w14:textFill>
            <w14:solidFill>
              <w14:schemeClr w14:val="tx1"/>
            </w14:solidFill>
          </w14:textFill>
        </w:rPr>
        <w:t>65</w:t>
      </w:r>
      <w:r>
        <w:rPr>
          <w:rFonts w:hint="eastAsia"/>
          <w:color w:val="000000" w:themeColor="text1"/>
          <w14:textFill>
            <w14:solidFill>
              <w14:schemeClr w14:val="tx1"/>
            </w14:solidFill>
          </w14:textFill>
        </w:rPr>
        <w:t>天、1000天。本项目地下水调查评价范围作为预测范围。</w:t>
      </w:r>
    </w:p>
    <w:p w14:paraId="18525048">
      <w:pPr>
        <w:pStyle w:val="4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（3）预测因子</w:t>
      </w:r>
    </w:p>
    <w:p w14:paraId="4365345C">
      <w:pPr>
        <w:pStyle w:val="4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根据泄漏物质来源及物质成分，确定本次地下水的重点预测因子为硫酸盐。</w:t>
      </w:r>
    </w:p>
    <w:p w14:paraId="01B23E4C">
      <w:pPr>
        <w:pStyle w:val="4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（4）预测源强</w:t>
      </w:r>
    </w:p>
    <w:p w14:paraId="368B544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在非正常工况条件下，假设</w:t>
      </w:r>
      <w:r>
        <w:rPr>
          <w:rFonts w:hint="eastAsia"/>
          <w:color w:val="000000" w:themeColor="text1"/>
          <w:sz w:val="24"/>
          <w14:textFill>
            <w14:solidFill>
              <w14:schemeClr w14:val="tx1"/>
            </w14:solidFill>
          </w14:textFill>
        </w:rPr>
        <w:t>原料库或成品库</w:t>
      </w:r>
      <w:r>
        <w:rPr>
          <w:color w:val="000000" w:themeColor="text1"/>
          <w:sz w:val="24"/>
          <w14:textFill>
            <w14:solidFill>
              <w14:schemeClr w14:val="tx1"/>
            </w14:solidFill>
          </w14:textFill>
        </w:rPr>
        <w:t>防渗层出现破损的特殊情况。</w:t>
      </w:r>
      <w:r>
        <w:rPr>
          <w:rFonts w:hint="eastAsia"/>
          <w:color w:val="000000" w:themeColor="text1"/>
          <w:sz w:val="24"/>
          <w14:textFill>
            <w14:solidFill>
              <w14:schemeClr w14:val="tx1"/>
            </w14:solidFill>
          </w14:textFill>
        </w:rPr>
        <w:t>假设水解产生10%的硫酸盐进入地下水，泄漏量为74.2kg。</w:t>
      </w:r>
    </w:p>
    <w:p w14:paraId="4A8A948C">
      <w:pPr>
        <w:pStyle w:val="4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（5）预测方法及相关参数</w:t>
      </w:r>
    </w:p>
    <w:p w14:paraId="3502B3EF">
      <w:pPr>
        <w:pStyle w:val="45"/>
        <w:ind w:firstLine="480"/>
        <w:rPr>
          <w:rFonts w:hint="eastAsia"/>
          <w:color w:val="000000" w:themeColor="text1"/>
          <w14:textFill>
            <w14:solidFill>
              <w14:schemeClr w14:val="tx1"/>
            </w14:solidFill>
          </w14:textFill>
        </w:rPr>
      </w:pPr>
      <w:r>
        <w:rPr>
          <w:rFonts w:eastAsia="微软雅黑"/>
          <w:color w:val="000000" w:themeColor="text1"/>
          <w14:textFill>
            <w14:solidFill>
              <w14:schemeClr w14:val="tx1"/>
            </w14:solidFill>
          </w14:textFill>
        </w:rPr>
        <w:t>①</w:t>
      </w:r>
      <w:r>
        <w:rPr>
          <w:color w:val="000000" w:themeColor="text1"/>
          <w14:textFill>
            <w14:solidFill>
              <w14:schemeClr w14:val="tx1"/>
            </w14:solidFill>
          </w14:textFill>
        </w:rPr>
        <w:t>预</w:t>
      </w:r>
      <w:r>
        <w:rPr>
          <w:rFonts w:hint="eastAsia"/>
          <w:color w:val="000000" w:themeColor="text1"/>
          <w14:textFill>
            <w14:solidFill>
              <w14:schemeClr w14:val="tx1"/>
            </w14:solidFill>
          </w14:textFill>
        </w:rPr>
        <w:t>测方法</w:t>
      </w:r>
    </w:p>
    <w:p w14:paraId="0FCD884A">
      <w:pPr>
        <w:pStyle w:val="45"/>
        <w:ind w:firstLine="480"/>
        <w:rPr>
          <w:color w:val="000000" w:themeColor="text1"/>
          <w14:textFill>
            <w14:solidFill>
              <w14:schemeClr w14:val="tx1"/>
            </w14:solidFill>
          </w14:textFill>
        </w:rPr>
      </w:pPr>
      <m:oMathPara>
        <m:oMath>
          <m:r>
            <m:rPr/>
            <w:rPr>
              <w:rFonts w:ascii="Cambria Math" w:hAnsi="Cambria Math"/>
              <w:color w:val="000000" w:themeColor="text1"/>
              <w14:textFill>
                <w14:solidFill>
                  <w14:schemeClr w14:val="tx1"/>
                </w14:solidFill>
              </w14:textFill>
            </w:rPr>
            <m:t>C</m:t>
          </m:r>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x,y,t</m:t>
              </m:r>
              <m:ctrlPr>
                <w:rPr>
                  <w:rFonts w:ascii="Cambria Math" w:hAnsi="Cambria Math"/>
                  <w:i/>
                  <w:color w:val="000000" w:themeColor="text1"/>
                  <w14:textFill>
                    <w14:solidFill>
                      <w14:schemeClr w14:val="tx1"/>
                    </w14:solidFill>
                  </w14:textFill>
                </w:rPr>
              </m:ctrlPr>
            </m:e>
          </m:d>
          <m:r>
            <m:rPr/>
            <w:rPr>
              <w:rFonts w:ascii="Cambria Math" w:hAnsi="Cambria Math"/>
              <w:color w:val="000000" w:themeColor="text1"/>
              <w14:textFill>
                <w14:solidFill>
                  <w14:schemeClr w14:val="tx1"/>
                </w14:solidFill>
              </w14:textFill>
            </w:rPr>
            <m:t>=</m:t>
          </m:r>
          <m:f>
            <m:fPr>
              <m:ctrlPr>
                <w:rPr>
                  <w:rFonts w:ascii="Cambria Math" w:hAnsi="Cambria Math"/>
                  <w:i/>
                  <w:color w:val="000000" w:themeColor="text1"/>
                  <w14:textFill>
                    <w14:solidFill>
                      <w14:schemeClr w14:val="tx1"/>
                    </w14:solidFill>
                  </w14:textFill>
                </w:rPr>
              </m:ctrlPr>
            </m:fPr>
            <m:num>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m</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4πMn</m:t>
              </m:r>
              <m:rad>
                <m:radPr>
                  <m:degHide m:val="1"/>
                  <m:ctrlPr>
                    <w:rPr>
                      <w:rFonts w:ascii="Cambria Math" w:hAnsi="Cambria Math"/>
                      <w:i/>
                      <w:color w:val="000000" w:themeColor="text1"/>
                      <w14:textFill>
                        <w14:solidFill>
                          <w14:schemeClr w14:val="tx1"/>
                        </w14:solidFill>
                      </w14:textFill>
                    </w:rPr>
                  </m:ctrlPr>
                </m:radPr>
                <m:deg>
                  <m:ctrlPr>
                    <w:rPr>
                      <w:rFonts w:ascii="Cambria Math" w:hAnsi="Cambria Math"/>
                      <w:i/>
                      <w:color w:val="000000" w:themeColor="text1"/>
                      <w14:textFill>
                        <w14:solidFill>
                          <w14:schemeClr w14:val="tx1"/>
                        </w14:solidFill>
                      </w14:textFill>
                    </w:rPr>
                  </m:ctrlPr>
                </m:deg>
                <m:e>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L</m:t>
                      </m:r>
                      <m:ctrlPr>
                        <w:rPr>
                          <w:rFonts w:ascii="Cambria Math" w:hAnsi="Cambria Math"/>
                          <w:i/>
                          <w:color w:val="000000" w:themeColor="text1"/>
                          <w14:textFill>
                            <w14:solidFill>
                              <w14:schemeClr w14:val="tx1"/>
                            </w14:solidFill>
                          </w14:textFill>
                        </w:rPr>
                      </m:ctrlPr>
                    </m:sub>
                  </m:sSub>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e>
              </m:rad>
              <m:ctrlPr>
                <w:rPr>
                  <w:rFonts w:ascii="Cambria Math" w:hAnsi="Cambria Math"/>
                  <w:i/>
                  <w:color w:val="000000" w:themeColor="text1"/>
                  <w14:textFill>
                    <w14:solidFill>
                      <w14:schemeClr w14:val="tx1"/>
                    </w14:solidFill>
                  </w14:textFill>
                </w:rPr>
              </m:ctrlPr>
            </m:den>
          </m:f>
          <m:sSup>
            <m:sSupPr>
              <m:ctrlPr>
                <w:rPr>
                  <w:rFonts w:ascii="Cambria Math" w:hAnsi="Cambria Math"/>
                  <w:i/>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e</m:t>
              </m:r>
              <m:ctrlPr>
                <w:rPr>
                  <w:rFonts w:ascii="Cambria Math" w:hAnsi="Cambria Math"/>
                  <w:i/>
                  <w:color w:val="000000" w:themeColor="text1"/>
                  <w14:textFill>
                    <w14:solidFill>
                      <w14:schemeClr w14:val="tx1"/>
                    </w14:solidFill>
                  </w14:textFill>
                </w:rPr>
              </m:ctrlPr>
            </m:e>
            <m:sup>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xu</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2</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L</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den>
              </m:f>
              <m:ctrlPr>
                <w:rPr>
                  <w:rFonts w:ascii="Cambria Math" w:hAnsi="Cambria Math"/>
                  <w:i/>
                  <w:color w:val="000000" w:themeColor="text1"/>
                  <w14:textFill>
                    <w14:solidFill>
                      <w14:schemeClr w14:val="tx1"/>
                    </w14:solidFill>
                  </w14:textFill>
                </w:rPr>
              </m:ctrlPr>
            </m:sup>
          </m:sSup>
          <m:d>
            <m:dPr>
              <m:begChr m:val="["/>
              <m:endChr m:val="]"/>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2</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K</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0</m:t>
                  </m:r>
                  <m:ctrlPr>
                    <w:rPr>
                      <w:rFonts w:ascii="Cambria Math" w:hAnsi="Cambria Math"/>
                      <w:i/>
                      <w:color w:val="000000" w:themeColor="text1"/>
                      <w14:textFill>
                        <w14:solidFill>
                          <w14:schemeClr w14:val="tx1"/>
                        </w14:solidFill>
                      </w14:textFill>
                    </w:rPr>
                  </m:ctrlPr>
                </m:sub>
              </m:sSub>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β</m:t>
                  </m:r>
                  <m:ctrlPr>
                    <w:rPr>
                      <w:rFonts w:ascii="Cambria Math" w:hAnsi="Cambria Math"/>
                      <w:i/>
                      <w:color w:val="000000" w:themeColor="text1"/>
                      <w14:textFill>
                        <w14:solidFill>
                          <w14:schemeClr w14:val="tx1"/>
                        </w14:solidFill>
                      </w14:textFill>
                    </w:rPr>
                  </m:ctrlPr>
                </m:e>
              </m:d>
              <m:r>
                <m:rPr/>
                <w:rPr>
                  <w:rFonts w:ascii="Cambria Math" w:hAnsi="Cambria Math"/>
                  <w:color w:val="000000" w:themeColor="text1"/>
                  <w14:textFill>
                    <w14:solidFill>
                      <w14:schemeClr w14:val="tx1"/>
                    </w14:solidFill>
                  </w14:textFill>
                </w:rPr>
                <m:t>−W(</m:t>
              </m:r>
              <m:f>
                <m:fPr>
                  <m:ctrlPr>
                    <w:rPr>
                      <w:rFonts w:ascii="Cambria Math" w:hAnsi="Cambria Math"/>
                      <w:i/>
                      <w:color w:val="000000" w:themeColor="text1"/>
                      <w14:textFill>
                        <w14:solidFill>
                          <w14:schemeClr w14:val="tx1"/>
                        </w14:solidFill>
                      </w14:textFill>
                    </w:rPr>
                  </m:ctrlPr>
                </m:fPr>
                <m:num>
                  <m:sSup>
                    <m:sSupPr>
                      <m:ctrlPr>
                        <w:rPr>
                          <w:rFonts w:ascii="Cambria Math" w:hAnsi="Cambria Math"/>
                          <w:i/>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sup>
                  </m:sSup>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4</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L</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den>
              </m:f>
              <m:r>
                <m:rPr/>
                <w:rPr>
                  <w:rFonts w:ascii="Cambria Math" w:hAnsi="Cambria Math"/>
                  <w:color w:val="000000" w:themeColor="text1"/>
                  <w14:textFill>
                    <w14:solidFill>
                      <w14:schemeClr w14:val="tx1"/>
                    </w14:solidFill>
                  </w14:textFill>
                </w:rPr>
                <m:t>,β)</m:t>
              </m:r>
              <m:ctrlPr>
                <w:rPr>
                  <w:rFonts w:ascii="Cambria Math" w:hAnsi="Cambria Math"/>
                  <w:i/>
                  <w:color w:val="000000" w:themeColor="text1"/>
                  <w14:textFill>
                    <w14:solidFill>
                      <w14:schemeClr w14:val="tx1"/>
                    </w14:solidFill>
                  </w14:textFill>
                </w:rPr>
              </m:ctrlPr>
            </m:e>
          </m:d>
        </m:oMath>
      </m:oMathPara>
    </w:p>
    <w:p w14:paraId="3B3578CA">
      <w:pPr>
        <w:pStyle w:val="45"/>
        <w:ind w:firstLine="480"/>
        <w:rPr>
          <w:color w:val="000000" w:themeColor="text1"/>
          <w14:textFill>
            <w14:solidFill>
              <w14:schemeClr w14:val="tx1"/>
            </w14:solidFill>
          </w14:textFill>
        </w:rPr>
      </w:pPr>
      <m:oMathPara>
        <m:oMath>
          <m:r>
            <m:rPr/>
            <w:rPr>
              <w:rFonts w:ascii="Cambria Math" w:hAnsi="Cambria Math"/>
              <w:color w:val="000000" w:themeColor="text1"/>
              <w14:textFill>
                <w14:solidFill>
                  <w14:schemeClr w14:val="tx1"/>
                </w14:solidFill>
              </w14:textFill>
            </w:rPr>
            <m:t>β=</m:t>
          </m:r>
          <m:rad>
            <m:radPr>
              <m:degHide m:val="1"/>
              <m:ctrlPr>
                <w:rPr>
                  <w:rFonts w:ascii="Cambria Math" w:hAnsi="Cambria Math"/>
                  <w:i/>
                  <w:color w:val="000000" w:themeColor="text1"/>
                  <w14:textFill>
                    <w14:solidFill>
                      <w14:schemeClr w14:val="tx1"/>
                    </w14:solidFill>
                  </w14:textFill>
                </w:rPr>
              </m:ctrlPr>
            </m:radPr>
            <m:deg>
              <m:ctrlPr>
                <w:rPr>
                  <w:rFonts w:ascii="Cambria Math" w:hAnsi="Cambria Math"/>
                  <w:i/>
                  <w:color w:val="000000" w:themeColor="text1"/>
                  <w14:textFill>
                    <w14:solidFill>
                      <w14:schemeClr w14:val="tx1"/>
                    </w14:solidFill>
                  </w14:textFill>
                </w:rPr>
              </m:ctrlPr>
            </m:deg>
            <m:e>
              <m:f>
                <m:fPr>
                  <m:ctrlPr>
                    <w:rPr>
                      <w:rFonts w:ascii="Cambria Math" w:hAnsi="Cambria Math"/>
                      <w:i/>
                      <w:color w:val="000000" w:themeColor="text1"/>
                      <w14:textFill>
                        <w14:solidFill>
                          <w14:schemeClr w14:val="tx1"/>
                        </w14:solidFill>
                      </w14:textFill>
                    </w:rPr>
                  </m:ctrlPr>
                </m:fPr>
                <m:num>
                  <m:sSup>
                    <m:sSupPr>
                      <m:ctrlPr>
                        <w:rPr>
                          <w:rFonts w:ascii="Cambria Math" w:hAnsi="Cambria Math"/>
                          <w:i/>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sup>
                  </m:sSup>
                  <m:sSup>
                    <m:sSupPr>
                      <m:ctrlPr>
                        <w:rPr>
                          <w:rFonts w:ascii="Cambria Math" w:hAnsi="Cambria Math"/>
                          <w:i/>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x</m:t>
                      </m:r>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sup>
                  </m:sSup>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4</m:t>
                  </m:r>
                  <m:sSubSup>
                    <m:sSubSupPr>
                      <m:ctrlPr>
                        <w:rPr>
                          <w:rFonts w:ascii="Cambria Math" w:hAnsi="Cambria Math"/>
                          <w:i/>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L</m:t>
                      </m:r>
                      <m:ctrlPr>
                        <w:rPr>
                          <w:rFonts w:ascii="Cambria Math" w:hAnsi="Cambria Math"/>
                          <w:i/>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sup>
                  </m:sSubSup>
                  <m:ctrlPr>
                    <w:rPr>
                      <w:rFonts w:ascii="Cambria Math" w:hAnsi="Cambria Math"/>
                      <w:i/>
                      <w:color w:val="000000" w:themeColor="text1"/>
                      <w14:textFill>
                        <w14:solidFill>
                          <w14:schemeClr w14:val="tx1"/>
                        </w14:solidFill>
                      </w14:textFill>
                    </w:rPr>
                  </m:ctrlPr>
                </m:den>
              </m:f>
              <m:r>
                <m:rPr/>
                <w:rPr>
                  <w:rFonts w:ascii="Cambria Math" w:hAnsi="Cambria Math"/>
                  <w:color w:val="000000" w:themeColor="text1"/>
                  <w14:textFill>
                    <w14:solidFill>
                      <w14:schemeClr w14:val="tx1"/>
                    </w14:solidFill>
                  </w14:textFill>
                </w:rPr>
                <m:t>+</m:t>
              </m:r>
              <m:f>
                <m:fPr>
                  <m:ctrlPr>
                    <w:rPr>
                      <w:rFonts w:ascii="Cambria Math" w:hAnsi="Cambria Math"/>
                      <w:i/>
                      <w:color w:val="000000" w:themeColor="text1"/>
                      <w14:textFill>
                        <w14:solidFill>
                          <w14:schemeClr w14:val="tx1"/>
                        </w14:solidFill>
                      </w14:textFill>
                    </w:rPr>
                  </m:ctrlPr>
                </m:fPr>
                <m:num>
                  <m:sSup>
                    <m:sSupPr>
                      <m:ctrlPr>
                        <w:rPr>
                          <w:rFonts w:ascii="Cambria Math" w:hAnsi="Cambria Math"/>
                          <w:i/>
                          <w:color w:val="000000" w:themeColor="text1"/>
                          <w14:textFill>
                            <w14:solidFill>
                              <w14:schemeClr w14:val="tx1"/>
                            </w14:solidFill>
                          </w14:textFill>
                        </w:rPr>
                      </m:ctrlPr>
                    </m:sSupPr>
                    <m:e>
                      <m:r>
                        <m:rPr/>
                        <w:rPr>
                          <w:rFonts w:hint="eastAsia"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sup>
                  </m:sSup>
                  <m:sSup>
                    <m:sSupPr>
                      <m:ctrlPr>
                        <w:rPr>
                          <w:rFonts w:ascii="Cambria Math" w:hAnsi="Cambria Math"/>
                          <w:i/>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y</m:t>
                      </m:r>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sup>
                  </m:sSup>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4</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L</m:t>
                      </m:r>
                      <m:ctrlPr>
                        <w:rPr>
                          <w:rFonts w:ascii="Cambria Math" w:hAnsi="Cambria Math"/>
                          <w:i/>
                          <w:color w:val="000000" w:themeColor="text1"/>
                          <w14:textFill>
                            <w14:solidFill>
                              <w14:schemeClr w14:val="tx1"/>
                            </w14:solidFill>
                          </w14:textFill>
                        </w:rPr>
                      </m:ctrlPr>
                    </m:sub>
                  </m:sSub>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den>
              </m:f>
              <m:ctrlPr>
                <w:rPr>
                  <w:rFonts w:ascii="Cambria Math" w:hAnsi="Cambria Math"/>
                  <w:i/>
                  <w:color w:val="000000" w:themeColor="text1"/>
                  <w14:textFill>
                    <w14:solidFill>
                      <w14:schemeClr w14:val="tx1"/>
                    </w14:solidFill>
                  </w14:textFill>
                </w:rPr>
              </m:ctrlPr>
            </m:e>
          </m:rad>
        </m:oMath>
      </m:oMathPara>
    </w:p>
    <w:p w14:paraId="6263A721">
      <w:pPr>
        <w:pStyle w:val="45"/>
        <w:adjustRightInd w:val="0"/>
        <w:snapToGrid w:val="0"/>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x，y——计算点处的位置坐标；</w:t>
      </w:r>
    </w:p>
    <w:p w14:paraId="2ACEBEFF">
      <w:pPr>
        <w:pStyle w:val="45"/>
        <w:adjustRightInd w:val="0"/>
        <w:snapToGrid w:val="0"/>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t——时间，d；</w:t>
      </w:r>
    </w:p>
    <w:p w14:paraId="211A1EF3">
      <w:pPr>
        <w:pStyle w:val="45"/>
        <w:adjustRightInd w:val="0"/>
        <w:snapToGrid w:val="0"/>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C(x，y，t)——t时刻点处x，y处的示踪剂浓度，g/L；</w:t>
      </w:r>
    </w:p>
    <w:p w14:paraId="4C1624AC">
      <w:pPr>
        <w:pStyle w:val="45"/>
        <w:adjustRightInd w:val="0"/>
        <w:snapToGrid w:val="0"/>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M——承压含水层的厚度，m；</w:t>
      </w:r>
    </w:p>
    <w:p w14:paraId="4E63DBC6">
      <w:pPr>
        <w:pStyle w:val="45"/>
        <w:adjustRightInd w:val="0"/>
        <w:snapToGrid w:val="0"/>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m</w:t>
      </w:r>
      <w:r>
        <w:rPr>
          <w:rFonts w:hint="eastAsia"/>
          <w:color w:val="000000" w:themeColor="text1"/>
          <w:vertAlign w:val="subscript"/>
          <w14:textFill>
            <w14:solidFill>
              <w14:schemeClr w14:val="tx1"/>
            </w14:solidFill>
          </w14:textFill>
        </w:rPr>
        <w:t>t</w:t>
      </w:r>
      <w:r>
        <w:rPr>
          <w:rFonts w:hint="eastAsia"/>
          <w:color w:val="000000" w:themeColor="text1"/>
          <w14:textFill>
            <w14:solidFill>
              <w14:schemeClr w14:val="tx1"/>
            </w14:solidFill>
          </w14:textFill>
        </w:rPr>
        <w:t>——单位时间注入示踪剂的质量，kg/d;</w:t>
      </w:r>
    </w:p>
    <w:p w14:paraId="41685A28">
      <w:pPr>
        <w:pStyle w:val="45"/>
        <w:adjustRightInd w:val="0"/>
        <w:snapToGrid w:val="0"/>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u——水流速度，m/d；</w:t>
      </w:r>
    </w:p>
    <w:p w14:paraId="06B1CC7D">
      <w:pPr>
        <w:pStyle w:val="45"/>
        <w:adjustRightInd w:val="0"/>
        <w:snapToGrid w:val="0"/>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n</w:t>
      </w:r>
      <w:r>
        <w:rPr>
          <w:rFonts w:hint="eastAsia"/>
          <w:color w:val="000000" w:themeColor="text1"/>
          <w:vertAlign w:val="subscript"/>
          <w14:textFill>
            <w14:solidFill>
              <w14:schemeClr w14:val="tx1"/>
            </w14:solidFill>
          </w14:textFill>
        </w:rPr>
        <w:t>e</w:t>
      </w:r>
      <w:r>
        <w:rPr>
          <w:rFonts w:hint="eastAsia"/>
          <w:color w:val="000000" w:themeColor="text1"/>
          <w14:textFill>
            <w14:solidFill>
              <w14:schemeClr w14:val="tx1"/>
            </w14:solidFill>
          </w14:textFill>
        </w:rPr>
        <w:t>——有效孔隙度，无量纲；</w:t>
      </w:r>
    </w:p>
    <w:p w14:paraId="759E5BDC">
      <w:pPr>
        <w:pStyle w:val="45"/>
        <w:adjustRightInd w:val="0"/>
        <w:snapToGrid w:val="0"/>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rFonts w:hint="eastAsia"/>
          <w:color w:val="000000" w:themeColor="text1"/>
          <w:vertAlign w:val="subscript"/>
          <w14:textFill>
            <w14:solidFill>
              <w14:schemeClr w14:val="tx1"/>
            </w14:solidFill>
          </w14:textFill>
        </w:rPr>
        <w:t>L</w:t>
      </w:r>
      <w:r>
        <w:rPr>
          <w:rFonts w:hint="eastAsia"/>
          <w:color w:val="000000" w:themeColor="text1"/>
          <w14:textFill>
            <w14:solidFill>
              <w14:schemeClr w14:val="tx1"/>
            </w14:solidFill>
          </w14:textFill>
        </w:rPr>
        <w:t>——纵向弥散系数，m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/d；</w:t>
      </w:r>
    </w:p>
    <w:p w14:paraId="063EF7A2">
      <w:pPr>
        <w:pStyle w:val="45"/>
        <w:adjustRightInd w:val="0"/>
        <w:snapToGrid w:val="0"/>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rFonts w:hint="eastAsia"/>
          <w:color w:val="000000" w:themeColor="text1"/>
          <w:vertAlign w:val="subscript"/>
          <w14:textFill>
            <w14:solidFill>
              <w14:schemeClr w14:val="tx1"/>
            </w14:solidFill>
          </w14:textFill>
        </w:rPr>
        <w:t>T</w:t>
      </w:r>
      <w:r>
        <w:rPr>
          <w:rFonts w:hint="eastAsia"/>
          <w:color w:val="000000" w:themeColor="text1"/>
          <w14:textFill>
            <w14:solidFill>
              <w14:schemeClr w14:val="tx1"/>
            </w14:solidFill>
          </w14:textFill>
        </w:rPr>
        <w:t>——横向y方向的弥散系数；</w:t>
      </w:r>
    </w:p>
    <w:p w14:paraId="5A228ACC">
      <w:pPr>
        <w:pStyle w:val="45"/>
        <w:adjustRightInd w:val="0"/>
        <w:snapToGrid w:val="0"/>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π</w:t>
      </w:r>
      <w:r>
        <w:rPr>
          <w:rFonts w:hint="eastAsia"/>
          <w:color w:val="000000" w:themeColor="text1"/>
          <w14:textFill>
            <w14:solidFill>
              <w14:schemeClr w14:val="tx1"/>
            </w14:solidFill>
          </w14:textFill>
        </w:rPr>
        <w:t>——圆周率；</w:t>
      </w:r>
    </w:p>
    <w:p w14:paraId="2B612847">
      <w:pPr>
        <w:pStyle w:val="45"/>
        <w:adjustRightInd w:val="0"/>
        <w:snapToGrid w:val="0"/>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K</w:t>
      </w:r>
      <w:r>
        <w:rPr>
          <w:rFonts w:hint="eastAsia"/>
          <w:color w:val="000000" w:themeColor="text1"/>
          <w:vertAlign w:val="subscript"/>
          <w14:textFill>
            <w14:solidFill>
              <w14:schemeClr w14:val="tx1"/>
            </w14:solidFill>
          </w14:textFill>
        </w:rPr>
        <w:t>0</w:t>
      </w:r>
      <w:r>
        <w:rPr>
          <w:rFonts w:hint="eastAsia"/>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β</w:t>
      </w:r>
      <w:r>
        <w:rPr>
          <w:rFonts w:hint="eastAsia"/>
          <w:color w:val="000000" w:themeColor="text1"/>
          <w14:textFill>
            <w14:solidFill>
              <w14:schemeClr w14:val="tx1"/>
            </w14:solidFill>
          </w14:textFill>
        </w:rPr>
        <w:t>)——第二类零阶修正贝塞尔函数；</w:t>
      </w:r>
    </w:p>
    <w:p w14:paraId="07755D03">
      <w:pPr>
        <w:pStyle w:val="45"/>
        <w:adjustRightInd w:val="0"/>
        <w:snapToGrid w:val="0"/>
        <w:spacing w:line="240" w:lineRule="auto"/>
        <w:ind w:firstLine="480"/>
        <w:rPr>
          <w:rFonts w:hint="eastAsia"/>
          <w:color w:val="000000" w:themeColor="text1"/>
          <w:u w:val="single"/>
          <w14:textFill>
            <w14:solidFill>
              <w14:schemeClr w14:val="tx1"/>
            </w14:solidFill>
          </w14:textFill>
        </w:rPr>
      </w:pPr>
      <m:oMath>
        <m:r>
          <m:rPr/>
          <w:rPr>
            <w:rFonts w:ascii="Cambria Math" w:hAnsi="Cambria Math"/>
            <w:color w:val="000000" w:themeColor="text1"/>
            <w14:textFill>
              <w14:solidFill>
                <w14:schemeClr w14:val="tx1"/>
              </w14:solidFill>
            </w14:textFill>
          </w:rPr>
          <m:t>W(</m:t>
        </m:r>
        <m:f>
          <m:fPr>
            <m:ctrlPr>
              <w:rPr>
                <w:rFonts w:ascii="Cambria Math" w:hAnsi="Cambria Math"/>
                <w:i/>
                <w:color w:val="000000" w:themeColor="text1"/>
                <w14:textFill>
                  <w14:solidFill>
                    <w14:schemeClr w14:val="tx1"/>
                  </w14:solidFill>
                </w14:textFill>
              </w:rPr>
            </m:ctrlPr>
          </m:fPr>
          <m:num>
            <m:sSup>
              <m:sSupPr>
                <m:ctrlPr>
                  <w:rPr>
                    <w:rFonts w:ascii="Cambria Math" w:hAnsi="Cambria Math"/>
                    <w:i/>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sup>
            </m:sSup>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4</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L</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den>
        </m:f>
        <m:r>
          <m:rPr/>
          <w:rPr>
            <w:rFonts w:ascii="Cambria Math" w:hAnsi="Cambria Math"/>
            <w:color w:val="000000" w:themeColor="text1"/>
            <w14:textFill>
              <w14:solidFill>
                <w14:schemeClr w14:val="tx1"/>
              </w14:solidFill>
            </w14:textFill>
          </w:rPr>
          <m:t>,β)</m:t>
        </m:r>
      </m:oMath>
      <w:r>
        <w:rPr>
          <w:rFonts w:hint="eastAsia"/>
          <w:color w:val="000000" w:themeColor="text1"/>
          <w14:textFill>
            <w14:solidFill>
              <w14:schemeClr w14:val="tx1"/>
            </w14:solidFill>
          </w14:textFill>
        </w:rPr>
        <w:t>——第一类越流系统井函数。</w:t>
      </w:r>
    </w:p>
    <w:p w14:paraId="27BC5940">
      <w:pPr>
        <w:pStyle w:val="45"/>
        <w:ind w:firstLine="480"/>
        <w:rPr>
          <w:color w:val="000000" w:themeColor="text1"/>
          <w14:textFill>
            <w14:solidFill>
              <w14:schemeClr w14:val="tx1"/>
            </w14:solidFill>
          </w14:textFill>
        </w:rPr>
      </w:pPr>
      <w:r>
        <w:rPr>
          <w:rFonts w:eastAsia="微软雅黑"/>
          <w:color w:val="000000" w:themeColor="text1"/>
          <w14:textFill>
            <w14:solidFill>
              <w14:schemeClr w14:val="tx1"/>
            </w14:solidFill>
          </w14:textFill>
        </w:rPr>
        <w:t>②</w:t>
      </w:r>
      <w:r>
        <w:rPr>
          <w:color w:val="000000" w:themeColor="text1"/>
          <w14:textFill>
            <w14:solidFill>
              <w14:schemeClr w14:val="tx1"/>
            </w14:solidFill>
          </w14:textFill>
        </w:rPr>
        <w:t>相关</w:t>
      </w:r>
      <w:r>
        <w:rPr>
          <w:rFonts w:hint="eastAsia"/>
          <w:color w:val="000000" w:themeColor="text1"/>
          <w14:textFill>
            <w14:solidFill>
              <w14:schemeClr w14:val="tx1"/>
            </w14:solidFill>
          </w14:textFill>
        </w:rPr>
        <w:t>参数</w:t>
      </w:r>
    </w:p>
    <w:p w14:paraId="6F55A85C">
      <w:pPr>
        <w:spacing w:line="500" w:lineRule="exact"/>
        <w:ind w:firstLine="480" w:firstLineChars="200"/>
        <w:rPr>
          <w:color w:val="000000" w:themeColor="text1"/>
          <w:sz w:val="24"/>
          <w:u w:val="single"/>
          <w14:textFill>
            <w14:solidFill>
              <w14:schemeClr w14:val="tx1"/>
            </w14:solidFill>
          </w14:textFill>
        </w:rPr>
      </w:pPr>
      <w:r>
        <w:rPr>
          <w:rFonts w:hint="eastAsia"/>
          <w:color w:val="000000" w:themeColor="text1"/>
          <w:sz w:val="24"/>
          <w:u w:val="single"/>
          <w14:textFill>
            <w14:solidFill>
              <w14:schemeClr w14:val="tx1"/>
            </w14:solidFill>
          </w14:textFill>
        </w:rPr>
        <w:t>该区域目前无水文地质历史资料，区域地下水的发展受填海底层的影响，又有一定的随机性。因此区域的水文地质情况参考目前与填海成陆区相接壤的区域的水文地质资料</w:t>
      </w:r>
      <w:r>
        <w:rPr>
          <w:rFonts w:hint="eastAsia"/>
          <w:color w:val="000000" w:themeColor="text1"/>
          <w:sz w:val="24"/>
          <w:u w:val="single"/>
          <w:lang w:eastAsia="zh-CN"/>
          <w14:textFill>
            <w14:solidFill>
              <w14:schemeClr w14:val="tx1"/>
            </w14:solidFill>
          </w14:textFill>
        </w:rPr>
        <w:t>。</w:t>
      </w:r>
      <w:r>
        <w:rPr>
          <w:rFonts w:hint="eastAsia"/>
          <w:color w:val="000000" w:themeColor="text1"/>
          <w:sz w:val="24"/>
          <w:u w:val="single"/>
          <w14:textFill>
            <w14:solidFill>
              <w14:schemeClr w14:val="tx1"/>
            </w14:solidFill>
          </w14:textFill>
        </w:rPr>
        <w:t>预测参数结合《地下水污染模拟预测评估工作指南</w:t>
      </w:r>
      <w:r>
        <w:rPr>
          <w:rFonts w:hint="eastAsia"/>
          <w:color w:val="000000" w:themeColor="text1"/>
          <w:sz w:val="24"/>
          <w:u w:val="single"/>
          <w:lang w:eastAsia="zh-CN"/>
          <w14:textFill>
            <w14:solidFill>
              <w14:schemeClr w14:val="tx1"/>
            </w14:solidFill>
          </w14:textFill>
        </w:rPr>
        <w:t>》《</w:t>
      </w:r>
      <w:r>
        <w:rPr>
          <w:rFonts w:hint="eastAsia"/>
          <w:color w:val="000000" w:themeColor="text1"/>
          <w:sz w:val="24"/>
          <w:u w:val="single"/>
          <w14:textFill>
            <w14:solidFill>
              <w14:schemeClr w14:val="tx1"/>
            </w14:solidFill>
          </w14:textFill>
        </w:rPr>
        <w:t>昌德新材科技（广西）有限公司年产65万吨化工新材料一体化项目（一期）环境影响报告书</w:t>
      </w:r>
      <w:r>
        <w:rPr>
          <w:rFonts w:hint="eastAsia"/>
          <w:color w:val="000000" w:themeColor="text1"/>
          <w:sz w:val="24"/>
          <w:u w:val="single"/>
          <w:lang w:eastAsia="zh-CN"/>
          <w14:textFill>
            <w14:solidFill>
              <w14:schemeClr w14:val="tx1"/>
            </w14:solidFill>
          </w14:textFill>
        </w:rPr>
        <w:t>》《</w:t>
      </w:r>
      <w:r>
        <w:rPr>
          <w:rFonts w:hint="eastAsia"/>
          <w:color w:val="000000" w:themeColor="text1"/>
          <w:sz w:val="24"/>
          <w:u w:val="single"/>
          <w14:textFill>
            <w14:solidFill>
              <w14:schemeClr w14:val="tx1"/>
            </w14:solidFill>
          </w14:textFill>
        </w:rPr>
        <w:t>宏坤新材料粗苯加氢项目环境影响报告书》综合选取。</w:t>
      </w:r>
      <w:r>
        <w:rPr>
          <w:color w:val="000000" w:themeColor="text1"/>
          <w:sz w:val="24"/>
          <w:u w:val="single"/>
          <w14:textFill>
            <w14:solidFill>
              <w14:schemeClr w14:val="tx1"/>
            </w14:solidFill>
          </w14:textFill>
        </w:rPr>
        <w:t>本次地下水环境影响预测参数见表</w:t>
      </w:r>
      <w:r>
        <w:rPr>
          <w:rFonts w:hint="eastAsia"/>
          <w:color w:val="000000" w:themeColor="text1"/>
          <w:sz w:val="24"/>
          <w:u w:val="single"/>
          <w14:textFill>
            <w14:solidFill>
              <w14:schemeClr w14:val="tx1"/>
            </w14:solidFill>
          </w14:textFill>
        </w:rPr>
        <w:t>4.5-1</w:t>
      </w:r>
      <w:r>
        <w:rPr>
          <w:color w:val="000000" w:themeColor="text1"/>
          <w:sz w:val="24"/>
          <w:u w:val="single"/>
          <w14:textFill>
            <w14:solidFill>
              <w14:schemeClr w14:val="tx1"/>
            </w14:solidFill>
          </w14:textFill>
        </w:rPr>
        <w:t>。</w:t>
      </w:r>
    </w:p>
    <w:p w14:paraId="4428B527">
      <w:pPr>
        <w:keepNext/>
        <w:keepLines/>
        <w:pageBreakBefore w:val="0"/>
        <w:widowControl w:val="0"/>
        <w:tabs>
          <w:tab w:val="left" w:pos="795"/>
        </w:tabs>
        <w:kinsoku/>
        <w:wordWrap/>
        <w:overflowPunct/>
        <w:topLinePunct w:val="0"/>
        <w:autoSpaceDE/>
        <w:autoSpaceDN/>
        <w:bidi w:val="0"/>
        <w:adjustRightInd/>
        <w:snapToGrid/>
        <w:spacing w:line="500" w:lineRule="exact"/>
        <w:ind w:left="794" w:firstLine="482"/>
        <w:jc w:val="center"/>
        <w:textAlignment w:val="auto"/>
        <w:outlineLvl w:val="9"/>
        <w:rPr>
          <w:b/>
          <w:color w:val="000000" w:themeColor="text1"/>
          <w:sz w:val="24"/>
          <w:u w:val="single"/>
          <w14:textFill>
            <w14:solidFill>
              <w14:schemeClr w14:val="tx1"/>
            </w14:solidFill>
          </w14:textFill>
        </w:rPr>
      </w:pPr>
      <w:r>
        <w:rPr>
          <w:rFonts w:hint="eastAsia"/>
          <w:b/>
          <w:color w:val="000000" w:themeColor="text1"/>
          <w:sz w:val="24"/>
          <w:u w:val="single"/>
          <w14:textFill>
            <w14:solidFill>
              <w14:schemeClr w14:val="tx1"/>
            </w14:solidFill>
          </w14:textFill>
        </w:rPr>
        <w:t>表4.5-1  预测参数</w:t>
      </w:r>
    </w:p>
    <w:tbl>
      <w:tblPr>
        <w:tblStyle w:val="2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08"/>
        <w:gridCol w:w="1811"/>
        <w:gridCol w:w="1979"/>
        <w:gridCol w:w="1770"/>
        <w:gridCol w:w="1778"/>
      </w:tblGrid>
      <w:tr w14:paraId="7BDA8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899" w:type="pct"/>
            <w:vAlign w:val="center"/>
          </w:tcPr>
          <w:p w14:paraId="68BA6A03">
            <w:pPr>
              <w:pStyle w:val="61"/>
              <w:rPr>
                <w:color w:val="000000" w:themeColor="text1"/>
                <w:u w:val="single"/>
                <w14:textFill>
                  <w14:solidFill>
                    <w14:schemeClr w14:val="tx1"/>
                  </w14:solidFill>
                </w14:textFill>
              </w:rPr>
            </w:pPr>
            <w:r>
              <w:rPr>
                <w:color w:val="000000" w:themeColor="text1"/>
                <w:u w:val="single"/>
                <w14:textFill>
                  <w14:solidFill>
                    <w14:schemeClr w14:val="tx1"/>
                  </w14:solidFill>
                </w14:textFill>
              </w:rPr>
              <w:t>有效孔隙度</w:t>
            </w:r>
          </w:p>
        </w:tc>
        <w:tc>
          <w:tcPr>
            <w:tcW w:w="1012" w:type="pct"/>
            <w:vAlign w:val="center"/>
          </w:tcPr>
          <w:p w14:paraId="5281F4EB">
            <w:pPr>
              <w:pStyle w:val="61"/>
              <w:rPr>
                <w:color w:val="000000" w:themeColor="text1"/>
                <w:u w:val="single"/>
                <w14:textFill>
                  <w14:solidFill>
                    <w14:schemeClr w14:val="tx1"/>
                  </w14:solidFill>
                </w14:textFill>
              </w:rPr>
            </w:pPr>
            <w:r>
              <w:rPr>
                <w:color w:val="000000" w:themeColor="text1"/>
                <w:u w:val="single"/>
                <w14:textFill>
                  <w14:solidFill>
                    <w14:schemeClr w14:val="tx1"/>
                  </w14:solidFill>
                </w14:textFill>
              </w:rPr>
              <w:t>地下水流速（m/d）</w:t>
            </w:r>
          </w:p>
        </w:tc>
        <w:tc>
          <w:tcPr>
            <w:tcW w:w="1106" w:type="pct"/>
            <w:vAlign w:val="center"/>
          </w:tcPr>
          <w:p w14:paraId="5E9DB090">
            <w:pPr>
              <w:pStyle w:val="61"/>
              <w:rPr>
                <w:color w:val="000000" w:themeColor="text1"/>
                <w:u w:val="single"/>
                <w14:textFill>
                  <w14:solidFill>
                    <w14:schemeClr w14:val="tx1"/>
                  </w14:solidFill>
                </w14:textFill>
              </w:rPr>
            </w:pPr>
            <w:r>
              <w:rPr>
                <w:color w:val="000000" w:themeColor="text1"/>
                <w:u w:val="single"/>
                <w14:textFill>
                  <w14:solidFill>
                    <w14:schemeClr w14:val="tx1"/>
                  </w14:solidFill>
                </w14:textFill>
              </w:rPr>
              <w:t>纵向弥散系数（m</w:t>
            </w:r>
            <w:r>
              <w:rPr>
                <w:color w:val="000000" w:themeColor="text1"/>
                <w:u w:val="single"/>
                <w:vertAlign w:val="superscript"/>
                <w14:textFill>
                  <w14:solidFill>
                    <w14:schemeClr w14:val="tx1"/>
                  </w14:solidFill>
                </w14:textFill>
              </w:rPr>
              <w:t>2</w:t>
            </w:r>
            <w:r>
              <w:rPr>
                <w:color w:val="000000" w:themeColor="text1"/>
                <w:u w:val="single"/>
                <w14:textFill>
                  <w14:solidFill>
                    <w14:schemeClr w14:val="tx1"/>
                  </w14:solidFill>
                </w14:textFill>
              </w:rPr>
              <w:t>/d）</w:t>
            </w:r>
          </w:p>
        </w:tc>
        <w:tc>
          <w:tcPr>
            <w:tcW w:w="989" w:type="pct"/>
            <w:vAlign w:val="center"/>
          </w:tcPr>
          <w:p w14:paraId="628B724E">
            <w:pPr>
              <w:pStyle w:val="61"/>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横</w:t>
            </w:r>
            <w:r>
              <w:rPr>
                <w:color w:val="000000" w:themeColor="text1"/>
                <w:u w:val="single"/>
                <w14:textFill>
                  <w14:solidFill>
                    <w14:schemeClr w14:val="tx1"/>
                  </w14:solidFill>
                </w14:textFill>
              </w:rPr>
              <w:t>向弥散系数（m</w:t>
            </w:r>
            <w:r>
              <w:rPr>
                <w:color w:val="000000" w:themeColor="text1"/>
                <w:u w:val="single"/>
                <w:vertAlign w:val="superscript"/>
                <w14:textFill>
                  <w14:solidFill>
                    <w14:schemeClr w14:val="tx1"/>
                  </w14:solidFill>
                </w14:textFill>
              </w:rPr>
              <w:t>2</w:t>
            </w:r>
            <w:r>
              <w:rPr>
                <w:color w:val="000000" w:themeColor="text1"/>
                <w:u w:val="single"/>
                <w14:textFill>
                  <w14:solidFill>
                    <w14:schemeClr w14:val="tx1"/>
                  </w14:solidFill>
                </w14:textFill>
              </w:rPr>
              <w:t>/d）</w:t>
            </w:r>
          </w:p>
        </w:tc>
        <w:tc>
          <w:tcPr>
            <w:tcW w:w="991" w:type="pct"/>
            <w:vAlign w:val="center"/>
          </w:tcPr>
          <w:p w14:paraId="1AAD0D0E">
            <w:pPr>
              <w:pStyle w:val="61"/>
              <w:rPr>
                <w:color w:val="000000" w:themeColor="text1"/>
                <w:u w:val="single"/>
                <w14:textFill>
                  <w14:solidFill>
                    <w14:schemeClr w14:val="tx1"/>
                  </w14:solidFill>
                </w14:textFill>
              </w:rPr>
            </w:pPr>
            <w:r>
              <w:rPr>
                <w:color w:val="000000" w:themeColor="text1"/>
                <w:u w:val="single"/>
                <w14:textFill>
                  <w14:solidFill>
                    <w14:schemeClr w14:val="tx1"/>
                  </w14:solidFill>
                </w14:textFill>
              </w:rPr>
              <w:t>含水层厚度（m）</w:t>
            </w:r>
          </w:p>
        </w:tc>
      </w:tr>
      <w:tr w14:paraId="13EF3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99" w:type="pct"/>
            <w:vAlign w:val="center"/>
          </w:tcPr>
          <w:p w14:paraId="09C9D0E9">
            <w:pPr>
              <w:pStyle w:val="61"/>
              <w:rPr>
                <w:color w:val="000000" w:themeColor="text1"/>
                <w:u w:val="single"/>
                <w14:textFill>
                  <w14:solidFill>
                    <w14:schemeClr w14:val="tx1"/>
                  </w14:solidFill>
                </w14:textFill>
              </w:rPr>
            </w:pPr>
            <w:r>
              <w:rPr>
                <w:color w:val="000000" w:themeColor="text1"/>
                <w:u w:val="single"/>
                <w14:textFill>
                  <w14:solidFill>
                    <w14:schemeClr w14:val="tx1"/>
                  </w14:solidFill>
                </w14:textFill>
              </w:rPr>
              <w:t>0.2</w:t>
            </w:r>
          </w:p>
        </w:tc>
        <w:tc>
          <w:tcPr>
            <w:tcW w:w="1012" w:type="pct"/>
            <w:vAlign w:val="center"/>
          </w:tcPr>
          <w:p w14:paraId="1E602BE0">
            <w:pPr>
              <w:pStyle w:val="61"/>
              <w:rPr>
                <w:color w:val="000000" w:themeColor="text1"/>
                <w:u w:val="single"/>
                <w14:textFill>
                  <w14:solidFill>
                    <w14:schemeClr w14:val="tx1"/>
                  </w14:solidFill>
                </w14:textFill>
              </w:rPr>
            </w:pPr>
            <w:r>
              <w:rPr>
                <w:color w:val="000000" w:themeColor="text1"/>
                <w:u w:val="single"/>
                <w14:textFill>
                  <w14:solidFill>
                    <w14:schemeClr w14:val="tx1"/>
                  </w14:solidFill>
                </w14:textFill>
              </w:rPr>
              <w:t>0.0004</w:t>
            </w:r>
          </w:p>
        </w:tc>
        <w:tc>
          <w:tcPr>
            <w:tcW w:w="1106" w:type="pct"/>
            <w:vAlign w:val="center"/>
          </w:tcPr>
          <w:p w14:paraId="6A7FF0D0">
            <w:pPr>
              <w:pStyle w:val="61"/>
              <w:rPr>
                <w:color w:val="000000" w:themeColor="text1"/>
                <w:u w:val="single"/>
                <w14:textFill>
                  <w14:solidFill>
                    <w14:schemeClr w14:val="tx1"/>
                  </w14:solidFill>
                </w14:textFill>
              </w:rPr>
            </w:pPr>
            <w:r>
              <w:rPr>
                <w:color w:val="000000" w:themeColor="text1"/>
                <w:u w:val="single"/>
                <w14:textFill>
                  <w14:solidFill>
                    <w14:schemeClr w14:val="tx1"/>
                  </w14:solidFill>
                </w14:textFill>
              </w:rPr>
              <w:t>0.008</w:t>
            </w:r>
          </w:p>
        </w:tc>
        <w:tc>
          <w:tcPr>
            <w:tcW w:w="989" w:type="pct"/>
            <w:vAlign w:val="center"/>
          </w:tcPr>
          <w:p w14:paraId="49463D7E">
            <w:pPr>
              <w:pStyle w:val="61"/>
              <w:rPr>
                <w:rFonts w:hint="default" w:eastAsia="宋体"/>
                <w:color w:val="000000" w:themeColor="text1"/>
                <w:u w:val="single"/>
                <w:lang w:val="en-US" w:eastAsia="zh-CN"/>
                <w14:textFill>
                  <w14:solidFill>
                    <w14:schemeClr w14:val="tx1"/>
                  </w14:solidFill>
                </w14:textFill>
              </w:rPr>
            </w:pPr>
            <w:r>
              <w:rPr>
                <w:color w:val="000000" w:themeColor="text1"/>
                <w:u w:val="single"/>
                <w14:textFill>
                  <w14:solidFill>
                    <w14:schemeClr w14:val="tx1"/>
                  </w14:solidFill>
                </w14:textFill>
              </w:rPr>
              <w:t>0.</w:t>
            </w:r>
            <w:r>
              <w:rPr>
                <w:rFonts w:hint="eastAsia"/>
                <w:color w:val="000000" w:themeColor="text1"/>
                <w:u w:val="single"/>
                <w:lang w:val="en-US" w:eastAsia="zh-CN"/>
                <w14:textFill>
                  <w14:solidFill>
                    <w14:schemeClr w14:val="tx1"/>
                  </w14:solidFill>
                </w14:textFill>
              </w:rPr>
              <w:t>0008</w:t>
            </w:r>
          </w:p>
        </w:tc>
        <w:tc>
          <w:tcPr>
            <w:tcW w:w="991" w:type="pct"/>
            <w:vAlign w:val="center"/>
          </w:tcPr>
          <w:p w14:paraId="26B1F420">
            <w:pPr>
              <w:pStyle w:val="61"/>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17</w:t>
            </w:r>
          </w:p>
        </w:tc>
      </w:tr>
      <w:tr w14:paraId="2FBD0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5"/>
            <w:vAlign w:val="center"/>
          </w:tcPr>
          <w:p w14:paraId="15FE0786">
            <w:pPr>
              <w:pStyle w:val="61"/>
              <w:jc w:val="left"/>
              <w:rPr>
                <w:rFonts w:hint="eastAsia"/>
                <w:color w:val="000000" w:themeColor="text1"/>
                <w:u w:val="single"/>
                <w14:textFill>
                  <w14:solidFill>
                    <w14:schemeClr w14:val="tx1"/>
                  </w14:solidFill>
                </w14:textFill>
              </w:rPr>
            </w:pPr>
            <w:r>
              <w:rPr>
                <w:color w:val="000000" w:themeColor="text1"/>
                <w:highlight w:val="none"/>
                <w:u w:val="single"/>
                <w14:textFill>
                  <w14:solidFill>
                    <w14:schemeClr w14:val="tx1"/>
                  </w14:solidFill>
                </w14:textFill>
              </w:rPr>
              <w:t>纵向弥散度的取值根据《地下水污染模拟预测评估工作指南》中表C.7取值，项目场地含水层为强风化泥质粉砂岩，弥散度取值“孔隙介质”在迁移距离</w:t>
            </w:r>
            <w:r>
              <w:rPr>
                <w:rFonts w:hint="eastAsia"/>
                <w:color w:val="000000" w:themeColor="text1"/>
                <w:highlight w:val="none"/>
                <w:u w:val="single"/>
                <w14:textFill>
                  <w14:solidFill>
                    <w14:schemeClr w14:val="tx1"/>
                  </w14:solidFill>
                </w14:textFill>
              </w:rPr>
              <w:t>按照</w:t>
            </w:r>
            <w:r>
              <w:rPr>
                <w:color w:val="000000" w:themeColor="text1"/>
                <w:highlight w:val="none"/>
                <w:u w:val="single"/>
                <w14:textFill>
                  <w14:solidFill>
                    <w14:schemeClr w14:val="tx1"/>
                  </w14:solidFill>
                </w14:textFill>
              </w:rPr>
              <w:t>150m时的弥散度，其值为20m，根据公式DL=a*u计算</w:t>
            </w:r>
            <w:r>
              <w:rPr>
                <w:rFonts w:hint="eastAsia"/>
                <w:color w:val="000000" w:themeColor="text1"/>
                <w:highlight w:val="none"/>
                <w:u w:val="single"/>
                <w14:textFill>
                  <w14:solidFill>
                    <w14:schemeClr w14:val="tx1"/>
                  </w14:solidFill>
                </w14:textFill>
              </w:rPr>
              <w:t>，地下水流速取值</w:t>
            </w:r>
            <w:r>
              <w:rPr>
                <w:rFonts w:hint="eastAsia"/>
                <w:color w:val="000000" w:themeColor="text1"/>
                <w:highlight w:val="none"/>
                <w:u w:val="single"/>
                <w:lang w:val="en-US" w:eastAsia="zh-CN"/>
                <w14:textFill>
                  <w14:solidFill>
                    <w14:schemeClr w14:val="tx1"/>
                  </w14:solidFill>
                </w14:textFill>
              </w:rPr>
              <w:t>0.0004</w:t>
            </w:r>
            <w:r>
              <w:rPr>
                <w:rFonts w:hint="eastAsia"/>
                <w:color w:val="000000" w:themeColor="text1"/>
                <w:highlight w:val="none"/>
                <w:u w:val="single"/>
                <w14:textFill>
                  <w14:solidFill>
                    <w14:schemeClr w14:val="tx1"/>
                  </w14:solidFill>
                </w14:textFill>
              </w:rPr>
              <w:t>，横向弥散系数取纵向弥散系数的0.1；含水层厚度依据《昌德新材科技（广西）有限公司年产65万吨化工新材料一体化项目（一期）环境影响报告书</w:t>
            </w:r>
            <w:r>
              <w:rPr>
                <w:rFonts w:hint="eastAsia"/>
                <w:color w:val="000000" w:themeColor="text1"/>
                <w:highlight w:val="none"/>
                <w:u w:val="single"/>
                <w:lang w:eastAsia="zh-CN"/>
                <w14:textFill>
                  <w14:solidFill>
                    <w14:schemeClr w14:val="tx1"/>
                  </w14:solidFill>
                </w14:textFill>
              </w:rPr>
              <w:t>》《</w:t>
            </w:r>
            <w:r>
              <w:rPr>
                <w:rFonts w:hint="eastAsia"/>
                <w:color w:val="000000" w:themeColor="text1"/>
                <w:highlight w:val="none"/>
                <w:u w:val="single"/>
                <w14:textFill>
                  <w14:solidFill>
                    <w14:schemeClr w14:val="tx1"/>
                  </w14:solidFill>
                </w14:textFill>
              </w:rPr>
              <w:t>宏坤新材料粗苯加氢项目环境影响报告书》水文地质勘探揭露的含水层厚度综合选取</w:t>
            </w:r>
            <w:r>
              <w:rPr>
                <w:color w:val="000000" w:themeColor="text1"/>
                <w:highlight w:val="none"/>
                <w:u w:val="single"/>
                <w14:textFill>
                  <w14:solidFill>
                    <w14:schemeClr w14:val="tx1"/>
                  </w14:solidFill>
                </w14:textFill>
              </w:rPr>
              <w:t>。</w:t>
            </w:r>
          </w:p>
        </w:tc>
      </w:tr>
    </w:tbl>
    <w:p w14:paraId="6A3EA3F2">
      <w:pPr>
        <w:pStyle w:val="4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（6）预测结果</w:t>
      </w:r>
    </w:p>
    <w:p w14:paraId="5C868F7D">
      <w:pPr>
        <w:pStyle w:val="4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根据上述场景设置及计算方法， 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d、100d、1000d预测时段的非正常状况预测结果见表4.5-2。</w:t>
      </w:r>
    </w:p>
    <w:p w14:paraId="36A00C05">
      <w:pPr>
        <w:pStyle w:val="7"/>
        <w:rPr>
          <w:color w:val="000000" w:themeColor="text1"/>
          <w:sz w:val="24"/>
          <w:szCs w:val="24"/>
          <w:u w:val="single"/>
          <w14:textFill>
            <w14:solidFill>
              <w14:schemeClr w14:val="tx1"/>
            </w14:solidFill>
          </w14:textFill>
        </w:rPr>
      </w:pPr>
      <w:r>
        <w:rPr>
          <w:color w:val="000000" w:themeColor="text1"/>
          <w:sz w:val="24"/>
          <w:szCs w:val="24"/>
          <w:u w:val="single"/>
          <w14:textFill>
            <w14:solidFill>
              <w14:schemeClr w14:val="tx1"/>
            </w14:solidFill>
          </w14:textFill>
        </w:rPr>
        <w:t xml:space="preserve">表 </w:t>
      </w:r>
      <w:r>
        <w:rPr>
          <w:rFonts w:hint="eastAsia"/>
          <w:color w:val="000000" w:themeColor="text1"/>
          <w:sz w:val="24"/>
          <w:szCs w:val="24"/>
          <w:u w:val="single"/>
          <w14:textFill>
            <w14:solidFill>
              <w14:schemeClr w14:val="tx1"/>
            </w14:solidFill>
          </w14:textFill>
        </w:rPr>
        <w:t xml:space="preserve">4.5-2 </w:t>
      </w:r>
      <w:r>
        <w:rPr>
          <w:rFonts w:hint="eastAsia"/>
          <w:bCs/>
          <w:color w:val="000000" w:themeColor="text1"/>
          <w:sz w:val="24"/>
          <w:szCs w:val="24"/>
          <w:u w:val="single"/>
          <w14:textFill>
            <w14:solidFill>
              <w14:schemeClr w14:val="tx1"/>
            </w14:solidFill>
          </w14:textFill>
        </w:rPr>
        <w:t>泄漏后不同距离硫酸盐浓度情况</w:t>
      </w:r>
    </w:p>
    <w:tbl>
      <w:tblPr>
        <w:tblStyle w:val="24"/>
        <w:tblW w:w="5010" w:type="pct"/>
        <w:jc w:val="center"/>
        <w:tblLayout w:type="autofit"/>
        <w:tblCellMar>
          <w:top w:w="0" w:type="dxa"/>
          <w:left w:w="0" w:type="dxa"/>
          <w:bottom w:w="0" w:type="dxa"/>
          <w:right w:w="0" w:type="dxa"/>
        </w:tblCellMar>
      </w:tblPr>
      <w:tblGrid>
        <w:gridCol w:w="1670"/>
        <w:gridCol w:w="1575"/>
        <w:gridCol w:w="1992"/>
        <w:gridCol w:w="1760"/>
        <w:gridCol w:w="1760"/>
      </w:tblGrid>
      <w:tr w14:paraId="767E9F5A">
        <w:tblPrEx>
          <w:tblCellMar>
            <w:top w:w="0" w:type="dxa"/>
            <w:left w:w="0" w:type="dxa"/>
            <w:bottom w:w="0" w:type="dxa"/>
            <w:right w:w="0" w:type="dxa"/>
          </w:tblCellMar>
        </w:tblPrEx>
        <w:trPr>
          <w:trHeight w:val="397" w:hRule="atLeast"/>
          <w:jc w:val="center"/>
        </w:trPr>
        <w:tc>
          <w:tcPr>
            <w:tcW w:w="953" w:type="pct"/>
            <w:tcBorders>
              <w:top w:val="single" w:color="auto" w:sz="4" w:space="0"/>
              <w:left w:val="single" w:color="auto" w:sz="4" w:space="0"/>
              <w:bottom w:val="single" w:color="auto" w:sz="4" w:space="0"/>
              <w:right w:val="single" w:color="auto" w:sz="4" w:space="0"/>
            </w:tcBorders>
            <w:vAlign w:val="center"/>
          </w:tcPr>
          <w:p w14:paraId="34F9F548">
            <w:pPr>
              <w:widowControl/>
              <w:jc w:val="center"/>
              <w:textAlignment w:val="center"/>
              <w:rPr>
                <w:color w:val="000000" w:themeColor="text1"/>
                <w:szCs w:val="21"/>
                <w:u w:val="single"/>
                <w14:textFill>
                  <w14:solidFill>
                    <w14:schemeClr w14:val="tx1"/>
                  </w14:solidFill>
                </w14:textFill>
              </w:rPr>
            </w:pPr>
            <w:r>
              <w:rPr>
                <w:rFonts w:hint="eastAsia" w:hAnsi="宋体"/>
                <w:color w:val="000000" w:themeColor="text1"/>
                <w:szCs w:val="21"/>
                <w:u w:val="single"/>
                <w14:textFill>
                  <w14:solidFill>
                    <w14:schemeClr w14:val="tx1"/>
                  </w14:solidFill>
                </w14:textFill>
              </w:rPr>
              <w:t>与泄漏点的距离（</w:t>
            </w:r>
            <w:r>
              <w:rPr>
                <w:rFonts w:hint="eastAsia"/>
                <w:color w:val="000000" w:themeColor="text1"/>
                <w:szCs w:val="21"/>
                <w:u w:val="single"/>
                <w14:textFill>
                  <w14:solidFill>
                    <w14:schemeClr w14:val="tx1"/>
                  </w14:solidFill>
                </w14:textFill>
              </w:rPr>
              <w:t>m</w:t>
            </w:r>
            <w:r>
              <w:rPr>
                <w:rFonts w:hint="eastAsia" w:hAnsi="宋体"/>
                <w:color w:val="000000" w:themeColor="text1"/>
                <w:szCs w:val="21"/>
                <w:u w:val="single"/>
                <w14:textFill>
                  <w14:solidFill>
                    <w14:schemeClr w14:val="tx1"/>
                  </w14:solidFill>
                </w14:textFill>
              </w:rPr>
              <w:t>）</w:t>
            </w:r>
          </w:p>
        </w:tc>
        <w:tc>
          <w:tcPr>
            <w:tcW w:w="899" w:type="pct"/>
            <w:tcBorders>
              <w:top w:val="single" w:color="auto" w:sz="4" w:space="0"/>
              <w:left w:val="nil"/>
              <w:bottom w:val="single" w:color="auto" w:sz="4" w:space="0"/>
              <w:right w:val="single" w:color="auto" w:sz="4" w:space="0"/>
            </w:tcBorders>
            <w:vAlign w:val="center"/>
          </w:tcPr>
          <w:p w14:paraId="7443A059">
            <w:pPr>
              <w:widowControl/>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10d</w:t>
            </w:r>
            <w:r>
              <w:rPr>
                <w:rFonts w:hint="eastAsia" w:hAnsi="宋体"/>
                <w:color w:val="000000" w:themeColor="text1"/>
                <w:szCs w:val="21"/>
                <w:u w:val="single"/>
                <w14:textFill>
                  <w14:solidFill>
                    <w14:schemeClr w14:val="tx1"/>
                  </w14:solidFill>
                </w14:textFill>
              </w:rPr>
              <w:t>浓度</w:t>
            </w:r>
          </w:p>
          <w:p w14:paraId="616B6453">
            <w:pPr>
              <w:widowControl/>
              <w:jc w:val="center"/>
              <w:rPr>
                <w:color w:val="000000" w:themeColor="text1"/>
                <w:szCs w:val="21"/>
                <w:u w:val="single"/>
                <w14:textFill>
                  <w14:solidFill>
                    <w14:schemeClr w14:val="tx1"/>
                  </w14:solidFill>
                </w14:textFill>
              </w:rPr>
            </w:pPr>
            <w:r>
              <w:rPr>
                <w:rFonts w:hint="eastAsia" w:hAnsi="宋体"/>
                <w:color w:val="000000" w:themeColor="text1"/>
                <w:szCs w:val="21"/>
                <w:u w:val="single"/>
                <w14:textFill>
                  <w14:solidFill>
                    <w14:schemeClr w14:val="tx1"/>
                  </w14:solidFill>
                </w14:textFill>
              </w:rPr>
              <w:t>（mg</w:t>
            </w:r>
            <w:r>
              <w:rPr>
                <w:rFonts w:hint="eastAsia"/>
                <w:color w:val="000000" w:themeColor="text1"/>
                <w:szCs w:val="21"/>
                <w:u w:val="single"/>
                <w14:textFill>
                  <w14:solidFill>
                    <w14:schemeClr w14:val="tx1"/>
                  </w14:solidFill>
                </w14:textFill>
              </w:rPr>
              <w:t>/L</w:t>
            </w:r>
            <w:r>
              <w:rPr>
                <w:rFonts w:hint="eastAsia" w:hAnsi="宋体"/>
                <w:color w:val="000000" w:themeColor="text1"/>
                <w:szCs w:val="21"/>
                <w:u w:val="single"/>
                <w14:textFill>
                  <w14:solidFill>
                    <w14:schemeClr w14:val="tx1"/>
                  </w14:solidFill>
                </w14:textFill>
              </w:rPr>
              <w:t>）</w:t>
            </w:r>
          </w:p>
        </w:tc>
        <w:tc>
          <w:tcPr>
            <w:tcW w:w="1137" w:type="pct"/>
            <w:tcBorders>
              <w:top w:val="single" w:color="auto" w:sz="4" w:space="0"/>
              <w:left w:val="nil"/>
              <w:bottom w:val="single" w:color="auto" w:sz="4" w:space="0"/>
              <w:right w:val="single" w:color="auto" w:sz="4" w:space="0"/>
            </w:tcBorders>
            <w:vAlign w:val="center"/>
          </w:tcPr>
          <w:p w14:paraId="6FF4B6DD">
            <w:pPr>
              <w:widowControl/>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100d</w:t>
            </w:r>
            <w:r>
              <w:rPr>
                <w:rFonts w:hint="eastAsia" w:hAnsi="宋体"/>
                <w:color w:val="000000" w:themeColor="text1"/>
                <w:szCs w:val="21"/>
                <w:u w:val="single"/>
                <w14:textFill>
                  <w14:solidFill>
                    <w14:schemeClr w14:val="tx1"/>
                  </w14:solidFill>
                </w14:textFill>
              </w:rPr>
              <w:t>浓度</w:t>
            </w:r>
          </w:p>
          <w:p w14:paraId="1A184003">
            <w:pPr>
              <w:widowControl/>
              <w:jc w:val="center"/>
              <w:rPr>
                <w:color w:val="000000" w:themeColor="text1"/>
                <w:szCs w:val="21"/>
                <w:u w:val="single"/>
                <w14:textFill>
                  <w14:solidFill>
                    <w14:schemeClr w14:val="tx1"/>
                  </w14:solidFill>
                </w14:textFill>
              </w:rPr>
            </w:pPr>
            <w:r>
              <w:rPr>
                <w:rFonts w:hint="eastAsia" w:hAnsi="宋体"/>
                <w:color w:val="000000" w:themeColor="text1"/>
                <w:szCs w:val="21"/>
                <w:u w:val="single"/>
                <w14:textFill>
                  <w14:solidFill>
                    <w14:schemeClr w14:val="tx1"/>
                  </w14:solidFill>
                </w14:textFill>
              </w:rPr>
              <w:t>（m</w:t>
            </w:r>
            <w:r>
              <w:rPr>
                <w:rFonts w:hint="eastAsia"/>
                <w:color w:val="000000" w:themeColor="text1"/>
                <w:szCs w:val="21"/>
                <w:u w:val="single"/>
                <w14:textFill>
                  <w14:solidFill>
                    <w14:schemeClr w14:val="tx1"/>
                  </w14:solidFill>
                </w14:textFill>
              </w:rPr>
              <w:t>g/L</w:t>
            </w:r>
            <w:r>
              <w:rPr>
                <w:rFonts w:hint="eastAsia" w:hAnsi="宋体"/>
                <w:color w:val="000000" w:themeColor="text1"/>
                <w:szCs w:val="21"/>
                <w:u w:val="single"/>
                <w14:textFill>
                  <w14:solidFill>
                    <w14:schemeClr w14:val="tx1"/>
                  </w14:solidFill>
                </w14:textFill>
              </w:rPr>
              <w:t>）</w:t>
            </w:r>
          </w:p>
        </w:tc>
        <w:tc>
          <w:tcPr>
            <w:tcW w:w="1004" w:type="pct"/>
            <w:tcBorders>
              <w:top w:val="single" w:color="auto" w:sz="4" w:space="0"/>
              <w:left w:val="nil"/>
              <w:bottom w:val="single" w:color="auto" w:sz="4" w:space="0"/>
              <w:right w:val="single" w:color="auto" w:sz="4" w:space="0"/>
            </w:tcBorders>
          </w:tcPr>
          <w:p w14:paraId="0561469B">
            <w:pPr>
              <w:widowControl/>
              <w:jc w:val="center"/>
              <w:rPr>
                <w:color w:val="000000" w:themeColor="text1"/>
                <w:szCs w:val="21"/>
                <w:u w:val="single"/>
                <w14:textFill>
                  <w14:solidFill>
                    <w14:schemeClr w14:val="tx1"/>
                  </w14:solidFill>
                </w14:textFill>
              </w:rPr>
            </w:pPr>
            <w:r>
              <w:rPr>
                <w:color w:val="000000" w:themeColor="text1"/>
                <w:szCs w:val="21"/>
                <w:u w:val="single"/>
                <w14:textFill>
                  <w14:solidFill>
                    <w14:schemeClr w14:val="tx1"/>
                  </w14:solidFill>
                </w14:textFill>
              </w:rPr>
              <w:t>365</w:t>
            </w:r>
            <w:r>
              <w:rPr>
                <w:rFonts w:hint="eastAsia"/>
                <w:color w:val="000000" w:themeColor="text1"/>
                <w:szCs w:val="21"/>
                <w:u w:val="single"/>
                <w14:textFill>
                  <w14:solidFill>
                    <w14:schemeClr w14:val="tx1"/>
                  </w14:solidFill>
                </w14:textFill>
              </w:rPr>
              <w:t>d浓度</w:t>
            </w:r>
          </w:p>
          <w:p w14:paraId="67B0030A">
            <w:pPr>
              <w:widowControl/>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（mg/L）</w:t>
            </w:r>
          </w:p>
        </w:tc>
        <w:tc>
          <w:tcPr>
            <w:tcW w:w="1004" w:type="pct"/>
            <w:tcBorders>
              <w:top w:val="single" w:color="auto" w:sz="4" w:space="0"/>
              <w:left w:val="single" w:color="auto" w:sz="4" w:space="0"/>
              <w:bottom w:val="single" w:color="auto" w:sz="4" w:space="0"/>
              <w:right w:val="single" w:color="auto" w:sz="4" w:space="0"/>
            </w:tcBorders>
            <w:vAlign w:val="center"/>
          </w:tcPr>
          <w:p w14:paraId="2F5C7328">
            <w:pPr>
              <w:widowControl/>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1000d</w:t>
            </w:r>
            <w:r>
              <w:rPr>
                <w:rFonts w:hint="eastAsia" w:hAnsi="宋体"/>
                <w:color w:val="000000" w:themeColor="text1"/>
                <w:szCs w:val="21"/>
                <w:u w:val="single"/>
                <w14:textFill>
                  <w14:solidFill>
                    <w14:schemeClr w14:val="tx1"/>
                  </w14:solidFill>
                </w14:textFill>
              </w:rPr>
              <w:t>浓度</w:t>
            </w:r>
          </w:p>
          <w:p w14:paraId="08BA84A0">
            <w:pPr>
              <w:widowControl/>
              <w:jc w:val="center"/>
              <w:rPr>
                <w:color w:val="000000" w:themeColor="text1"/>
                <w:szCs w:val="21"/>
                <w:u w:val="single"/>
                <w14:textFill>
                  <w14:solidFill>
                    <w14:schemeClr w14:val="tx1"/>
                  </w14:solidFill>
                </w14:textFill>
              </w:rPr>
            </w:pPr>
            <w:r>
              <w:rPr>
                <w:rFonts w:hint="eastAsia" w:hAnsi="宋体"/>
                <w:color w:val="000000" w:themeColor="text1"/>
                <w:szCs w:val="21"/>
                <w:u w:val="single"/>
                <w14:textFill>
                  <w14:solidFill>
                    <w14:schemeClr w14:val="tx1"/>
                  </w14:solidFill>
                </w14:textFill>
              </w:rPr>
              <w:t>（m</w:t>
            </w:r>
            <w:r>
              <w:rPr>
                <w:rFonts w:hint="eastAsia"/>
                <w:color w:val="000000" w:themeColor="text1"/>
                <w:szCs w:val="21"/>
                <w:u w:val="single"/>
                <w14:textFill>
                  <w14:solidFill>
                    <w14:schemeClr w14:val="tx1"/>
                  </w14:solidFill>
                </w14:textFill>
              </w:rPr>
              <w:t>g/L</w:t>
            </w:r>
            <w:r>
              <w:rPr>
                <w:rFonts w:hint="eastAsia" w:hAnsi="宋体"/>
                <w:color w:val="000000" w:themeColor="text1"/>
                <w:szCs w:val="21"/>
                <w:u w:val="single"/>
                <w14:textFill>
                  <w14:solidFill>
                    <w14:schemeClr w14:val="tx1"/>
                  </w14:solidFill>
                </w14:textFill>
              </w:rPr>
              <w:t>）</w:t>
            </w:r>
          </w:p>
        </w:tc>
      </w:tr>
      <w:tr w14:paraId="723B3B45">
        <w:tblPrEx>
          <w:tblCellMar>
            <w:top w:w="0" w:type="dxa"/>
            <w:left w:w="0" w:type="dxa"/>
            <w:bottom w:w="0" w:type="dxa"/>
            <w:right w:w="0" w:type="dxa"/>
          </w:tblCellMar>
        </w:tblPrEx>
        <w:trPr>
          <w:trHeight w:val="397" w:hRule="atLeast"/>
          <w:jc w:val="center"/>
        </w:trPr>
        <w:tc>
          <w:tcPr>
            <w:tcW w:w="953" w:type="pct"/>
            <w:tcBorders>
              <w:top w:val="single" w:color="auto" w:sz="4" w:space="0"/>
              <w:left w:val="single" w:color="auto" w:sz="4" w:space="0"/>
              <w:bottom w:val="single" w:color="auto" w:sz="4" w:space="0"/>
              <w:right w:val="single" w:color="auto" w:sz="4" w:space="0"/>
            </w:tcBorders>
            <w:vAlign w:val="center"/>
          </w:tcPr>
          <w:p w14:paraId="72B4267F">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899" w:type="pct"/>
            <w:tcBorders>
              <w:top w:val="single" w:color="auto" w:sz="4" w:space="0"/>
              <w:left w:val="nil"/>
              <w:bottom w:val="single" w:color="auto" w:sz="4" w:space="0"/>
              <w:right w:val="single" w:color="auto" w:sz="4" w:space="0"/>
            </w:tcBorders>
            <w:vAlign w:val="center"/>
          </w:tcPr>
          <w:p w14:paraId="0435B812">
            <w:pPr>
              <w:jc w:val="center"/>
              <w:rPr>
                <w:rFonts w:hint="default"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217071.8</w:t>
            </w:r>
          </w:p>
        </w:tc>
        <w:tc>
          <w:tcPr>
            <w:tcW w:w="1137" w:type="pct"/>
            <w:tcBorders>
              <w:top w:val="single" w:color="auto" w:sz="4" w:space="0"/>
              <w:left w:val="nil"/>
              <w:bottom w:val="single" w:color="auto" w:sz="4" w:space="0"/>
              <w:right w:val="single" w:color="auto" w:sz="4" w:space="0"/>
            </w:tcBorders>
            <w:vAlign w:val="center"/>
          </w:tcPr>
          <w:p w14:paraId="1BE34D9A">
            <w:pPr>
              <w:jc w:val="center"/>
              <w:rPr>
                <w:rFonts w:hint="default"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68613.25</w:t>
            </w:r>
          </w:p>
        </w:tc>
        <w:tc>
          <w:tcPr>
            <w:tcW w:w="1004" w:type="pct"/>
            <w:tcBorders>
              <w:top w:val="single" w:color="auto" w:sz="4" w:space="0"/>
              <w:left w:val="nil"/>
              <w:bottom w:val="single" w:color="auto" w:sz="4" w:space="0"/>
              <w:right w:val="single" w:color="auto" w:sz="4" w:space="0"/>
            </w:tcBorders>
          </w:tcPr>
          <w:p w14:paraId="2BA0C4DA">
            <w:pPr>
              <w:jc w:val="center"/>
              <w:rPr>
                <w:rFonts w:hint="default"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35866.26</w:t>
            </w:r>
          </w:p>
        </w:tc>
        <w:tc>
          <w:tcPr>
            <w:tcW w:w="1004" w:type="pct"/>
            <w:tcBorders>
              <w:top w:val="single" w:color="auto" w:sz="4" w:space="0"/>
              <w:left w:val="single" w:color="auto" w:sz="4" w:space="0"/>
              <w:bottom w:val="single" w:color="auto" w:sz="4" w:space="0"/>
              <w:right w:val="single" w:color="auto" w:sz="4" w:space="0"/>
            </w:tcBorders>
            <w:vAlign w:val="center"/>
          </w:tcPr>
          <w:p w14:paraId="7A24D639">
            <w:pPr>
              <w:jc w:val="center"/>
              <w:rPr>
                <w:rFonts w:hint="default"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21600</w:t>
            </w:r>
          </w:p>
        </w:tc>
      </w:tr>
      <w:tr w14:paraId="0EE2DEF1">
        <w:tblPrEx>
          <w:tblCellMar>
            <w:top w:w="0" w:type="dxa"/>
            <w:left w:w="0" w:type="dxa"/>
            <w:bottom w:w="0" w:type="dxa"/>
            <w:right w:w="0" w:type="dxa"/>
          </w:tblCellMar>
        </w:tblPrEx>
        <w:trPr>
          <w:trHeight w:val="397" w:hRule="atLeast"/>
          <w:jc w:val="center"/>
        </w:trPr>
        <w:tc>
          <w:tcPr>
            <w:tcW w:w="953" w:type="pct"/>
            <w:tcBorders>
              <w:top w:val="single" w:color="auto" w:sz="4" w:space="0"/>
              <w:left w:val="single" w:color="auto" w:sz="4" w:space="0"/>
              <w:bottom w:val="single" w:color="auto" w:sz="4" w:space="0"/>
              <w:right w:val="single" w:color="auto" w:sz="4" w:space="0"/>
            </w:tcBorders>
            <w:vAlign w:val="center"/>
          </w:tcPr>
          <w:p w14:paraId="5167ED4B">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5</w:t>
            </w:r>
          </w:p>
        </w:tc>
        <w:tc>
          <w:tcPr>
            <w:tcW w:w="899" w:type="pct"/>
            <w:tcBorders>
              <w:top w:val="single" w:color="auto" w:sz="4" w:space="0"/>
              <w:left w:val="nil"/>
              <w:bottom w:val="single" w:color="auto" w:sz="4" w:space="0"/>
              <w:right w:val="single" w:color="auto" w:sz="4" w:space="0"/>
            </w:tcBorders>
            <w:vAlign w:val="center"/>
          </w:tcPr>
          <w:p w14:paraId="1B14DF32">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137" w:type="pct"/>
            <w:tcBorders>
              <w:top w:val="single" w:color="auto" w:sz="4" w:space="0"/>
              <w:left w:val="nil"/>
              <w:bottom w:val="single" w:color="auto" w:sz="4" w:space="0"/>
              <w:right w:val="single" w:color="auto" w:sz="4" w:space="0"/>
            </w:tcBorders>
            <w:vAlign w:val="center"/>
          </w:tcPr>
          <w:p w14:paraId="56353AA8">
            <w:pPr>
              <w:jc w:val="center"/>
              <w:rPr>
                <w:rFonts w:hint="default"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31.46</w:t>
            </w:r>
          </w:p>
        </w:tc>
        <w:tc>
          <w:tcPr>
            <w:tcW w:w="1004" w:type="pct"/>
            <w:tcBorders>
              <w:top w:val="single" w:color="auto" w:sz="4" w:space="0"/>
              <w:left w:val="nil"/>
              <w:bottom w:val="single" w:color="auto" w:sz="4" w:space="0"/>
              <w:right w:val="single" w:color="auto" w:sz="4" w:space="0"/>
            </w:tcBorders>
          </w:tcPr>
          <w:p w14:paraId="7EB604F2">
            <w:pPr>
              <w:jc w:val="center"/>
              <w:rPr>
                <w:rFonts w:hint="default"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4779.74</w:t>
            </w:r>
          </w:p>
        </w:tc>
        <w:tc>
          <w:tcPr>
            <w:tcW w:w="1004" w:type="pct"/>
            <w:tcBorders>
              <w:top w:val="single" w:color="auto" w:sz="4" w:space="0"/>
              <w:left w:val="single" w:color="auto" w:sz="4" w:space="0"/>
              <w:bottom w:val="single" w:color="auto" w:sz="4" w:space="0"/>
              <w:right w:val="single" w:color="auto" w:sz="4" w:space="0"/>
            </w:tcBorders>
            <w:vAlign w:val="center"/>
          </w:tcPr>
          <w:p w14:paraId="44756095">
            <w:pPr>
              <w:jc w:val="center"/>
              <w:rPr>
                <w:rFonts w:hint="default"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11205.93</w:t>
            </w:r>
          </w:p>
        </w:tc>
      </w:tr>
      <w:tr w14:paraId="0337ABE0">
        <w:tblPrEx>
          <w:tblCellMar>
            <w:top w:w="0" w:type="dxa"/>
            <w:left w:w="0" w:type="dxa"/>
            <w:bottom w:w="0" w:type="dxa"/>
            <w:right w:w="0" w:type="dxa"/>
          </w:tblCellMar>
        </w:tblPrEx>
        <w:trPr>
          <w:trHeight w:val="397" w:hRule="atLeast"/>
          <w:jc w:val="center"/>
        </w:trPr>
        <w:tc>
          <w:tcPr>
            <w:tcW w:w="953" w:type="pct"/>
            <w:tcBorders>
              <w:top w:val="single" w:color="auto" w:sz="4" w:space="0"/>
              <w:left w:val="single" w:color="auto" w:sz="4" w:space="0"/>
              <w:bottom w:val="single" w:color="auto" w:sz="4" w:space="0"/>
              <w:right w:val="single" w:color="auto" w:sz="4" w:space="0"/>
            </w:tcBorders>
            <w:vAlign w:val="center"/>
          </w:tcPr>
          <w:p w14:paraId="5A30D508">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10</w:t>
            </w:r>
          </w:p>
        </w:tc>
        <w:tc>
          <w:tcPr>
            <w:tcW w:w="899" w:type="pct"/>
            <w:tcBorders>
              <w:top w:val="single" w:color="auto" w:sz="4" w:space="0"/>
              <w:left w:val="nil"/>
              <w:bottom w:val="single" w:color="auto" w:sz="4" w:space="0"/>
              <w:right w:val="single" w:color="auto" w:sz="4" w:space="0"/>
            </w:tcBorders>
            <w:vAlign w:val="center"/>
          </w:tcPr>
          <w:p w14:paraId="1E698C9E">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137" w:type="pct"/>
            <w:tcBorders>
              <w:top w:val="single" w:color="auto" w:sz="4" w:space="0"/>
              <w:left w:val="nil"/>
              <w:bottom w:val="single" w:color="auto" w:sz="4" w:space="0"/>
              <w:right w:val="single" w:color="auto" w:sz="4" w:space="0"/>
            </w:tcBorders>
            <w:vAlign w:val="center"/>
          </w:tcPr>
          <w:p w14:paraId="524454C7">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004" w:type="pct"/>
            <w:tcBorders>
              <w:top w:val="single" w:color="auto" w:sz="4" w:space="0"/>
              <w:left w:val="nil"/>
              <w:bottom w:val="single" w:color="auto" w:sz="4" w:space="0"/>
              <w:right w:val="single" w:color="auto" w:sz="4" w:space="0"/>
            </w:tcBorders>
          </w:tcPr>
          <w:p w14:paraId="7D4A24C1">
            <w:pPr>
              <w:jc w:val="center"/>
              <w:rPr>
                <w:rFonts w:hint="default"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8.81</w:t>
            </w:r>
          </w:p>
        </w:tc>
        <w:tc>
          <w:tcPr>
            <w:tcW w:w="1004" w:type="pct"/>
            <w:tcBorders>
              <w:top w:val="single" w:color="auto" w:sz="4" w:space="0"/>
              <w:left w:val="single" w:color="auto" w:sz="4" w:space="0"/>
              <w:bottom w:val="single" w:color="auto" w:sz="4" w:space="0"/>
              <w:right w:val="single" w:color="auto" w:sz="4" w:space="0"/>
            </w:tcBorders>
            <w:vAlign w:val="center"/>
          </w:tcPr>
          <w:p w14:paraId="227525CB">
            <w:pPr>
              <w:jc w:val="center"/>
              <w:rPr>
                <w:rFonts w:hint="default"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1218.59</w:t>
            </w:r>
          </w:p>
        </w:tc>
      </w:tr>
      <w:tr w14:paraId="5BBB9DD2">
        <w:tblPrEx>
          <w:tblCellMar>
            <w:top w:w="0" w:type="dxa"/>
            <w:left w:w="0" w:type="dxa"/>
            <w:bottom w:w="0" w:type="dxa"/>
            <w:right w:w="0" w:type="dxa"/>
          </w:tblCellMar>
        </w:tblPrEx>
        <w:trPr>
          <w:trHeight w:val="397" w:hRule="atLeast"/>
          <w:jc w:val="center"/>
        </w:trPr>
        <w:tc>
          <w:tcPr>
            <w:tcW w:w="953" w:type="pct"/>
            <w:tcBorders>
              <w:top w:val="single" w:color="auto" w:sz="4" w:space="0"/>
              <w:left w:val="single" w:color="auto" w:sz="4" w:space="0"/>
              <w:bottom w:val="single" w:color="auto" w:sz="4" w:space="0"/>
              <w:right w:val="single" w:color="auto" w:sz="4" w:space="0"/>
            </w:tcBorders>
            <w:vAlign w:val="center"/>
          </w:tcPr>
          <w:p w14:paraId="5E547304">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15</w:t>
            </w:r>
          </w:p>
        </w:tc>
        <w:tc>
          <w:tcPr>
            <w:tcW w:w="899" w:type="pct"/>
            <w:tcBorders>
              <w:top w:val="single" w:color="auto" w:sz="4" w:space="0"/>
              <w:left w:val="nil"/>
              <w:bottom w:val="single" w:color="auto" w:sz="4" w:space="0"/>
              <w:right w:val="single" w:color="auto" w:sz="4" w:space="0"/>
            </w:tcBorders>
            <w:vAlign w:val="center"/>
          </w:tcPr>
          <w:p w14:paraId="43D6D296">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137" w:type="pct"/>
            <w:tcBorders>
              <w:top w:val="single" w:color="auto" w:sz="4" w:space="0"/>
              <w:left w:val="nil"/>
              <w:bottom w:val="single" w:color="auto" w:sz="4" w:space="0"/>
              <w:right w:val="single" w:color="auto" w:sz="4" w:space="0"/>
            </w:tcBorders>
            <w:vAlign w:val="center"/>
          </w:tcPr>
          <w:p w14:paraId="6179A59D">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004" w:type="pct"/>
            <w:tcBorders>
              <w:top w:val="single" w:color="auto" w:sz="4" w:space="0"/>
              <w:left w:val="nil"/>
              <w:bottom w:val="single" w:color="auto" w:sz="4" w:space="0"/>
              <w:right w:val="single" w:color="auto" w:sz="4" w:space="0"/>
            </w:tcBorders>
          </w:tcPr>
          <w:p w14:paraId="733CEA6D">
            <w:pPr>
              <w:jc w:val="center"/>
              <w:rPr>
                <w:rFonts w:hint="default"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14:textFill>
                  <w14:solidFill>
                    <w14:schemeClr w14:val="tx1"/>
                  </w14:solidFill>
                </w14:textFill>
              </w:rPr>
              <w:t>0.000</w:t>
            </w:r>
            <w:r>
              <w:rPr>
                <w:rFonts w:hint="eastAsia"/>
                <w:color w:val="000000" w:themeColor="text1"/>
                <w:szCs w:val="21"/>
                <w:u w:val="single"/>
                <w:lang w:val="en-US" w:eastAsia="zh-CN"/>
                <w14:textFill>
                  <w14:solidFill>
                    <w14:schemeClr w14:val="tx1"/>
                  </w14:solidFill>
                </w14:textFill>
              </w:rPr>
              <w:t>23</w:t>
            </w:r>
          </w:p>
        </w:tc>
        <w:tc>
          <w:tcPr>
            <w:tcW w:w="1004" w:type="pct"/>
            <w:tcBorders>
              <w:top w:val="single" w:color="auto" w:sz="4" w:space="0"/>
              <w:left w:val="single" w:color="auto" w:sz="4" w:space="0"/>
              <w:bottom w:val="single" w:color="auto" w:sz="4" w:space="0"/>
              <w:right w:val="single" w:color="auto" w:sz="4" w:space="0"/>
            </w:tcBorders>
            <w:vAlign w:val="center"/>
          </w:tcPr>
          <w:p w14:paraId="54E711BE">
            <w:pPr>
              <w:jc w:val="center"/>
              <w:rPr>
                <w:rFonts w:hint="default"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27.78</w:t>
            </w:r>
          </w:p>
        </w:tc>
      </w:tr>
      <w:tr w14:paraId="3182F575">
        <w:tblPrEx>
          <w:tblCellMar>
            <w:top w:w="0" w:type="dxa"/>
            <w:left w:w="0" w:type="dxa"/>
            <w:bottom w:w="0" w:type="dxa"/>
            <w:right w:w="0" w:type="dxa"/>
          </w:tblCellMar>
        </w:tblPrEx>
        <w:trPr>
          <w:trHeight w:val="397" w:hRule="atLeast"/>
          <w:jc w:val="center"/>
        </w:trPr>
        <w:tc>
          <w:tcPr>
            <w:tcW w:w="953" w:type="pct"/>
            <w:tcBorders>
              <w:top w:val="single" w:color="auto" w:sz="4" w:space="0"/>
              <w:left w:val="single" w:color="auto" w:sz="4" w:space="0"/>
              <w:bottom w:val="single" w:color="auto" w:sz="4" w:space="0"/>
              <w:right w:val="single" w:color="auto" w:sz="4" w:space="0"/>
            </w:tcBorders>
            <w:vAlign w:val="center"/>
          </w:tcPr>
          <w:p w14:paraId="09C95CA9">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20</w:t>
            </w:r>
          </w:p>
        </w:tc>
        <w:tc>
          <w:tcPr>
            <w:tcW w:w="899" w:type="pct"/>
            <w:tcBorders>
              <w:top w:val="single" w:color="auto" w:sz="4" w:space="0"/>
              <w:left w:val="nil"/>
              <w:bottom w:val="single" w:color="auto" w:sz="4" w:space="0"/>
              <w:right w:val="single" w:color="auto" w:sz="4" w:space="0"/>
            </w:tcBorders>
            <w:vAlign w:val="center"/>
          </w:tcPr>
          <w:p w14:paraId="0CF4804A">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137" w:type="pct"/>
            <w:tcBorders>
              <w:top w:val="single" w:color="auto" w:sz="4" w:space="0"/>
              <w:left w:val="nil"/>
              <w:bottom w:val="single" w:color="auto" w:sz="4" w:space="0"/>
              <w:right w:val="single" w:color="auto" w:sz="4" w:space="0"/>
            </w:tcBorders>
            <w:vAlign w:val="center"/>
          </w:tcPr>
          <w:p w14:paraId="1AEA4688">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004" w:type="pct"/>
            <w:tcBorders>
              <w:top w:val="single" w:color="auto" w:sz="4" w:space="0"/>
              <w:left w:val="nil"/>
              <w:bottom w:val="single" w:color="auto" w:sz="4" w:space="0"/>
              <w:right w:val="single" w:color="auto" w:sz="4" w:space="0"/>
            </w:tcBorders>
          </w:tcPr>
          <w:p w14:paraId="2906821B">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004" w:type="pct"/>
            <w:tcBorders>
              <w:top w:val="single" w:color="auto" w:sz="4" w:space="0"/>
              <w:left w:val="single" w:color="auto" w:sz="4" w:space="0"/>
              <w:bottom w:val="single" w:color="auto" w:sz="4" w:space="0"/>
              <w:right w:val="single" w:color="auto" w:sz="4" w:space="0"/>
            </w:tcBorders>
            <w:vAlign w:val="center"/>
          </w:tcPr>
          <w:p w14:paraId="28A087B5">
            <w:pPr>
              <w:jc w:val="center"/>
              <w:rPr>
                <w:rFonts w:hint="default"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14:textFill>
                  <w14:solidFill>
                    <w14:schemeClr w14:val="tx1"/>
                  </w14:solidFill>
                </w14:textFill>
              </w:rPr>
              <w:t>0.</w:t>
            </w:r>
            <w:r>
              <w:rPr>
                <w:rFonts w:hint="eastAsia"/>
                <w:color w:val="000000" w:themeColor="text1"/>
                <w:szCs w:val="21"/>
                <w:u w:val="single"/>
                <w:lang w:val="en-US" w:eastAsia="zh-CN"/>
                <w14:textFill>
                  <w14:solidFill>
                    <w14:schemeClr w14:val="tx1"/>
                  </w14:solidFill>
                </w14:textFill>
              </w:rPr>
              <w:t>13</w:t>
            </w:r>
          </w:p>
        </w:tc>
      </w:tr>
      <w:tr w14:paraId="48B87547">
        <w:tblPrEx>
          <w:tblCellMar>
            <w:top w:w="0" w:type="dxa"/>
            <w:left w:w="0" w:type="dxa"/>
            <w:bottom w:w="0" w:type="dxa"/>
            <w:right w:w="0" w:type="dxa"/>
          </w:tblCellMar>
        </w:tblPrEx>
        <w:trPr>
          <w:trHeight w:val="397" w:hRule="atLeast"/>
          <w:jc w:val="center"/>
        </w:trPr>
        <w:tc>
          <w:tcPr>
            <w:tcW w:w="953" w:type="pct"/>
            <w:tcBorders>
              <w:top w:val="single" w:color="auto" w:sz="4" w:space="0"/>
              <w:left w:val="single" w:color="auto" w:sz="4" w:space="0"/>
              <w:bottom w:val="single" w:color="auto" w:sz="4" w:space="0"/>
              <w:right w:val="single" w:color="auto" w:sz="4" w:space="0"/>
            </w:tcBorders>
            <w:vAlign w:val="center"/>
          </w:tcPr>
          <w:p w14:paraId="281E01E5">
            <w:pPr>
              <w:jc w:val="center"/>
              <w:rPr>
                <w:rFonts w:hint="default"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25</w:t>
            </w:r>
          </w:p>
        </w:tc>
        <w:tc>
          <w:tcPr>
            <w:tcW w:w="899" w:type="pct"/>
            <w:tcBorders>
              <w:top w:val="single" w:color="auto" w:sz="4" w:space="0"/>
              <w:left w:val="nil"/>
              <w:bottom w:val="single" w:color="auto" w:sz="4" w:space="0"/>
              <w:right w:val="single" w:color="auto" w:sz="4" w:space="0"/>
            </w:tcBorders>
            <w:vAlign w:val="center"/>
          </w:tcPr>
          <w:p w14:paraId="795305A5">
            <w:pPr>
              <w:jc w:val="center"/>
              <w:rPr>
                <w:rFonts w:hint="eastAsia"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0</w:t>
            </w:r>
          </w:p>
        </w:tc>
        <w:tc>
          <w:tcPr>
            <w:tcW w:w="1137" w:type="pct"/>
            <w:tcBorders>
              <w:top w:val="single" w:color="auto" w:sz="4" w:space="0"/>
              <w:left w:val="nil"/>
              <w:bottom w:val="single" w:color="auto" w:sz="4" w:space="0"/>
              <w:right w:val="single" w:color="auto" w:sz="4" w:space="0"/>
            </w:tcBorders>
            <w:vAlign w:val="center"/>
          </w:tcPr>
          <w:p w14:paraId="495F43B4">
            <w:pPr>
              <w:jc w:val="center"/>
              <w:rPr>
                <w:rFonts w:hint="eastAsia"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0</w:t>
            </w:r>
          </w:p>
        </w:tc>
        <w:tc>
          <w:tcPr>
            <w:tcW w:w="1004" w:type="pct"/>
            <w:tcBorders>
              <w:top w:val="single" w:color="auto" w:sz="4" w:space="0"/>
              <w:left w:val="nil"/>
              <w:bottom w:val="single" w:color="auto" w:sz="4" w:space="0"/>
              <w:right w:val="single" w:color="auto" w:sz="4" w:space="0"/>
            </w:tcBorders>
          </w:tcPr>
          <w:p w14:paraId="715B7E2C">
            <w:pPr>
              <w:jc w:val="center"/>
              <w:rPr>
                <w:rFonts w:hint="eastAsia"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0</w:t>
            </w:r>
          </w:p>
        </w:tc>
        <w:tc>
          <w:tcPr>
            <w:tcW w:w="1004" w:type="pct"/>
            <w:tcBorders>
              <w:top w:val="single" w:color="auto" w:sz="4" w:space="0"/>
              <w:left w:val="single" w:color="auto" w:sz="4" w:space="0"/>
              <w:bottom w:val="single" w:color="auto" w:sz="4" w:space="0"/>
              <w:right w:val="single" w:color="auto" w:sz="4" w:space="0"/>
            </w:tcBorders>
            <w:vAlign w:val="center"/>
          </w:tcPr>
          <w:p w14:paraId="3141DD1A">
            <w:pPr>
              <w:jc w:val="center"/>
              <w:rPr>
                <w:rFonts w:hint="default"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lang w:val="en-US" w:eastAsia="zh-CN"/>
                <w14:textFill>
                  <w14:solidFill>
                    <w14:schemeClr w14:val="tx1"/>
                  </w14:solidFill>
                </w14:textFill>
              </w:rPr>
              <w:t>0.00013</w:t>
            </w:r>
          </w:p>
        </w:tc>
      </w:tr>
      <w:tr w14:paraId="01A60AB4">
        <w:tblPrEx>
          <w:tblCellMar>
            <w:top w:w="0" w:type="dxa"/>
            <w:left w:w="0" w:type="dxa"/>
            <w:bottom w:w="0" w:type="dxa"/>
            <w:right w:w="0" w:type="dxa"/>
          </w:tblCellMar>
        </w:tblPrEx>
        <w:trPr>
          <w:trHeight w:val="397" w:hRule="atLeast"/>
          <w:jc w:val="center"/>
        </w:trPr>
        <w:tc>
          <w:tcPr>
            <w:tcW w:w="953" w:type="pct"/>
            <w:tcBorders>
              <w:top w:val="single" w:color="auto" w:sz="4" w:space="0"/>
              <w:left w:val="single" w:color="auto" w:sz="4" w:space="0"/>
              <w:bottom w:val="single" w:color="auto" w:sz="4" w:space="0"/>
              <w:right w:val="single" w:color="auto" w:sz="4" w:space="0"/>
            </w:tcBorders>
            <w:vAlign w:val="center"/>
          </w:tcPr>
          <w:p w14:paraId="080F6705">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30</w:t>
            </w:r>
          </w:p>
        </w:tc>
        <w:tc>
          <w:tcPr>
            <w:tcW w:w="899" w:type="pct"/>
            <w:tcBorders>
              <w:top w:val="single" w:color="auto" w:sz="4" w:space="0"/>
              <w:left w:val="nil"/>
              <w:bottom w:val="single" w:color="auto" w:sz="4" w:space="0"/>
              <w:right w:val="single" w:color="auto" w:sz="4" w:space="0"/>
            </w:tcBorders>
            <w:vAlign w:val="center"/>
          </w:tcPr>
          <w:p w14:paraId="51EFD24E">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137" w:type="pct"/>
            <w:tcBorders>
              <w:top w:val="single" w:color="auto" w:sz="4" w:space="0"/>
              <w:left w:val="nil"/>
              <w:bottom w:val="single" w:color="auto" w:sz="4" w:space="0"/>
              <w:right w:val="single" w:color="auto" w:sz="4" w:space="0"/>
            </w:tcBorders>
            <w:vAlign w:val="center"/>
          </w:tcPr>
          <w:p w14:paraId="7863C99B">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004" w:type="pct"/>
            <w:tcBorders>
              <w:top w:val="single" w:color="auto" w:sz="4" w:space="0"/>
              <w:left w:val="nil"/>
              <w:bottom w:val="single" w:color="auto" w:sz="4" w:space="0"/>
              <w:right w:val="single" w:color="auto" w:sz="4" w:space="0"/>
            </w:tcBorders>
          </w:tcPr>
          <w:p w14:paraId="73DB9ACB">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004" w:type="pct"/>
            <w:tcBorders>
              <w:top w:val="single" w:color="auto" w:sz="4" w:space="0"/>
              <w:left w:val="single" w:color="auto" w:sz="4" w:space="0"/>
              <w:bottom w:val="single" w:color="auto" w:sz="4" w:space="0"/>
              <w:right w:val="single" w:color="auto" w:sz="4" w:space="0"/>
            </w:tcBorders>
            <w:vAlign w:val="center"/>
          </w:tcPr>
          <w:p w14:paraId="273A4642">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r>
      <w:tr w14:paraId="2CF3C61E">
        <w:tblPrEx>
          <w:tblCellMar>
            <w:top w:w="0" w:type="dxa"/>
            <w:left w:w="0" w:type="dxa"/>
            <w:bottom w:w="0" w:type="dxa"/>
            <w:right w:w="0" w:type="dxa"/>
          </w:tblCellMar>
        </w:tblPrEx>
        <w:trPr>
          <w:trHeight w:val="397" w:hRule="atLeast"/>
          <w:jc w:val="center"/>
        </w:trPr>
        <w:tc>
          <w:tcPr>
            <w:tcW w:w="953" w:type="pct"/>
            <w:tcBorders>
              <w:top w:val="single" w:color="auto" w:sz="4" w:space="0"/>
              <w:left w:val="single" w:color="auto" w:sz="4" w:space="0"/>
              <w:bottom w:val="single" w:color="auto" w:sz="4" w:space="0"/>
              <w:right w:val="single" w:color="auto" w:sz="4" w:space="0"/>
            </w:tcBorders>
            <w:vAlign w:val="center"/>
          </w:tcPr>
          <w:p w14:paraId="59F53BC2">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40</w:t>
            </w:r>
          </w:p>
        </w:tc>
        <w:tc>
          <w:tcPr>
            <w:tcW w:w="899" w:type="pct"/>
            <w:tcBorders>
              <w:top w:val="single" w:color="auto" w:sz="4" w:space="0"/>
              <w:left w:val="nil"/>
              <w:bottom w:val="single" w:color="auto" w:sz="4" w:space="0"/>
              <w:right w:val="single" w:color="auto" w:sz="4" w:space="0"/>
            </w:tcBorders>
            <w:vAlign w:val="center"/>
          </w:tcPr>
          <w:p w14:paraId="30026D4D">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137" w:type="pct"/>
            <w:tcBorders>
              <w:top w:val="single" w:color="auto" w:sz="4" w:space="0"/>
              <w:left w:val="nil"/>
              <w:bottom w:val="single" w:color="auto" w:sz="4" w:space="0"/>
              <w:right w:val="single" w:color="auto" w:sz="4" w:space="0"/>
            </w:tcBorders>
            <w:vAlign w:val="center"/>
          </w:tcPr>
          <w:p w14:paraId="6827F085">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004" w:type="pct"/>
            <w:tcBorders>
              <w:top w:val="single" w:color="auto" w:sz="4" w:space="0"/>
              <w:left w:val="nil"/>
              <w:bottom w:val="single" w:color="auto" w:sz="4" w:space="0"/>
              <w:right w:val="single" w:color="auto" w:sz="4" w:space="0"/>
            </w:tcBorders>
          </w:tcPr>
          <w:p w14:paraId="68F450A9">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004" w:type="pct"/>
            <w:tcBorders>
              <w:top w:val="single" w:color="auto" w:sz="4" w:space="0"/>
              <w:left w:val="single" w:color="auto" w:sz="4" w:space="0"/>
              <w:bottom w:val="single" w:color="auto" w:sz="4" w:space="0"/>
              <w:right w:val="single" w:color="auto" w:sz="4" w:space="0"/>
            </w:tcBorders>
            <w:vAlign w:val="center"/>
          </w:tcPr>
          <w:p w14:paraId="5F431E71">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r>
      <w:tr w14:paraId="5E316A15">
        <w:tblPrEx>
          <w:tblCellMar>
            <w:top w:w="0" w:type="dxa"/>
            <w:left w:w="0" w:type="dxa"/>
            <w:bottom w:w="0" w:type="dxa"/>
            <w:right w:w="0" w:type="dxa"/>
          </w:tblCellMar>
        </w:tblPrEx>
        <w:trPr>
          <w:trHeight w:val="397" w:hRule="atLeast"/>
          <w:jc w:val="center"/>
        </w:trPr>
        <w:tc>
          <w:tcPr>
            <w:tcW w:w="953" w:type="pct"/>
            <w:tcBorders>
              <w:top w:val="single" w:color="auto" w:sz="4" w:space="0"/>
              <w:left w:val="single" w:color="auto" w:sz="4" w:space="0"/>
              <w:bottom w:val="single" w:color="auto" w:sz="4" w:space="0"/>
              <w:right w:val="single" w:color="auto" w:sz="4" w:space="0"/>
            </w:tcBorders>
            <w:vAlign w:val="center"/>
          </w:tcPr>
          <w:p w14:paraId="1F044A69">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60</w:t>
            </w:r>
          </w:p>
        </w:tc>
        <w:tc>
          <w:tcPr>
            <w:tcW w:w="899" w:type="pct"/>
            <w:tcBorders>
              <w:top w:val="single" w:color="auto" w:sz="4" w:space="0"/>
              <w:left w:val="nil"/>
              <w:bottom w:val="single" w:color="auto" w:sz="4" w:space="0"/>
              <w:right w:val="single" w:color="auto" w:sz="4" w:space="0"/>
            </w:tcBorders>
            <w:vAlign w:val="center"/>
          </w:tcPr>
          <w:p w14:paraId="02A76C00">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137" w:type="pct"/>
            <w:tcBorders>
              <w:top w:val="single" w:color="auto" w:sz="4" w:space="0"/>
              <w:left w:val="nil"/>
              <w:bottom w:val="single" w:color="auto" w:sz="4" w:space="0"/>
              <w:right w:val="single" w:color="auto" w:sz="4" w:space="0"/>
            </w:tcBorders>
            <w:vAlign w:val="center"/>
          </w:tcPr>
          <w:p w14:paraId="6BE6E4E9">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004" w:type="pct"/>
            <w:tcBorders>
              <w:top w:val="single" w:color="auto" w:sz="4" w:space="0"/>
              <w:left w:val="nil"/>
              <w:bottom w:val="single" w:color="auto" w:sz="4" w:space="0"/>
              <w:right w:val="single" w:color="auto" w:sz="4" w:space="0"/>
            </w:tcBorders>
          </w:tcPr>
          <w:p w14:paraId="1E5620FE">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004" w:type="pct"/>
            <w:tcBorders>
              <w:top w:val="single" w:color="auto" w:sz="4" w:space="0"/>
              <w:left w:val="single" w:color="auto" w:sz="4" w:space="0"/>
              <w:bottom w:val="single" w:color="auto" w:sz="4" w:space="0"/>
              <w:right w:val="single" w:color="auto" w:sz="4" w:space="0"/>
            </w:tcBorders>
            <w:vAlign w:val="center"/>
          </w:tcPr>
          <w:p w14:paraId="13E89F3C">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r>
      <w:tr w14:paraId="39C87689">
        <w:tblPrEx>
          <w:tblCellMar>
            <w:top w:w="0" w:type="dxa"/>
            <w:left w:w="0" w:type="dxa"/>
            <w:bottom w:w="0" w:type="dxa"/>
            <w:right w:w="0" w:type="dxa"/>
          </w:tblCellMar>
        </w:tblPrEx>
        <w:trPr>
          <w:trHeight w:val="397" w:hRule="atLeast"/>
          <w:jc w:val="center"/>
        </w:trPr>
        <w:tc>
          <w:tcPr>
            <w:tcW w:w="953" w:type="pct"/>
            <w:tcBorders>
              <w:top w:val="single" w:color="auto" w:sz="4" w:space="0"/>
              <w:left w:val="single" w:color="auto" w:sz="4" w:space="0"/>
              <w:bottom w:val="single" w:color="auto" w:sz="4" w:space="0"/>
              <w:right w:val="single" w:color="auto" w:sz="4" w:space="0"/>
            </w:tcBorders>
            <w:vAlign w:val="center"/>
          </w:tcPr>
          <w:p w14:paraId="28BF84B1">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80</w:t>
            </w:r>
          </w:p>
        </w:tc>
        <w:tc>
          <w:tcPr>
            <w:tcW w:w="899" w:type="pct"/>
            <w:tcBorders>
              <w:top w:val="single" w:color="auto" w:sz="4" w:space="0"/>
              <w:left w:val="nil"/>
              <w:bottom w:val="single" w:color="auto" w:sz="4" w:space="0"/>
              <w:right w:val="single" w:color="auto" w:sz="4" w:space="0"/>
            </w:tcBorders>
            <w:vAlign w:val="center"/>
          </w:tcPr>
          <w:p w14:paraId="565244B4">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137" w:type="pct"/>
            <w:tcBorders>
              <w:top w:val="single" w:color="auto" w:sz="4" w:space="0"/>
              <w:left w:val="nil"/>
              <w:bottom w:val="single" w:color="auto" w:sz="4" w:space="0"/>
              <w:right w:val="single" w:color="auto" w:sz="4" w:space="0"/>
            </w:tcBorders>
            <w:vAlign w:val="center"/>
          </w:tcPr>
          <w:p w14:paraId="2D229564">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004" w:type="pct"/>
            <w:tcBorders>
              <w:top w:val="single" w:color="auto" w:sz="4" w:space="0"/>
              <w:left w:val="nil"/>
              <w:bottom w:val="single" w:color="auto" w:sz="4" w:space="0"/>
              <w:right w:val="single" w:color="auto" w:sz="4" w:space="0"/>
            </w:tcBorders>
          </w:tcPr>
          <w:p w14:paraId="4C4194A1">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004" w:type="pct"/>
            <w:tcBorders>
              <w:top w:val="single" w:color="auto" w:sz="4" w:space="0"/>
              <w:left w:val="single" w:color="auto" w:sz="4" w:space="0"/>
              <w:bottom w:val="single" w:color="auto" w:sz="4" w:space="0"/>
              <w:right w:val="single" w:color="auto" w:sz="4" w:space="0"/>
            </w:tcBorders>
            <w:vAlign w:val="center"/>
          </w:tcPr>
          <w:p w14:paraId="22C9FBAA">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r>
      <w:tr w14:paraId="309324B7">
        <w:tblPrEx>
          <w:tblCellMar>
            <w:top w:w="0" w:type="dxa"/>
            <w:left w:w="0" w:type="dxa"/>
            <w:bottom w:w="0" w:type="dxa"/>
            <w:right w:w="0" w:type="dxa"/>
          </w:tblCellMar>
        </w:tblPrEx>
        <w:trPr>
          <w:trHeight w:val="397" w:hRule="atLeast"/>
          <w:jc w:val="center"/>
        </w:trPr>
        <w:tc>
          <w:tcPr>
            <w:tcW w:w="953" w:type="pct"/>
            <w:tcBorders>
              <w:top w:val="single" w:color="auto" w:sz="4" w:space="0"/>
              <w:left w:val="single" w:color="auto" w:sz="4" w:space="0"/>
              <w:bottom w:val="single" w:color="auto" w:sz="4" w:space="0"/>
              <w:right w:val="single" w:color="auto" w:sz="4" w:space="0"/>
            </w:tcBorders>
            <w:vAlign w:val="center"/>
          </w:tcPr>
          <w:p w14:paraId="5A782E13">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100</w:t>
            </w:r>
          </w:p>
        </w:tc>
        <w:tc>
          <w:tcPr>
            <w:tcW w:w="899" w:type="pct"/>
            <w:tcBorders>
              <w:top w:val="single" w:color="auto" w:sz="4" w:space="0"/>
              <w:left w:val="nil"/>
              <w:bottom w:val="single" w:color="auto" w:sz="4" w:space="0"/>
              <w:right w:val="single" w:color="auto" w:sz="4" w:space="0"/>
            </w:tcBorders>
            <w:vAlign w:val="center"/>
          </w:tcPr>
          <w:p w14:paraId="4F8C739B">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137" w:type="pct"/>
            <w:tcBorders>
              <w:top w:val="single" w:color="auto" w:sz="4" w:space="0"/>
              <w:left w:val="nil"/>
              <w:bottom w:val="single" w:color="auto" w:sz="4" w:space="0"/>
              <w:right w:val="single" w:color="auto" w:sz="4" w:space="0"/>
            </w:tcBorders>
            <w:vAlign w:val="center"/>
          </w:tcPr>
          <w:p w14:paraId="5A3BDFF1">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004" w:type="pct"/>
            <w:tcBorders>
              <w:top w:val="single" w:color="auto" w:sz="4" w:space="0"/>
              <w:left w:val="nil"/>
              <w:bottom w:val="single" w:color="auto" w:sz="4" w:space="0"/>
              <w:right w:val="single" w:color="auto" w:sz="4" w:space="0"/>
            </w:tcBorders>
          </w:tcPr>
          <w:p w14:paraId="2B3A249E">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c>
          <w:tcPr>
            <w:tcW w:w="1004" w:type="pct"/>
            <w:tcBorders>
              <w:top w:val="single" w:color="auto" w:sz="4" w:space="0"/>
              <w:left w:val="single" w:color="auto" w:sz="4" w:space="0"/>
              <w:bottom w:val="single" w:color="auto" w:sz="4" w:space="0"/>
              <w:right w:val="single" w:color="auto" w:sz="4" w:space="0"/>
            </w:tcBorders>
            <w:vAlign w:val="center"/>
          </w:tcPr>
          <w:p w14:paraId="460B0A33">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0</w:t>
            </w:r>
          </w:p>
        </w:tc>
      </w:tr>
    </w:tbl>
    <w:p w14:paraId="4C676E58">
      <w:pPr>
        <w:pStyle w:val="45"/>
        <w:spacing w:line="240" w:lineRule="auto"/>
        <w:ind w:firstLine="480"/>
        <w:rPr>
          <w:color w:val="000000" w:themeColor="text1"/>
          <w:u w:val="single"/>
          <w14:textFill>
            <w14:solidFill>
              <w14:schemeClr w14:val="tx1"/>
            </w14:solidFill>
          </w14:textFill>
        </w:rPr>
      </w:pPr>
    </w:p>
    <w:p w14:paraId="5C604850">
      <w:pPr>
        <w:pStyle w:val="45"/>
        <w:ind w:firstLine="480"/>
        <w:rPr>
          <w:bCs/>
          <w:color w:val="000000" w:themeColor="text1"/>
          <w14:textFill>
            <w14:solidFill>
              <w14:schemeClr w14:val="tx1"/>
            </w14:solidFill>
          </w14:textFill>
        </w:rPr>
      </w:pPr>
      <w:r>
        <w:rPr>
          <w:rFonts w:hint="eastAsia"/>
          <w:color w:val="000000" w:themeColor="text1"/>
          <w14:textFill>
            <w14:solidFill>
              <w14:schemeClr w14:val="tx1"/>
            </w14:solidFill>
          </w14:textFill>
        </w:rPr>
        <w:t>根据预测结果可知：</w:t>
      </w:r>
      <w:r>
        <w:rPr>
          <w:rFonts w:hint="eastAsia"/>
          <w:bCs/>
          <w:color w:val="000000" w:themeColor="text1"/>
          <w14:textFill>
            <w14:solidFill>
              <w14:schemeClr w14:val="tx1"/>
            </w14:solidFill>
          </w14:textFill>
        </w:rPr>
        <w:t>硫酸盐</w:t>
      </w:r>
      <w:r>
        <w:rPr>
          <w:bCs/>
          <w:color w:val="000000" w:themeColor="text1"/>
          <w14:textFill>
            <w14:solidFill>
              <w14:schemeClr w14:val="tx1"/>
            </w14:solidFill>
          </w14:textFill>
        </w:rPr>
        <w:t>影响范围从</w:t>
      </w:r>
      <w:r>
        <w:rPr>
          <w:rFonts w:hint="eastAsia"/>
          <w:bCs/>
          <w:color w:val="000000" w:themeColor="text1"/>
          <w14:textFill>
            <w14:solidFill>
              <w14:schemeClr w14:val="tx1"/>
            </w14:solidFill>
          </w14:textFill>
        </w:rPr>
        <w:t>泄漏点</w:t>
      </w:r>
      <w:r>
        <w:rPr>
          <w:bCs/>
          <w:color w:val="000000" w:themeColor="text1"/>
          <w14:textFill>
            <w14:solidFill>
              <w14:schemeClr w14:val="tx1"/>
            </w14:solidFill>
          </w14:textFill>
        </w:rPr>
        <w:t>向外，强度由大到小，影响范围较小。连续泄漏发生后，区域地下水</w:t>
      </w:r>
      <w:r>
        <w:rPr>
          <w:rFonts w:hint="eastAsia"/>
          <w:bCs/>
          <w:color w:val="000000" w:themeColor="text1"/>
          <w14:textFill>
            <w14:solidFill>
              <w14:schemeClr w14:val="tx1"/>
            </w14:solidFill>
          </w14:textFill>
        </w:rPr>
        <w:t>下游</w:t>
      </w:r>
      <w:r>
        <w:rPr>
          <w:bCs/>
          <w:color w:val="000000" w:themeColor="text1"/>
          <w14:textFill>
            <w14:solidFill>
              <w14:schemeClr w14:val="tx1"/>
            </w14:solidFill>
          </w14:textFill>
        </w:rPr>
        <w:t>中的</w:t>
      </w:r>
      <w:r>
        <w:rPr>
          <w:rFonts w:hint="eastAsia"/>
          <w:bCs/>
          <w:color w:val="000000" w:themeColor="text1"/>
          <w14:textFill>
            <w14:solidFill>
              <w14:schemeClr w14:val="tx1"/>
            </w14:solidFill>
          </w14:textFill>
        </w:rPr>
        <w:t>硫酸盐</w:t>
      </w:r>
      <w:r>
        <w:rPr>
          <w:bCs/>
          <w:color w:val="000000" w:themeColor="text1"/>
          <w14:textFill>
            <w14:solidFill>
              <w14:schemeClr w14:val="tx1"/>
            </w14:solidFill>
          </w14:textFill>
        </w:rPr>
        <w:t>浓度逐渐增加</w:t>
      </w:r>
      <w:r>
        <w:rPr>
          <w:rFonts w:hint="eastAsia"/>
          <w:bCs/>
          <w:color w:val="000000" w:themeColor="text1"/>
          <w14:textFill>
            <w14:solidFill>
              <w14:schemeClr w14:val="tx1"/>
            </w14:solidFill>
          </w14:textFill>
        </w:rPr>
        <w:t>。</w:t>
      </w:r>
    </w:p>
    <w:p w14:paraId="3E9CB9C1">
      <w:pPr>
        <w:pStyle w:val="45"/>
        <w:ind w:firstLine="480"/>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硫酸铵泄漏水解发生后第10天，预测的最大值为</w:t>
      </w:r>
      <w:r>
        <w:rPr>
          <w:rFonts w:hint="eastAsia"/>
          <w:color w:val="000000" w:themeColor="text1"/>
          <w:u w:val="single"/>
          <w:lang w:val="en-US" w:eastAsia="zh-CN"/>
          <w14:textFill>
            <w14:solidFill>
              <w14:schemeClr w14:val="tx1"/>
            </w14:solidFill>
          </w14:textFill>
        </w:rPr>
        <w:t>217071.8</w:t>
      </w:r>
      <w:r>
        <w:rPr>
          <w:rFonts w:hint="eastAsia"/>
          <w:color w:val="000000" w:themeColor="text1"/>
          <w:u w:val="single"/>
          <w14:textFill>
            <w14:solidFill>
              <w14:schemeClr w14:val="tx1"/>
            </w14:solidFill>
          </w14:textFill>
        </w:rPr>
        <w:t>mg/L，出现在泄漏处，超过《地下水质量标准》（GB/T14848-2017）（硫酸盐浓度</w:t>
      </w:r>
      <w:r>
        <w:rPr>
          <w:color w:val="000000" w:themeColor="text1"/>
          <w:u w:val="single"/>
          <w14:textFill>
            <w14:solidFill>
              <w14:schemeClr w14:val="tx1"/>
            </w14:solidFill>
          </w14:textFill>
        </w:rPr>
        <w:t>≤</w:t>
      </w:r>
      <w:r>
        <w:rPr>
          <w:rFonts w:hint="eastAsia"/>
          <w:color w:val="000000" w:themeColor="text1"/>
          <w:u w:val="single"/>
          <w14:textFill>
            <w14:solidFill>
              <w14:schemeClr w14:val="tx1"/>
            </w14:solidFill>
          </w14:textFill>
        </w:rPr>
        <w:t>250mg/L），</w:t>
      </w:r>
      <w:r>
        <w:rPr>
          <w:rFonts w:hint="eastAsia"/>
          <w:color w:val="000000" w:themeColor="text1"/>
          <w:u w:val="single"/>
          <w:lang w:val="en-US" w:eastAsia="zh-CN"/>
          <w14:textFill>
            <w14:solidFill>
              <w14:schemeClr w14:val="tx1"/>
            </w14:solidFill>
          </w14:textFill>
        </w:rPr>
        <w:t>主要</w:t>
      </w:r>
      <w:r>
        <w:rPr>
          <w:rFonts w:hint="eastAsia"/>
          <w:color w:val="000000" w:themeColor="text1"/>
          <w:u w:val="single"/>
          <w14:textFill>
            <w14:solidFill>
              <w14:schemeClr w14:val="tx1"/>
            </w14:solidFill>
          </w14:textFill>
        </w:rPr>
        <w:t>影响为</w:t>
      </w:r>
      <w:r>
        <w:rPr>
          <w:rFonts w:hint="eastAsia"/>
          <w:color w:val="000000" w:themeColor="text1"/>
          <w:u w:val="single"/>
          <w:lang w:val="en-US" w:eastAsia="zh-CN"/>
          <w14:textFill>
            <w14:solidFill>
              <w14:schemeClr w14:val="tx1"/>
            </w14:solidFill>
          </w14:textFill>
        </w:rPr>
        <w:t>泄漏点地下水</w:t>
      </w:r>
      <w:r>
        <w:rPr>
          <w:rFonts w:hint="eastAsia"/>
          <w:color w:val="000000" w:themeColor="text1"/>
          <w:u w:val="single"/>
          <w14:textFill>
            <w14:solidFill>
              <w14:schemeClr w14:val="tx1"/>
            </w14:solidFill>
          </w14:textFill>
        </w:rPr>
        <w:t>。</w:t>
      </w:r>
      <w:bookmarkStart w:id="48" w:name="_Hlk161240115"/>
    </w:p>
    <w:p w14:paraId="1531899B">
      <w:pPr>
        <w:pStyle w:val="45"/>
        <w:ind w:firstLine="480"/>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第100天，预测的最大值为50714mg/L，出现在泄漏处，超过《地下水质量标准》（GB/T14848-2017）（</w:t>
      </w:r>
      <w:bookmarkStart w:id="49" w:name="_Hlk161238469"/>
      <w:r>
        <w:rPr>
          <w:rFonts w:hint="eastAsia"/>
          <w:color w:val="000000" w:themeColor="text1"/>
          <w:u w:val="single"/>
          <w14:textFill>
            <w14:solidFill>
              <w14:schemeClr w14:val="tx1"/>
            </w14:solidFill>
          </w14:textFill>
        </w:rPr>
        <w:t>硫酸盐浓度</w:t>
      </w:r>
      <w:r>
        <w:rPr>
          <w:color w:val="000000" w:themeColor="text1"/>
          <w:u w:val="single"/>
          <w14:textFill>
            <w14:solidFill>
              <w14:schemeClr w14:val="tx1"/>
            </w14:solidFill>
          </w14:textFill>
        </w:rPr>
        <w:t>≤</w:t>
      </w:r>
      <w:r>
        <w:rPr>
          <w:rFonts w:hint="eastAsia"/>
          <w:color w:val="000000" w:themeColor="text1"/>
          <w:u w:val="single"/>
          <w14:textFill>
            <w14:solidFill>
              <w14:schemeClr w14:val="tx1"/>
            </w14:solidFill>
          </w14:textFill>
        </w:rPr>
        <w:t>250mg/L</w:t>
      </w:r>
      <w:bookmarkEnd w:id="49"/>
      <w:r>
        <w:rPr>
          <w:rFonts w:hint="eastAsia"/>
          <w:color w:val="000000" w:themeColor="text1"/>
          <w:u w:val="single"/>
          <w14:textFill>
            <w14:solidFill>
              <w14:schemeClr w14:val="tx1"/>
            </w14:solidFill>
          </w14:textFill>
        </w:rPr>
        <w:t>），最远达标距离为5m，最远影响距离为10m。</w:t>
      </w:r>
      <w:bookmarkEnd w:id="48"/>
    </w:p>
    <w:p w14:paraId="4B4028B8">
      <w:pPr>
        <w:pStyle w:val="45"/>
        <w:ind w:firstLine="480"/>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第</w:t>
      </w:r>
      <w:r>
        <w:rPr>
          <w:color w:val="000000" w:themeColor="text1"/>
          <w:u w:val="single"/>
          <w14:textFill>
            <w14:solidFill>
              <w14:schemeClr w14:val="tx1"/>
            </w14:solidFill>
          </w14:textFill>
        </w:rPr>
        <w:t>365</w:t>
      </w:r>
      <w:r>
        <w:rPr>
          <w:rFonts w:hint="eastAsia"/>
          <w:color w:val="000000" w:themeColor="text1"/>
          <w:u w:val="single"/>
          <w14:textFill>
            <w14:solidFill>
              <w14:schemeClr w14:val="tx1"/>
            </w14:solidFill>
          </w14:textFill>
        </w:rPr>
        <w:t>天，预测的最大值为26510mg/L，出现在泄漏处，超过《地下水质量标准》（GB/T14848-2017）（硫酸盐浓度</w:t>
      </w:r>
      <w:r>
        <w:rPr>
          <w:color w:val="000000" w:themeColor="text1"/>
          <w:u w:val="single"/>
          <w14:textFill>
            <w14:solidFill>
              <w14:schemeClr w14:val="tx1"/>
            </w14:solidFill>
          </w14:textFill>
        </w:rPr>
        <w:t>≤</w:t>
      </w:r>
      <w:r>
        <w:rPr>
          <w:rFonts w:hint="eastAsia"/>
          <w:color w:val="000000" w:themeColor="text1"/>
          <w:u w:val="single"/>
          <w14:textFill>
            <w14:solidFill>
              <w14:schemeClr w14:val="tx1"/>
            </w14:solidFill>
          </w14:textFill>
        </w:rPr>
        <w:t>250mg/L），最远达标距离为8m，最远影响距离为</w:t>
      </w:r>
      <w:r>
        <w:rPr>
          <w:rFonts w:hint="eastAsia"/>
          <w:color w:val="000000" w:themeColor="text1"/>
          <w:u w:val="single"/>
          <w:lang w:val="en-US" w:eastAsia="zh-CN"/>
          <w14:textFill>
            <w14:solidFill>
              <w14:schemeClr w14:val="tx1"/>
            </w14:solidFill>
          </w14:textFill>
        </w:rPr>
        <w:t>15</w:t>
      </w:r>
      <w:r>
        <w:rPr>
          <w:rFonts w:hint="eastAsia"/>
          <w:color w:val="000000" w:themeColor="text1"/>
          <w:u w:val="single"/>
          <w14:textFill>
            <w14:solidFill>
              <w14:schemeClr w14:val="tx1"/>
            </w14:solidFill>
          </w14:textFill>
        </w:rPr>
        <w:t>m。</w:t>
      </w:r>
    </w:p>
    <w:p w14:paraId="0F6F23C9">
      <w:pPr>
        <w:pStyle w:val="45"/>
        <w:ind w:firstLine="480"/>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第1000天，预测的最大值为15965mg/L，出现在泄漏处，超过《地下水质量标准》（GB/T14848-2017）（硫酸盐浓度</w:t>
      </w:r>
      <w:r>
        <w:rPr>
          <w:color w:val="000000" w:themeColor="text1"/>
          <w:u w:val="single"/>
          <w14:textFill>
            <w14:solidFill>
              <w14:schemeClr w14:val="tx1"/>
            </w14:solidFill>
          </w14:textFill>
        </w:rPr>
        <w:t>≤</w:t>
      </w:r>
      <w:r>
        <w:rPr>
          <w:rFonts w:hint="eastAsia"/>
          <w:color w:val="000000" w:themeColor="text1"/>
          <w:u w:val="single"/>
          <w14:textFill>
            <w14:solidFill>
              <w14:schemeClr w14:val="tx1"/>
            </w14:solidFill>
          </w14:textFill>
        </w:rPr>
        <w:t>250mg/L），最远达标距离为1</w:t>
      </w:r>
      <w:r>
        <w:rPr>
          <w:rFonts w:hint="eastAsia"/>
          <w:color w:val="000000" w:themeColor="text1"/>
          <w:u w:val="single"/>
          <w:lang w:val="en-US" w:eastAsia="zh-CN"/>
          <w14:textFill>
            <w14:solidFill>
              <w14:schemeClr w14:val="tx1"/>
            </w14:solidFill>
          </w14:textFill>
        </w:rPr>
        <w:t>3</w:t>
      </w:r>
      <w:r>
        <w:rPr>
          <w:rFonts w:hint="eastAsia"/>
          <w:color w:val="000000" w:themeColor="text1"/>
          <w:u w:val="single"/>
          <w14:textFill>
            <w14:solidFill>
              <w14:schemeClr w14:val="tx1"/>
            </w14:solidFill>
          </w14:textFill>
        </w:rPr>
        <w:t>m，最远影响距离为</w:t>
      </w:r>
      <w:r>
        <w:rPr>
          <w:rFonts w:hint="eastAsia"/>
          <w:color w:val="000000" w:themeColor="text1"/>
          <w:u w:val="single"/>
          <w:lang w:val="en-US" w:eastAsia="zh-CN"/>
          <w14:textFill>
            <w14:solidFill>
              <w14:schemeClr w14:val="tx1"/>
            </w14:solidFill>
          </w14:textFill>
        </w:rPr>
        <w:t>30</w:t>
      </w:r>
      <w:r>
        <w:rPr>
          <w:rFonts w:hint="eastAsia"/>
          <w:color w:val="000000" w:themeColor="text1"/>
          <w:u w:val="single"/>
          <w14:textFill>
            <w14:solidFill>
              <w14:schemeClr w14:val="tx1"/>
            </w14:solidFill>
          </w14:textFill>
        </w:rPr>
        <w:t>m。</w:t>
      </w:r>
    </w:p>
    <w:p w14:paraId="4129334B">
      <w:pPr>
        <w:pStyle w:val="4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场区水文地质特征及边界条件分析，建设项目在正常运营并做好废水收集和防渗措施的情况下，加强环保措施后项目造成地下水污染的可能性较小，对下游地下水水质影响小；在非正常运营情况下，污染物的突发瞬时泄漏，会造成地下水的污染，其污染主要为场区及场区至下游的地下水径流排泄区。项目硫酸铵泄漏水解最远影响距离为3</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m。项目附近居民点多采用自来水作为生活水源，项目</w:t>
      </w:r>
      <w:r>
        <w:rPr>
          <w:color w:val="000000" w:themeColor="text1"/>
          <w14:textFill>
            <w14:solidFill>
              <w14:schemeClr w14:val="tx1"/>
            </w14:solidFill>
          </w14:textFill>
        </w:rPr>
        <w:t>下游没有地下水敏感区</w:t>
      </w:r>
      <w:r>
        <w:rPr>
          <w:rFonts w:hint="eastAsia"/>
          <w:color w:val="000000" w:themeColor="text1"/>
          <w14:textFill>
            <w14:solidFill>
              <w14:schemeClr w14:val="tx1"/>
            </w14:solidFill>
          </w14:textFill>
        </w:rPr>
        <w:t>。因此非正常状况下，硫酸盐对周边的饮用水水源保护区影响较小。</w:t>
      </w:r>
    </w:p>
    <w:p w14:paraId="57C47DA0">
      <w:pPr>
        <w:pStyle w:val="4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（7）预防措施</w:t>
      </w:r>
    </w:p>
    <w:p w14:paraId="3C72782E">
      <w:pPr>
        <w:pStyle w:val="4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为防止事故废水污染地下水，本环评还提出以下预防措施：</w:t>
      </w:r>
    </w:p>
    <w:p w14:paraId="26D5E831">
      <w:pPr>
        <w:pStyle w:val="45"/>
        <w:ind w:firstLine="480"/>
        <w:rPr>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①</w:t>
      </w:r>
      <w:r>
        <w:rPr>
          <w:rFonts w:hint="eastAsia"/>
          <w:color w:val="000000" w:themeColor="text1"/>
          <w14:textFill>
            <w14:solidFill>
              <w14:schemeClr w14:val="tx1"/>
            </w14:solidFill>
          </w14:textFill>
        </w:rPr>
        <w:t>项目原料库、成品库、生产车间地面、均采用防渗处理，并根据《环境影响评价技术导则 地下水环境》（HJ610-2016）对相应防渗级别的区域采取不同的防渗材料。防渗材料并满足《危险废物贮存污染控制标准》（GB18597-2001）、《一般工业固体废物贮存和填埋污染控制标准》（GB18599-2020）的相关规定。</w:t>
      </w:r>
    </w:p>
    <w:p w14:paraId="4F8B59C9">
      <w:pPr>
        <w:pStyle w:val="45"/>
        <w:ind w:firstLine="480"/>
        <w:rPr>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②</w:t>
      </w:r>
      <w:r>
        <w:rPr>
          <w:rFonts w:hint="eastAsia"/>
          <w:color w:val="000000" w:themeColor="text1"/>
          <w14:textFill>
            <w14:solidFill>
              <w14:schemeClr w14:val="tx1"/>
            </w14:solidFill>
          </w14:textFill>
        </w:rPr>
        <w:t>在厂区边界准备适量沙包，在厂区灭火时堵住围墙泄漏处，并及时将事故废水导流至事故应急池，将事故废水控制在厂区内。</w:t>
      </w:r>
    </w:p>
    <w:p w14:paraId="0DAB9C3E">
      <w:pPr>
        <w:pStyle w:val="45"/>
        <w:ind w:firstLine="480"/>
        <w:rPr>
          <w:color w:val="000000" w:themeColor="text1"/>
          <w:u w:val="single"/>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③</w:t>
      </w:r>
      <w:r>
        <w:rPr>
          <w:rFonts w:hint="eastAsia"/>
          <w:color w:val="000000" w:themeColor="text1"/>
          <w14:textFill>
            <w14:solidFill>
              <w14:schemeClr w14:val="tx1"/>
            </w14:solidFill>
          </w14:textFill>
        </w:rPr>
        <w:t>对原料库、成品库、生产装置区域内易产生泄漏的设备尽可能分别设置排水地漏，并分类收集不同区域的排水，原料库、成品库、生产装置区域、事故应急池采用防腐防渗的材料铺砌，等效粘土防渗层防渗系数需小于10</w:t>
      </w:r>
      <w:r>
        <w:rPr>
          <w:rFonts w:hint="eastAsia"/>
          <w:color w:val="000000" w:themeColor="text1"/>
          <w:vertAlign w:val="superscript"/>
          <w14:textFill>
            <w14:solidFill>
              <w14:schemeClr w14:val="tx1"/>
            </w14:solidFill>
          </w14:textFill>
        </w:rPr>
        <w:t>-7</w:t>
      </w:r>
      <w:r>
        <w:rPr>
          <w:rFonts w:hint="eastAsia"/>
          <w:color w:val="000000" w:themeColor="text1"/>
          <w14:textFill>
            <w14:solidFill>
              <w14:schemeClr w14:val="tx1"/>
            </w14:solidFill>
          </w14:textFill>
        </w:rPr>
        <w:t>cm/s。</w:t>
      </w:r>
    </w:p>
    <w:p w14:paraId="17836A17">
      <w:pPr>
        <w:pStyle w:val="4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根据项目特征和环境风险防控措施，项目产生的消防事故废水泄漏污染地下水的可能性较小，通过以上治理措施可有效地避免事故废水对地下水环境产生污染。</w:t>
      </w:r>
    </w:p>
    <w:p w14:paraId="2999B126">
      <w:pPr>
        <w:pStyle w:val="3"/>
        <w:spacing w:before="0" w:after="0" w:line="360" w:lineRule="auto"/>
        <w:rPr>
          <w:rFonts w:ascii="Times New Roman" w:hAnsi="Times New Roman" w:eastAsia="宋体"/>
          <w:color w:val="000000" w:themeColor="text1"/>
          <w14:textFill>
            <w14:solidFill>
              <w14:schemeClr w14:val="tx1"/>
            </w14:solidFill>
          </w14:textFill>
        </w:rPr>
      </w:pPr>
      <w:bookmarkStart w:id="50" w:name="_Toc182912591"/>
      <w:bookmarkStart w:id="51" w:name="_Toc184788067"/>
      <w:bookmarkStart w:id="52" w:name="_Toc188074086"/>
      <w:bookmarkStart w:id="53" w:name="_Toc28250"/>
      <w:bookmarkStart w:id="54" w:name="_Toc184637413"/>
      <w:bookmarkStart w:id="55" w:name="_Toc182912954"/>
      <w:bookmarkStart w:id="56" w:name="_Toc187828464"/>
      <w:bookmarkStart w:id="57" w:name="_Toc185151748"/>
      <w:bookmarkStart w:id="58" w:name="_Toc187828848"/>
      <w:bookmarkStart w:id="59" w:name="_Toc185234391"/>
      <w:bookmarkStart w:id="60" w:name="_Toc184788344"/>
      <w:bookmarkStart w:id="61" w:name="_Toc205025169"/>
      <w:bookmarkStart w:id="62" w:name="_Toc185213986"/>
      <w:bookmarkStart w:id="63" w:name="_Toc182920270"/>
      <w:bookmarkStart w:id="64" w:name="_Hlk157668659"/>
      <w:r>
        <w:rPr>
          <w:rFonts w:hint="eastAsia" w:ascii="Times New Roman" w:hAnsi="Times New Roman" w:eastAsia="宋体"/>
          <w:color w:val="000000" w:themeColor="text1"/>
          <w14:textFill>
            <w14:solidFill>
              <w14:schemeClr w14:val="tx1"/>
            </w14:solidFill>
          </w14:textFill>
        </w:rPr>
        <w:t>4</w:t>
      </w:r>
      <w:r>
        <w:rPr>
          <w:rFonts w:ascii="Times New Roman" w:hAnsi="Times New Roman" w:eastAsia="宋体"/>
          <w:color w:val="000000" w:themeColor="text1"/>
          <w14:textFill>
            <w14:solidFill>
              <w14:schemeClr w14:val="tx1"/>
            </w14:solidFill>
          </w14:textFill>
        </w:rPr>
        <w:t>.6事故连锁效应分析</w:t>
      </w:r>
      <w:bookmarkEnd w:id="50"/>
      <w:bookmarkEnd w:id="51"/>
      <w:bookmarkEnd w:id="52"/>
      <w:bookmarkEnd w:id="53"/>
      <w:bookmarkEnd w:id="54"/>
      <w:bookmarkEnd w:id="55"/>
      <w:bookmarkEnd w:id="56"/>
      <w:bookmarkEnd w:id="57"/>
      <w:bookmarkEnd w:id="58"/>
      <w:bookmarkEnd w:id="59"/>
      <w:bookmarkEnd w:id="60"/>
      <w:bookmarkEnd w:id="61"/>
      <w:bookmarkEnd w:id="62"/>
      <w:bookmarkEnd w:id="63"/>
    </w:p>
    <w:bookmarkEnd w:id="64"/>
    <w:p w14:paraId="037420A0">
      <w:pPr>
        <w:autoSpaceDE w:val="0"/>
        <w:autoSpaceDN w:val="0"/>
        <w:adjustRightInd w:val="0"/>
        <w:snapToGrid w:val="0"/>
        <w:spacing w:line="360" w:lineRule="auto"/>
        <w:ind w:firstLine="480"/>
        <w:rPr>
          <w:rFonts w:hint="eastAsia" w:ascii="宋体" w:hAnsi="宋体"/>
          <w:color w:val="000000" w:themeColor="text1"/>
          <w:spacing w:val="-6"/>
          <w:sz w:val="24"/>
          <w14:textFill>
            <w14:solidFill>
              <w14:schemeClr w14:val="tx1"/>
            </w14:solidFill>
          </w14:textFill>
        </w:rPr>
      </w:pPr>
      <w:r>
        <w:rPr>
          <w:rFonts w:hint="eastAsia" w:ascii="宋体" w:hAnsi="宋体"/>
          <w:color w:val="000000" w:themeColor="text1"/>
          <w:spacing w:val="-6"/>
          <w:sz w:val="24"/>
          <w14:textFill>
            <w14:solidFill>
              <w14:schemeClr w14:val="tx1"/>
            </w14:solidFill>
          </w14:textFill>
        </w:rPr>
        <w:t>项目发生泄漏事故时，泄漏的物料一旦进入土壤可能对周围土壤造成污染，影响土壤中的微生物生存，造成土壤的盐碱化，破坏土壤的结构，增加土壤中石油类污染物，对土壤环境造成局部斑块状的影响。</w:t>
      </w:r>
    </w:p>
    <w:p w14:paraId="19143DA5">
      <w:pPr>
        <w:autoSpaceDE w:val="0"/>
        <w:autoSpaceDN w:val="0"/>
        <w:adjustRightInd w:val="0"/>
        <w:snapToGrid w:val="0"/>
        <w:spacing w:line="360" w:lineRule="auto"/>
        <w:ind w:firstLine="480"/>
        <w:rPr>
          <w:rFonts w:hint="eastAsia" w:ascii="宋体" w:hAnsi="宋体"/>
          <w:color w:val="000000" w:themeColor="text1"/>
          <w:spacing w:val="-6"/>
          <w:sz w:val="24"/>
          <w14:textFill>
            <w14:solidFill>
              <w14:schemeClr w14:val="tx1"/>
            </w14:solidFill>
          </w14:textFill>
        </w:rPr>
      </w:pPr>
      <w:r>
        <w:rPr>
          <w:rFonts w:hint="eastAsia" w:ascii="宋体" w:hAnsi="宋体"/>
          <w:color w:val="000000" w:themeColor="text1"/>
          <w:spacing w:val="-6"/>
          <w:sz w:val="24"/>
          <w14:textFill>
            <w14:solidFill>
              <w14:schemeClr w14:val="tx1"/>
            </w14:solidFill>
          </w14:textFill>
        </w:rPr>
        <w:t>但是，考虑到一旦大量危险化学品泄漏能够及时发现，因此在发生风险事故时也能够及时有效地对泄漏物质进行处置，减少其在地面停留的时间，从而降低物料渗入土壤的风险。</w:t>
      </w:r>
    </w:p>
    <w:p w14:paraId="388D9A2A">
      <w:pPr>
        <w:autoSpaceDE w:val="0"/>
        <w:autoSpaceDN w:val="0"/>
        <w:adjustRightInd w:val="0"/>
        <w:snapToGrid w:val="0"/>
        <w:spacing w:line="360" w:lineRule="auto"/>
        <w:ind w:firstLine="480"/>
        <w:rPr>
          <w:rFonts w:hint="eastAsia" w:ascii="宋体" w:hAnsi="宋体"/>
          <w:color w:val="000000" w:themeColor="text1"/>
          <w:spacing w:val="-6"/>
          <w:sz w:val="24"/>
          <w14:textFill>
            <w14:solidFill>
              <w14:schemeClr w14:val="tx1"/>
            </w14:solidFill>
          </w14:textFill>
        </w:rPr>
      </w:pPr>
      <w:r>
        <w:rPr>
          <w:rFonts w:hint="eastAsia" w:ascii="宋体" w:hAnsi="宋体"/>
          <w:color w:val="000000" w:themeColor="text1"/>
          <w:spacing w:val="-6"/>
          <w:sz w:val="24"/>
          <w14:textFill>
            <w14:solidFill>
              <w14:schemeClr w14:val="tx1"/>
            </w14:solidFill>
          </w14:textFill>
        </w:rPr>
        <w:t>项目危险物质主要为硫酸铵，设备基本为密闭式，如设备因材质老化、人为操作不当等原因发生物料泄漏，会洒落在地面，可能会对周边土壤环境造成污染，同时硫酸铵遇水容易水解，可能随着四周的排水沟进入雨水管或污水管，造成二次污染事故。</w:t>
      </w:r>
    </w:p>
    <w:p w14:paraId="2B601214">
      <w:pPr>
        <w:autoSpaceDE w:val="0"/>
        <w:autoSpaceDN w:val="0"/>
        <w:adjustRightInd w:val="0"/>
        <w:snapToGrid w:val="0"/>
        <w:spacing w:line="360" w:lineRule="auto"/>
        <w:ind w:firstLine="480"/>
        <w:rPr>
          <w:rFonts w:hint="eastAsia" w:ascii="宋体" w:hAnsi="宋体"/>
          <w:color w:val="000000" w:themeColor="text1"/>
          <w:spacing w:val="-6"/>
          <w:sz w:val="24"/>
          <w14:textFill>
            <w14:solidFill>
              <w14:schemeClr w14:val="tx1"/>
            </w14:solidFill>
          </w14:textFill>
        </w:rPr>
      </w:pPr>
      <w:r>
        <w:rPr>
          <w:rFonts w:hint="eastAsia" w:ascii="宋体" w:hAnsi="宋体"/>
          <w:color w:val="000000" w:themeColor="text1"/>
          <w:spacing w:val="-6"/>
          <w:sz w:val="24"/>
          <w14:textFill>
            <w14:solidFill>
              <w14:schemeClr w14:val="tx1"/>
            </w14:solidFill>
          </w14:textFill>
        </w:rPr>
        <w:t>厂区内基本是混凝土路面，基本没有直接裸露的土壤存在，项目发生物料泄漏时对厂界内的土壤影响有限，事故后及时控制基本不会对厂界内的土壤造成严重污染。</w:t>
      </w:r>
    </w:p>
    <w:p w14:paraId="1FA2546C">
      <w:pPr>
        <w:autoSpaceDE w:val="0"/>
        <w:autoSpaceDN w:val="0"/>
        <w:adjustRightInd w:val="0"/>
        <w:snapToGrid w:val="0"/>
        <w:spacing w:line="360" w:lineRule="auto"/>
        <w:ind w:firstLine="480"/>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项目产生的危险废物在危险废物暂存间暂存，定期委托有相关资质单位处置，按照《危险废物贮存污染控制标准》（GB18597-2023）中的要求建设，可进一步控制泄漏物料对外环境产生的影响。</w:t>
      </w:r>
    </w:p>
    <w:p w14:paraId="318D6DD4">
      <w:pPr>
        <w:autoSpaceDE w:val="0"/>
        <w:autoSpaceDN w:val="0"/>
        <w:adjustRightInd w:val="0"/>
        <w:snapToGrid w:val="0"/>
        <w:spacing w:line="360" w:lineRule="auto"/>
        <w:ind w:firstLine="480"/>
        <w:rPr>
          <w:rFonts w:hint="eastAsia" w:ascii="宋体" w:hAnsi="宋体"/>
          <w:color w:val="000000" w:themeColor="text1"/>
          <w:spacing w:val="-6"/>
          <w:sz w:val="24"/>
          <w14:textFill>
            <w14:solidFill>
              <w14:schemeClr w14:val="tx1"/>
            </w14:solidFill>
          </w14:textFill>
        </w:rPr>
      </w:pPr>
      <w:r>
        <w:rPr>
          <w:rFonts w:hint="eastAsia" w:ascii="宋体" w:hAnsi="宋体"/>
          <w:color w:val="000000" w:themeColor="text1"/>
          <w:spacing w:val="-6"/>
          <w:sz w:val="24"/>
          <w14:textFill>
            <w14:solidFill>
              <w14:schemeClr w14:val="tx1"/>
            </w14:solidFill>
          </w14:textFill>
        </w:rPr>
        <w:t>项目事故泄漏物料对厂区外部的土壤污染较低，其对土壤的污染主要是硫酸铵泄漏分解产生的大气污染物沉降到土壤中引起的。但是项目事故泄漏污染物总量不高，而且属于短期事故，通过大气沉降对厂界外土壤造成污染的可能性很小。</w:t>
      </w:r>
    </w:p>
    <w:p w14:paraId="26588D90">
      <w:pPr>
        <w:autoSpaceDE w:val="0"/>
        <w:autoSpaceDN w:val="0"/>
        <w:adjustRightInd w:val="0"/>
        <w:snapToGrid w:val="0"/>
        <w:spacing w:line="360" w:lineRule="auto"/>
        <w:ind w:firstLine="480"/>
        <w:rPr>
          <w:rFonts w:hint="eastAsia" w:ascii="宋体" w:hAnsi="宋体"/>
          <w:color w:val="000000" w:themeColor="text1"/>
          <w:spacing w:val="-6"/>
          <w:sz w:val="24"/>
          <w14:textFill>
            <w14:solidFill>
              <w14:schemeClr w14:val="tx1"/>
            </w14:solidFill>
          </w14:textFill>
        </w:rPr>
      </w:pPr>
      <w:r>
        <w:rPr>
          <w:rFonts w:hint="eastAsia" w:ascii="宋体" w:hAnsi="宋体"/>
          <w:color w:val="000000" w:themeColor="text1"/>
          <w:spacing w:val="-6"/>
          <w:sz w:val="24"/>
          <w14:textFill>
            <w14:solidFill>
              <w14:schemeClr w14:val="tx1"/>
            </w14:solidFill>
          </w14:textFill>
        </w:rPr>
        <w:t>因此，在发生物料事故泄漏时对厂区内外的土壤都不会造成明显的影响。</w:t>
      </w:r>
    </w:p>
    <w:p w14:paraId="2E3B9851">
      <w:pPr>
        <w:pStyle w:val="3"/>
        <w:spacing w:before="0" w:after="0" w:line="360" w:lineRule="auto"/>
        <w:rPr>
          <w:rFonts w:ascii="Times New Roman" w:hAnsi="Times New Roman" w:eastAsia="宋体"/>
          <w:color w:val="000000" w:themeColor="text1"/>
          <w14:textFill>
            <w14:solidFill>
              <w14:schemeClr w14:val="tx1"/>
            </w14:solidFill>
          </w14:textFill>
        </w:rPr>
      </w:pPr>
      <w:bookmarkStart w:id="65" w:name="_Toc7977"/>
      <w:bookmarkStart w:id="66" w:name="_Toc393381131"/>
      <w:bookmarkStart w:id="67" w:name="_Toc392082544"/>
      <w:bookmarkStart w:id="68" w:name="_Toc390245881"/>
      <w:bookmarkStart w:id="69" w:name="_Toc389722894"/>
      <w:r>
        <w:rPr>
          <w:rFonts w:hint="eastAsia" w:ascii="Times New Roman" w:hAnsi="Times New Roman" w:eastAsia="宋体"/>
          <w:color w:val="000000" w:themeColor="text1"/>
          <w14:textFill>
            <w14:solidFill>
              <w14:schemeClr w14:val="tx1"/>
            </w14:solidFill>
          </w14:textFill>
        </w:rPr>
        <w:t>4</w:t>
      </w:r>
      <w:r>
        <w:rPr>
          <w:rFonts w:ascii="Times New Roman" w:hAnsi="Times New Roman" w:eastAsia="宋体"/>
          <w:color w:val="000000" w:themeColor="text1"/>
          <w14:textFill>
            <w14:solidFill>
              <w14:schemeClr w14:val="tx1"/>
            </w14:solidFill>
          </w14:textFill>
        </w:rPr>
        <w:t>.7废气事故工况排放影响分析</w:t>
      </w:r>
      <w:bookmarkEnd w:id="65"/>
    </w:p>
    <w:p w14:paraId="3F4F2E72">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建设项目事故状态工况是废气未经处理通过排气筒直接排放。若项目大气环保设备出现故障时，多种污染物的排放浓度及排放速率不能满足相关标准要求；配套集气罩发生故障、集气效率失效时，废气不能有效收集，废气在车间内通过无组织形式排放。</w:t>
      </w:r>
    </w:p>
    <w:p w14:paraId="5BB5AF24">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废气事故工况排放的废气浓度超标，一旦排入大气环境中将对区域大气环境造成严重污染。氨</w:t>
      </w:r>
      <w:r>
        <w:rPr>
          <w:rFonts w:hint="eastAsia"/>
          <w:color w:val="000000" w:themeColor="text1"/>
          <w14:textFill>
            <w14:solidFill>
              <w14:schemeClr w14:val="tx1"/>
            </w14:solidFill>
          </w14:textFill>
        </w:rPr>
        <w:t>、二氧化硫等</w:t>
      </w:r>
      <w:r>
        <w:rPr>
          <w:color w:val="000000" w:themeColor="text1"/>
          <w14:textFill>
            <w14:solidFill>
              <w14:schemeClr w14:val="tx1"/>
            </w14:solidFill>
          </w14:textFill>
        </w:rPr>
        <w:t>为有毒有害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具有刺激性气味</w:t>
      </w:r>
      <w:r>
        <w:rPr>
          <w:rFonts w:hint="eastAsia"/>
          <w:color w:val="000000" w:themeColor="text1"/>
          <w14:textFill>
            <w14:solidFill>
              <w14:schemeClr w14:val="tx1"/>
            </w14:solidFill>
          </w14:textFill>
        </w:rPr>
        <w:t>无</w:t>
      </w:r>
      <w:r>
        <w:rPr>
          <w:color w:val="000000" w:themeColor="text1"/>
          <w14:textFill>
            <w14:solidFill>
              <w14:schemeClr w14:val="tx1"/>
            </w14:solidFill>
          </w14:textFill>
        </w:rPr>
        <w:t>机废气，对人群、动植物的危害，尤其对周边居民、员工身体健康危害较大。在突发性的高浓度废气污染物作用下，使人体质下降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精神不振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胸痛、头痛、恶心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引发呼吸道系统疾病、支气管系统疾病，严重的可造成急性中毒。由于重力</w:t>
      </w:r>
      <w:bookmarkStart w:id="70" w:name="Bookmark12"/>
      <w:r>
        <w:rPr>
          <w:color w:val="000000" w:themeColor="text1"/>
          <w14:textFill>
            <w14:solidFill>
              <w14:schemeClr w14:val="tx1"/>
            </w14:solidFill>
          </w14:textFill>
        </w:rPr>
        <w:t>作用沉降</w:t>
      </w:r>
      <w:bookmarkEnd w:id="70"/>
      <w:r>
        <w:rPr>
          <w:color w:val="000000" w:themeColor="text1"/>
          <w14:textFill>
            <w14:solidFill>
              <w14:schemeClr w14:val="tx1"/>
            </w14:solidFill>
          </w14:textFill>
        </w:rPr>
        <w:t>，污染物可能会进入地表水体，在地表径流、渗透等作用下，进入到土壤中，对地表水、土壤等生态环境都会造成一定影响。</w:t>
      </w:r>
    </w:p>
    <w:p w14:paraId="640CEF36">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为减少事故</w:t>
      </w:r>
      <w:bookmarkStart w:id="71" w:name="Bookmark13"/>
      <w:r>
        <w:rPr>
          <w:color w:val="000000" w:themeColor="text1"/>
          <w14:textFill>
            <w14:solidFill>
              <w14:schemeClr w14:val="tx1"/>
            </w14:solidFill>
          </w14:textFill>
        </w:rPr>
        <w:t>情况</w:t>
      </w:r>
      <w:bookmarkEnd w:id="71"/>
      <w:r>
        <w:rPr>
          <w:color w:val="000000" w:themeColor="text1"/>
          <w14:textFill>
            <w14:solidFill>
              <w14:schemeClr w14:val="tx1"/>
            </w14:solidFill>
          </w14:textFill>
        </w:rPr>
        <w:t>工况下污染物的排放影响，建设单位</w:t>
      </w:r>
      <w:r>
        <w:rPr>
          <w:rFonts w:hint="eastAsia"/>
          <w:color w:val="000000" w:themeColor="text1"/>
          <w14:textFill>
            <w14:solidFill>
              <w14:schemeClr w14:val="tx1"/>
            </w14:solidFill>
          </w14:textFill>
        </w:rPr>
        <w:t>必须</w:t>
      </w:r>
      <w:r>
        <w:rPr>
          <w:color w:val="000000" w:themeColor="text1"/>
          <w14:textFill>
            <w14:solidFill>
              <w14:schemeClr w14:val="tx1"/>
            </w14:solidFill>
          </w14:textFill>
        </w:rPr>
        <w:t>加强环保设施管理，完善大气污染物的治理措施，避免非正常排放情况的发生。</w:t>
      </w:r>
    </w:p>
    <w:bookmarkEnd w:id="66"/>
    <w:bookmarkEnd w:id="67"/>
    <w:bookmarkEnd w:id="68"/>
    <w:bookmarkEnd w:id="69"/>
    <w:p w14:paraId="5F41E37A">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综上所述，只要建设单位采取科学有效的防范措施，本项目的环境风险是可以接受的。</w:t>
      </w:r>
    </w:p>
    <w:p w14:paraId="53A1E2C4">
      <w:pPr>
        <w:pStyle w:val="2"/>
        <w:adjustRightInd/>
        <w:snapToGrid/>
        <w:rPr>
          <w:color w:val="000000" w:themeColor="text1"/>
          <w14:textFill>
            <w14:solidFill>
              <w14:schemeClr w14:val="tx1"/>
            </w14:solidFill>
          </w14:textFill>
        </w:rPr>
      </w:pPr>
      <w:bookmarkStart w:id="72" w:name="_Toc24550"/>
      <w:r>
        <w:rPr>
          <w:rFonts w:hint="eastAsia"/>
          <w:color w:val="000000" w:themeColor="text1"/>
          <w14:textFill>
            <w14:solidFill>
              <w14:schemeClr w14:val="tx1"/>
            </w14:solidFill>
          </w14:textFill>
        </w:rPr>
        <w:t>5</w:t>
      </w:r>
      <w:r>
        <w:rPr>
          <w:color w:val="000000" w:themeColor="text1"/>
          <w14:textFill>
            <w14:solidFill>
              <w14:schemeClr w14:val="tx1"/>
            </w14:solidFill>
          </w14:textFill>
        </w:rPr>
        <w:t>环境风险管</w:t>
      </w:r>
      <w:bookmarkStart w:id="73" w:name="_Toc533671918"/>
      <w:bookmarkStart w:id="74" w:name="_Toc46706291"/>
      <w:bookmarkStart w:id="75" w:name="_Toc69530641"/>
      <w:r>
        <w:rPr>
          <w:color w:val="000000" w:themeColor="text1"/>
          <w14:textFill>
            <w14:solidFill>
              <w14:schemeClr w14:val="tx1"/>
            </w14:solidFill>
          </w14:textFill>
        </w:rPr>
        <w:t>理</w:t>
      </w:r>
      <w:bookmarkEnd w:id="72"/>
      <w:bookmarkEnd w:id="73"/>
    </w:p>
    <w:bookmarkEnd w:id="74"/>
    <w:bookmarkEnd w:id="75"/>
    <w:p w14:paraId="08B74937">
      <w:pPr>
        <w:pStyle w:val="45"/>
        <w:ind w:firstLine="0" w:firstLineChars="0"/>
        <w:outlineLvl w:val="1"/>
        <w:rPr>
          <w:b/>
          <w:bCs/>
          <w:color w:val="000000" w:themeColor="text1"/>
          <w:sz w:val="28"/>
          <w:szCs w:val="28"/>
          <w14:textFill>
            <w14:solidFill>
              <w14:schemeClr w14:val="tx1"/>
            </w14:solidFill>
          </w14:textFill>
        </w:rPr>
      </w:pPr>
      <w:bookmarkStart w:id="76" w:name="_Toc6759"/>
      <w:bookmarkStart w:id="77" w:name="Bookmark11"/>
      <w:r>
        <w:rPr>
          <w:rFonts w:hint="eastAsia"/>
          <w:b/>
          <w:bCs/>
          <w:color w:val="000000" w:themeColor="text1"/>
          <w:sz w:val="28"/>
          <w:szCs w:val="28"/>
          <w14:textFill>
            <w14:solidFill>
              <w14:schemeClr w14:val="tx1"/>
            </w14:solidFill>
          </w14:textFill>
        </w:rPr>
        <w:t>5</w:t>
      </w:r>
      <w:r>
        <w:rPr>
          <w:b/>
          <w:bCs/>
          <w:color w:val="000000" w:themeColor="text1"/>
          <w:sz w:val="28"/>
          <w:szCs w:val="28"/>
          <w14:textFill>
            <w14:solidFill>
              <w14:schemeClr w14:val="tx1"/>
            </w14:solidFill>
          </w14:textFill>
        </w:rPr>
        <w:t>.1</w:t>
      </w:r>
      <w:r>
        <w:rPr>
          <w:rFonts w:hint="eastAsia"/>
          <w:b/>
          <w:bCs/>
          <w:color w:val="000000" w:themeColor="text1"/>
          <w:sz w:val="28"/>
          <w:szCs w:val="28"/>
          <w14:textFill>
            <w14:solidFill>
              <w14:schemeClr w14:val="tx1"/>
            </w14:solidFill>
          </w14:textFill>
        </w:rPr>
        <w:t>环境风险防范措</w:t>
      </w:r>
      <w:r>
        <w:rPr>
          <w:b/>
          <w:bCs/>
          <w:color w:val="000000" w:themeColor="text1"/>
          <w:sz w:val="28"/>
          <w:szCs w:val="28"/>
          <w14:textFill>
            <w14:solidFill>
              <w14:schemeClr w14:val="tx1"/>
            </w14:solidFill>
          </w14:textFill>
        </w:rPr>
        <w:t>施</w:t>
      </w:r>
      <w:bookmarkEnd w:id="76"/>
    </w:p>
    <w:p w14:paraId="127B1C7E">
      <w:pPr>
        <w:pStyle w:val="45"/>
        <w:keepNext w:val="0"/>
        <w:keepLines w:val="0"/>
        <w:pageBreakBefore w:val="0"/>
        <w:widowControl w:val="0"/>
        <w:kinsoku/>
        <w:wordWrap/>
        <w:overflowPunct/>
        <w:topLinePunct w:val="0"/>
        <w:autoSpaceDE/>
        <w:autoSpaceDN/>
        <w:bidi w:val="0"/>
        <w:adjustRightInd/>
        <w:snapToGrid/>
        <w:ind w:firstLine="0" w:firstLineChars="0"/>
        <w:textAlignment w:val="auto"/>
        <w:outlineLvl w:val="2"/>
        <w:rPr>
          <w:b/>
          <w:color w:val="000000" w:themeColor="text1"/>
          <w14:textFill>
            <w14:solidFill>
              <w14:schemeClr w14:val="tx1"/>
            </w14:solidFill>
          </w14:textFill>
        </w:rPr>
      </w:pPr>
      <w:r>
        <w:rPr>
          <w:rFonts w:hint="eastAsia"/>
          <w:b/>
          <w:color w:val="000000" w:themeColor="text1"/>
          <w14:textFill>
            <w14:solidFill>
              <w14:schemeClr w14:val="tx1"/>
            </w14:solidFill>
          </w14:textFill>
        </w:rPr>
        <w:t>5.1.1</w:t>
      </w:r>
      <w:r>
        <w:rPr>
          <w:b/>
          <w:color w:val="000000" w:themeColor="text1"/>
          <w14:textFill>
            <w14:solidFill>
              <w14:schemeClr w14:val="tx1"/>
            </w14:solidFill>
          </w14:textFill>
        </w:rPr>
        <w:t>建立健全的安全环境管理制度</w:t>
      </w:r>
    </w:p>
    <w:p w14:paraId="1800CAEB">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（1）制定和强化健康/安全/环境管理制度，并严格予以执行。</w:t>
      </w:r>
    </w:p>
    <w:p w14:paraId="7175553C">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（2）严格执行我国有关劳动安全、环保与卫生的规范和标准，在设计、施工和运行过程中必须针对可能存在的不安全、不卫生因素采取相应的</w:t>
      </w:r>
      <w:r>
        <w:rPr>
          <w:rFonts w:hint="eastAsia"/>
          <w:color w:val="000000" w:themeColor="text1"/>
          <w14:textFill>
            <w14:solidFill>
              <w14:schemeClr w14:val="tx1"/>
            </w14:solidFill>
          </w14:textFill>
        </w:rPr>
        <w:t>安全防护</w:t>
      </w:r>
      <w:r>
        <w:rPr>
          <w:color w:val="000000" w:themeColor="text1"/>
          <w14:textFill>
            <w14:solidFill>
              <w14:schemeClr w14:val="tx1"/>
            </w14:solidFill>
          </w14:textFill>
        </w:rPr>
        <w:t>措施，消除事故隐患，一旦发生事故应采取有效措施，降低因事故引起的损失和对环境的污染。</w:t>
      </w:r>
    </w:p>
    <w:p w14:paraId="3D53E405">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（3）加强</w:t>
      </w:r>
      <w:r>
        <w:rPr>
          <w:rFonts w:hint="eastAsia"/>
          <w:color w:val="000000" w:themeColor="text1"/>
          <w14:textFill>
            <w14:solidFill>
              <w14:schemeClr w14:val="tx1"/>
            </w14:solidFill>
          </w14:textFill>
        </w:rPr>
        <w:t>罐</w:t>
      </w:r>
      <w:r>
        <w:rPr>
          <w:color w:val="000000" w:themeColor="text1"/>
          <w14:textFill>
            <w14:solidFill>
              <w14:schemeClr w14:val="tx1"/>
            </w14:solidFill>
          </w14:textFill>
        </w:rPr>
        <w:t>区和生产平台的安全环保管理，对公司职工进行安全环保的教育和培训，做到持证上岗，减少人为风险事故（如误操作）的发生。</w:t>
      </w:r>
    </w:p>
    <w:p w14:paraId="565F6C28">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（4）建立应急预案，并与</w:t>
      </w:r>
      <w:r>
        <w:rPr>
          <w:rFonts w:hint="eastAsia"/>
          <w:color w:val="000000" w:themeColor="text1"/>
          <w14:textFill>
            <w14:solidFill>
              <w14:schemeClr w14:val="tx1"/>
            </w14:solidFill>
          </w14:textFill>
        </w:rPr>
        <w:t>园区、</w:t>
      </w:r>
      <w:r>
        <w:rPr>
          <w:color w:val="000000" w:themeColor="text1"/>
          <w14:textFill>
            <w14:solidFill>
              <w14:schemeClr w14:val="tx1"/>
            </w14:solidFill>
          </w14:textFill>
        </w:rPr>
        <w:t>当地</w:t>
      </w:r>
      <w:r>
        <w:rPr>
          <w:rFonts w:hint="eastAsia"/>
          <w:color w:val="000000" w:themeColor="text1"/>
          <w14:textFill>
            <w14:solidFill>
              <w14:schemeClr w14:val="tx1"/>
            </w14:solidFill>
          </w14:textFill>
        </w:rPr>
        <w:t>政府</w:t>
      </w:r>
      <w:r>
        <w:rPr>
          <w:color w:val="000000" w:themeColor="text1"/>
          <w14:textFill>
            <w14:solidFill>
              <w14:schemeClr w14:val="tx1"/>
            </w14:solidFill>
          </w14:textFill>
        </w:rPr>
        <w:t>的应急预案衔接，</w:t>
      </w:r>
      <w:r>
        <w:rPr>
          <w:rFonts w:hint="eastAsia"/>
          <w:color w:val="000000" w:themeColor="text1"/>
          <w14:textFill>
            <w14:solidFill>
              <w14:schemeClr w14:val="tx1"/>
            </w14:solidFill>
          </w14:textFill>
        </w:rPr>
        <w:t>报相关部门备案，</w:t>
      </w:r>
      <w:r>
        <w:rPr>
          <w:color w:val="000000" w:themeColor="text1"/>
          <w14:textFill>
            <w14:solidFill>
              <w14:schemeClr w14:val="tx1"/>
            </w14:solidFill>
          </w14:textFill>
        </w:rPr>
        <w:t>一旦出现事故可借助社会救援，使损失和对环境的污染降到最低。</w:t>
      </w:r>
    </w:p>
    <w:p w14:paraId="25C51A4B">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（5）加强设备、仪表的维修、保养，定期检查各种设备，杜绝事故隐患，降低事故发生概率。定期检查和更换危险化学品的输送设备，杜绝由于设备</w:t>
      </w:r>
      <w:bookmarkStart w:id="78" w:name="Bookmark15"/>
      <w:r>
        <w:rPr>
          <w:color w:val="000000" w:themeColor="text1"/>
          <w14:textFill>
            <w14:solidFill>
              <w14:schemeClr w14:val="tx1"/>
            </w14:solidFill>
          </w14:textFill>
        </w:rPr>
        <w:t>劳损</w:t>
      </w:r>
      <w:bookmarkEnd w:id="78"/>
      <w:r>
        <w:rPr>
          <w:color w:val="000000" w:themeColor="text1"/>
          <w14:textFill>
            <w14:solidFill>
              <w14:schemeClr w14:val="tx1"/>
            </w14:solidFill>
          </w14:textFill>
        </w:rPr>
        <w:t>、折旧带来的事故隐患。</w:t>
      </w:r>
    </w:p>
    <w:p w14:paraId="158E67F8">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（6）对罐区储存物料建立应急档案，根据不同物料的特性，对发生的事故采用针对性的处理办法。</w:t>
      </w:r>
    </w:p>
    <w:p w14:paraId="4C564849">
      <w:pPr>
        <w:pStyle w:val="4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（7）设置专人管理和购买应急物资，并编制应急物资清单和配置计划，定期对应急设备物资的数量、性能等进行检查，加强动态管理并做好记录，确保应急物资储备完备并能在第一时间投入使用。</w:t>
      </w:r>
    </w:p>
    <w:p w14:paraId="0F2AACC1">
      <w:pPr>
        <w:pStyle w:val="4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（8）加强安全管理，定期开展员工培训，提高员工素质、增强操作技能，提升员工的安全意识。</w:t>
      </w:r>
    </w:p>
    <w:p w14:paraId="62CC25A2">
      <w:pPr>
        <w:pStyle w:val="4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（9）按照条块结合，以块为主，部门管理的原则，突发环境事件实行企业、部门、班组、个人分级负责制；根据突发事件的级别，实行分级控制、分级管理。不同等级的突发事件，启动相应级别的预警和响应。</w:t>
      </w:r>
    </w:p>
    <w:p w14:paraId="13375BD4">
      <w:pPr>
        <w:pStyle w:val="45"/>
        <w:keepNext w:val="0"/>
        <w:keepLines w:val="0"/>
        <w:pageBreakBefore w:val="0"/>
        <w:widowControl w:val="0"/>
        <w:kinsoku/>
        <w:wordWrap/>
        <w:overflowPunct/>
        <w:topLinePunct w:val="0"/>
        <w:autoSpaceDE/>
        <w:autoSpaceDN/>
        <w:bidi w:val="0"/>
        <w:adjustRightInd/>
        <w:snapToGrid/>
        <w:ind w:firstLine="198" w:firstLineChars="82"/>
        <w:textAlignment w:val="auto"/>
        <w:outlineLvl w:val="2"/>
        <w:rPr>
          <w:b/>
          <w:color w:val="000000" w:themeColor="text1"/>
          <w14:textFill>
            <w14:solidFill>
              <w14:schemeClr w14:val="tx1"/>
            </w14:solidFill>
          </w14:textFill>
        </w:rPr>
      </w:pPr>
      <w:r>
        <w:rPr>
          <w:rFonts w:hint="eastAsia"/>
          <w:b/>
          <w:color w:val="000000" w:themeColor="text1"/>
          <w14:textFill>
            <w14:solidFill>
              <w14:schemeClr w14:val="tx1"/>
            </w14:solidFill>
          </w14:textFill>
        </w:rPr>
        <w:t>5.1.2</w:t>
      </w:r>
      <w:r>
        <w:rPr>
          <w:b/>
          <w:color w:val="000000" w:themeColor="text1"/>
          <w14:textFill>
            <w14:solidFill>
              <w14:schemeClr w14:val="tx1"/>
            </w14:solidFill>
          </w14:textFill>
        </w:rPr>
        <w:t>选址、总图布置和建筑安全防范措施</w:t>
      </w:r>
    </w:p>
    <w:p w14:paraId="4DCA9979">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项目位于</w:t>
      </w:r>
      <w:r>
        <w:rPr>
          <w:rFonts w:hint="eastAsia"/>
          <w:color w:val="000000" w:themeColor="text1"/>
          <w14:textFill>
            <w14:solidFill>
              <w14:schemeClr w14:val="tx1"/>
            </w14:solidFill>
          </w14:textFill>
        </w:rPr>
        <w:t>钦州保税港区三号路与港区大街交汇处东南面BSA-29-01地块</w:t>
      </w:r>
      <w:r>
        <w:rPr>
          <w:color w:val="000000" w:themeColor="text1"/>
          <w14:textFill>
            <w14:solidFill>
              <w14:schemeClr w14:val="tx1"/>
            </w14:solidFill>
          </w14:textFill>
        </w:rPr>
        <w:t>，所采取的平面布置、土建设计和安全防护措施，根据本项目的物料性质，参照相关的危险物处理手册，采取相应的安全防范措施：</w:t>
      </w:r>
    </w:p>
    <w:p w14:paraId="706E9F68">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（1）厂区平面布置要严格按有关设计规范要求进行。项目</w:t>
      </w:r>
      <w:r>
        <w:rPr>
          <w:rFonts w:hint="eastAsia"/>
          <w:color w:val="000000" w:themeColor="text1"/>
          <w14:textFill>
            <w14:solidFill>
              <w14:schemeClr w14:val="tx1"/>
            </w14:solidFill>
          </w14:textFill>
        </w:rPr>
        <w:t>厂房周边均设有6m左右的道路，每个厂房设置4个出入口，</w:t>
      </w:r>
      <w:r>
        <w:rPr>
          <w:color w:val="000000" w:themeColor="text1"/>
          <w14:textFill>
            <w14:solidFill>
              <w14:schemeClr w14:val="tx1"/>
            </w14:solidFill>
          </w14:textFill>
        </w:rPr>
        <w:t>有利于突发环境事故时人员疏散及外部救援队伍的施救。</w:t>
      </w:r>
    </w:p>
    <w:p w14:paraId="5EE63A90">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（2）厂区不应种植含油脂较多的树木，工艺装置或可燃液体的罐组与周围消防车道之间不宜种植绿篱或茂密的灌木丛；厂区的绿化不应妨碍消防操作。</w:t>
      </w:r>
    </w:p>
    <w:p w14:paraId="416181CD">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（4）本项目运输量较大，装卸、分装场所及道路的设计满足大型车辆行驶及调头的要求。</w:t>
      </w:r>
    </w:p>
    <w:p w14:paraId="54BD66FE">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（5）建筑上遵守国家现行的技术规范和规定。项目厂区</w:t>
      </w:r>
      <w:bookmarkStart w:id="79" w:name="Bookmark19"/>
      <w:r>
        <w:rPr>
          <w:color w:val="000000" w:themeColor="text1"/>
          <w14:textFill>
            <w14:solidFill>
              <w14:schemeClr w14:val="tx1"/>
            </w14:solidFill>
          </w14:textFill>
        </w:rPr>
        <w:t>围挡</w:t>
      </w:r>
      <w:bookmarkEnd w:id="79"/>
      <w:r>
        <w:rPr>
          <w:color w:val="000000" w:themeColor="text1"/>
          <w14:textFill>
            <w14:solidFill>
              <w14:schemeClr w14:val="tx1"/>
            </w14:solidFill>
          </w14:textFill>
        </w:rPr>
        <w:t>、顶棚采用钢架结构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事故应急池、</w:t>
      </w:r>
      <w:r>
        <w:rPr>
          <w:rFonts w:hint="eastAsia"/>
          <w:color w:val="000000" w:themeColor="text1"/>
          <w14:textFill>
            <w14:solidFill>
              <w14:schemeClr w14:val="tx1"/>
            </w14:solidFill>
          </w14:textFill>
        </w:rPr>
        <w:t>危废暂存间、原料库、成品库、生产车间</w:t>
      </w:r>
      <w:r>
        <w:rPr>
          <w:color w:val="000000" w:themeColor="text1"/>
          <w14:textFill>
            <w14:solidFill>
              <w14:schemeClr w14:val="tx1"/>
            </w14:solidFill>
          </w14:textFill>
        </w:rPr>
        <w:t>等采用“人工防</w:t>
      </w:r>
      <w:r>
        <w:rPr>
          <w:rFonts w:hint="eastAsia"/>
          <w:color w:val="000000" w:themeColor="text1"/>
          <w14:textFill>
            <w14:solidFill>
              <w14:schemeClr w14:val="tx1"/>
            </w14:solidFill>
          </w14:textFill>
        </w:rPr>
        <w:t>渗</w:t>
      </w:r>
      <w:r>
        <w:rPr>
          <w:color w:val="000000" w:themeColor="text1"/>
          <w14:textFill>
            <w14:solidFill>
              <w14:schemeClr w14:val="tx1"/>
            </w14:solidFill>
          </w14:textFill>
        </w:rPr>
        <w:t>层为2mm厚高密度聚乙烯+20cm水泥硬化；等效黏土防落层Mb≥6.0m</w:t>
      </w:r>
      <w:bookmarkStart w:id="80" w:name="Bookmark21"/>
      <w:r>
        <w:rPr>
          <w:color w:val="000000" w:themeColor="text1"/>
          <w14:textFill>
            <w14:solidFill>
              <w14:schemeClr w14:val="tx1"/>
            </w14:solidFill>
          </w14:textFill>
        </w:rPr>
        <w:t>，</w:t>
      </w:r>
      <w:bookmarkEnd w:id="80"/>
      <w:r>
        <w:rPr>
          <w:color w:val="000000" w:themeColor="text1"/>
          <w14:textFill>
            <w14:solidFill>
              <w14:schemeClr w14:val="tx1"/>
            </w14:solidFill>
          </w14:textFill>
        </w:rPr>
        <w:t>K≤1×10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cm/s”的防腐防渗的材料；满足防火、防爆、防雷、防静电等要求。所有阀体，包括</w:t>
      </w:r>
      <w:bookmarkStart w:id="81" w:name="Bookmark22"/>
      <w:r>
        <w:rPr>
          <w:color w:val="000000" w:themeColor="text1"/>
          <w14:textFill>
            <w14:solidFill>
              <w14:schemeClr w14:val="tx1"/>
            </w14:solidFill>
          </w14:textFill>
        </w:rPr>
        <w:t>自动</w:t>
      </w:r>
      <w:bookmarkEnd w:id="81"/>
      <w:r>
        <w:rPr>
          <w:rFonts w:hint="eastAsia"/>
          <w:color w:val="000000" w:themeColor="text1"/>
          <w14:textFill>
            <w14:solidFill>
              <w14:schemeClr w14:val="tx1"/>
            </w14:solidFill>
          </w14:textFill>
        </w:rPr>
        <w:t>阀</w:t>
      </w:r>
      <w:r>
        <w:rPr>
          <w:color w:val="000000" w:themeColor="text1"/>
          <w14:textFill>
            <w14:solidFill>
              <w14:schemeClr w14:val="tx1"/>
            </w14:solidFill>
          </w14:textFill>
        </w:rPr>
        <w:t>、切换阀、球阀等均为PVC、衬胶等防腐材质。</w:t>
      </w:r>
      <w:r>
        <w:rPr>
          <w:rFonts w:hint="eastAsia"/>
          <w:color w:val="000000" w:themeColor="text1"/>
          <w14:textFill>
            <w14:solidFill>
              <w14:schemeClr w14:val="tx1"/>
            </w14:solidFill>
          </w14:textFill>
        </w:rPr>
        <w:t>办公生活</w:t>
      </w:r>
      <w:r>
        <w:rPr>
          <w:color w:val="000000" w:themeColor="text1"/>
          <w14:textFill>
            <w14:solidFill>
              <w14:schemeClr w14:val="tx1"/>
            </w14:solidFill>
          </w14:textFill>
        </w:rPr>
        <w:t>区的地面采取混凝土进行</w:t>
      </w:r>
      <w:r>
        <w:rPr>
          <w:rFonts w:hint="eastAsia"/>
          <w:color w:val="000000" w:themeColor="text1"/>
          <w14:textFill>
            <w14:solidFill>
              <w14:schemeClr w14:val="tx1"/>
            </w14:solidFill>
          </w14:textFill>
        </w:rPr>
        <w:t>划分</w:t>
      </w:r>
      <w:r>
        <w:rPr>
          <w:color w:val="000000" w:themeColor="text1"/>
          <w14:textFill>
            <w14:solidFill>
              <w14:schemeClr w14:val="tx1"/>
            </w14:solidFill>
          </w14:textFill>
        </w:rPr>
        <w:t>。生产区梯子、平台及高处通道设置安全栏杆，地沟、水井设盖板，危险场所设置相应的安全标志及事故照明设施。</w:t>
      </w:r>
    </w:p>
    <w:p w14:paraId="754BEC01">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6）根据火灾危险性等级和防火、防爆要求，建筑物按一、二级耐火等级设计，满足建筑防火要求。火灾爆炸危险场所的安全出口及安全疏散距离应符合《建筑设计防火规范》（GB50016-2015）的要求。禁火区设置明显标志牌。</w:t>
      </w:r>
    </w:p>
    <w:p w14:paraId="29BB1FFB">
      <w:pPr>
        <w:pStyle w:val="22"/>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outlineLvl w:val="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5.1.3</w:t>
      </w:r>
      <w:r>
        <w:rPr>
          <w:b/>
          <w:bCs/>
          <w:color w:val="000000" w:themeColor="text1"/>
          <w:sz w:val="24"/>
          <w14:textFill>
            <w14:solidFill>
              <w14:schemeClr w14:val="tx1"/>
            </w14:solidFill>
          </w14:textFill>
        </w:rPr>
        <w:t>大气风险防范措施</w:t>
      </w:r>
    </w:p>
    <w:p w14:paraId="0AC6978F">
      <w:pPr>
        <w:pStyle w:val="22"/>
        <w:spacing w:after="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为确保</w:t>
      </w:r>
      <w:r>
        <w:rPr>
          <w:rFonts w:hint="eastAsia"/>
          <w:color w:val="000000" w:themeColor="text1"/>
          <w:sz w:val="24"/>
          <w14:textFill>
            <w14:solidFill>
              <w14:schemeClr w14:val="tx1"/>
            </w14:solidFill>
          </w14:textFill>
        </w:rPr>
        <w:t>大</w:t>
      </w:r>
      <w:r>
        <w:rPr>
          <w:color w:val="000000" w:themeColor="text1"/>
          <w:sz w:val="24"/>
          <w14:textFill>
            <w14:solidFill>
              <w14:schemeClr w14:val="tx1"/>
            </w14:solidFill>
          </w14:textFill>
        </w:rPr>
        <w:t>气事故不发生，建设单位应采取以下事故性防范保护措施：各生产环节严格执行生产管理的有关规定，加强设备的检修及保养，提高管理人员素质，并设置事故应急措施及管理制度，确保设备长期处于良好状态，使设备达到预期的处理效果。</w:t>
      </w:r>
      <w:r>
        <w:rPr>
          <w:rFonts w:hint="eastAsia"/>
          <w:color w:val="000000" w:themeColor="text1"/>
          <w:sz w:val="24"/>
          <w14:textFill>
            <w14:solidFill>
              <w14:schemeClr w14:val="tx1"/>
            </w14:solidFill>
          </w14:textFill>
        </w:rPr>
        <w:t>进一步落实定期巡检和维护责任制度，保障应对风险事故的处理能力。</w:t>
      </w:r>
    </w:p>
    <w:p w14:paraId="7FB10556">
      <w:pPr>
        <w:pStyle w:val="22"/>
        <w:spacing w:after="0" w:line="360" w:lineRule="auto"/>
        <w:ind w:firstLine="480" w:firstLineChars="200"/>
        <w:rPr>
          <w:color w:val="000000" w:themeColor="text1"/>
          <w:sz w:val="24"/>
          <w:u w:val="single"/>
          <w14:textFill>
            <w14:solidFill>
              <w14:schemeClr w14:val="tx1"/>
            </w14:solidFill>
          </w14:textFill>
        </w:rPr>
      </w:pPr>
      <w:r>
        <w:rPr>
          <w:color w:val="000000" w:themeColor="text1"/>
          <w:sz w:val="24"/>
          <w14:textFill>
            <w14:solidFill>
              <w14:schemeClr w14:val="tx1"/>
            </w14:solidFill>
          </w14:textFill>
        </w:rPr>
        <w:t>现场作业人员定时记录废气处理状况，</w:t>
      </w:r>
      <w:r>
        <w:rPr>
          <w:rFonts w:hint="eastAsia"/>
          <w:color w:val="000000" w:themeColor="text1"/>
          <w:sz w:val="24"/>
          <w14:textFill>
            <w14:solidFill>
              <w14:schemeClr w14:val="tx1"/>
            </w14:solidFill>
          </w14:textFill>
        </w:rPr>
        <w:t>并</w:t>
      </w:r>
      <w:r>
        <w:rPr>
          <w:color w:val="000000" w:themeColor="text1"/>
          <w:sz w:val="24"/>
          <w14:textFill>
            <w14:solidFill>
              <w14:schemeClr w14:val="tx1"/>
            </w14:solidFill>
          </w14:textFill>
        </w:rPr>
        <w:t>对</w:t>
      </w:r>
      <w:r>
        <w:rPr>
          <w:rFonts w:hint="eastAsia"/>
          <w:color w:val="000000" w:themeColor="text1"/>
          <w:sz w:val="24"/>
          <w:lang w:val="en-US" w:eastAsia="zh-CN"/>
          <w14:textFill>
            <w14:solidFill>
              <w14:schemeClr w14:val="tx1"/>
            </w14:solidFill>
          </w14:textFill>
        </w:rPr>
        <w:t>旋风除尘器、</w:t>
      </w:r>
      <w:r>
        <w:rPr>
          <w:rFonts w:hint="eastAsia"/>
          <w:color w:val="000000" w:themeColor="text1"/>
          <w:sz w:val="24"/>
          <w14:textFill>
            <w14:solidFill>
              <w14:schemeClr w14:val="tx1"/>
            </w14:solidFill>
          </w14:textFill>
        </w:rPr>
        <w:t>布袋除尘器、喷淋塔</w:t>
      </w:r>
      <w:r>
        <w:rPr>
          <w:color w:val="000000" w:themeColor="text1"/>
          <w:sz w:val="24"/>
          <w14:textFill>
            <w14:solidFill>
              <w14:schemeClr w14:val="tx1"/>
            </w14:solidFill>
          </w14:textFill>
        </w:rPr>
        <w:t>等设备进行</w:t>
      </w:r>
      <w:r>
        <w:rPr>
          <w:rFonts w:hint="eastAsia"/>
          <w:color w:val="000000" w:themeColor="text1"/>
          <w:sz w:val="24"/>
          <w14:textFill>
            <w14:solidFill>
              <w14:schemeClr w14:val="tx1"/>
            </w14:solidFill>
          </w14:textFill>
        </w:rPr>
        <w:t>检查</w:t>
      </w:r>
      <w:r>
        <w:rPr>
          <w:color w:val="000000" w:themeColor="text1"/>
          <w:sz w:val="24"/>
          <w14:textFill>
            <w14:solidFill>
              <w14:schemeClr w14:val="tx1"/>
            </w14:solidFill>
          </w14:textFill>
        </w:rPr>
        <w:t>，并派专人巡视，遇不良工作状况立即停止车间相关作业，维持正常后再开始工作，</w:t>
      </w:r>
      <w:r>
        <w:rPr>
          <w:rFonts w:hint="eastAsia"/>
          <w:color w:val="000000" w:themeColor="text1"/>
          <w:sz w:val="24"/>
          <w14:textFill>
            <w14:solidFill>
              <w14:schemeClr w14:val="tx1"/>
            </w14:solidFill>
          </w14:textFill>
        </w:rPr>
        <w:t>杜</w:t>
      </w:r>
      <w:r>
        <w:rPr>
          <w:color w:val="000000" w:themeColor="text1"/>
          <w:sz w:val="24"/>
          <w14:textFill>
            <w14:solidFill>
              <w14:schemeClr w14:val="tx1"/>
            </w14:solidFill>
          </w14:textFill>
        </w:rPr>
        <w:t>绝事故性废气排放，并及时呈报建设单位相关负责人。待检修完毕再通知生产车间相关工序</w:t>
      </w:r>
      <w:r>
        <w:rPr>
          <w:rFonts w:hint="eastAsia"/>
          <w:color w:val="000000" w:themeColor="text1"/>
          <w:sz w:val="24"/>
          <w14:textFill>
            <w14:solidFill>
              <w14:schemeClr w14:val="tx1"/>
            </w14:solidFill>
          </w14:textFill>
        </w:rPr>
        <w:t>生产</w:t>
      </w:r>
      <w:r>
        <w:rPr>
          <w:color w:val="000000" w:themeColor="text1"/>
          <w:sz w:val="24"/>
          <w14:textFill>
            <w14:solidFill>
              <w14:schemeClr w14:val="tx1"/>
            </w14:solidFill>
          </w14:textFill>
        </w:rPr>
        <w:t>。</w:t>
      </w:r>
    </w:p>
    <w:p w14:paraId="774EEBDB">
      <w:pPr>
        <w:pStyle w:val="45"/>
        <w:ind w:firstLine="480"/>
        <w:rPr>
          <w:b/>
          <w:color w:val="000000" w:themeColor="text1"/>
          <w:u w:val="single"/>
          <w14:textFill>
            <w14:solidFill>
              <w14:schemeClr w14:val="tx1"/>
            </w14:solidFill>
          </w14:textFill>
        </w:rPr>
      </w:pPr>
      <w:r>
        <w:rPr>
          <w:rFonts w:hint="eastAsia"/>
          <w:color w:val="000000" w:themeColor="text1"/>
          <w14:textFill>
            <w14:solidFill>
              <w14:schemeClr w14:val="tx1"/>
            </w14:solidFill>
          </w14:textFill>
        </w:rPr>
        <w:t>根据事故影响分析，氨毒性终点浓度最远出现距离为195.4</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，二氧化硫毒性终点浓度最远出现距离为172.9</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，因此</w:t>
      </w:r>
      <w:r>
        <w:rPr>
          <w:color w:val="000000" w:themeColor="text1"/>
          <w14:textFill>
            <w14:solidFill>
              <w14:schemeClr w14:val="tx1"/>
            </w14:solidFill>
          </w14:textFill>
        </w:rPr>
        <w:t>发生突发环境风险事故时，应</w:t>
      </w:r>
      <w:r>
        <w:rPr>
          <w:rFonts w:hint="eastAsia"/>
          <w:color w:val="000000" w:themeColor="text1"/>
          <w14:textFill>
            <w14:solidFill>
              <w14:schemeClr w14:val="tx1"/>
            </w14:solidFill>
          </w14:textFill>
        </w:rPr>
        <w:t>及时</w:t>
      </w:r>
      <w:r>
        <w:rPr>
          <w:color w:val="000000" w:themeColor="text1"/>
          <w14:textFill>
            <w14:solidFill>
              <w14:schemeClr w14:val="tx1"/>
            </w14:solidFill>
          </w14:textFill>
        </w:rPr>
        <w:t>远离</w:t>
      </w:r>
      <w:r>
        <w:rPr>
          <w:rFonts w:hint="eastAsia"/>
          <w:color w:val="000000" w:themeColor="text1"/>
          <w14:textFill>
            <w14:solidFill>
              <w14:schemeClr w14:val="tx1"/>
            </w14:solidFill>
          </w14:textFill>
        </w:rPr>
        <w:t>事故地点</w:t>
      </w:r>
      <w:r>
        <w:rPr>
          <w:color w:val="000000" w:themeColor="text1"/>
          <w14:textFill>
            <w14:solidFill>
              <w14:schemeClr w14:val="tx1"/>
            </w14:solidFill>
          </w14:textFill>
        </w:rPr>
        <w:t>，向当天风向的上风向</w:t>
      </w:r>
      <w:r>
        <w:rPr>
          <w:rFonts w:hint="eastAsia"/>
          <w:color w:val="000000" w:themeColor="text1"/>
          <w14:textFill>
            <w14:solidFill>
              <w14:schemeClr w14:val="tx1"/>
            </w14:solidFill>
          </w14:textFill>
        </w:rPr>
        <w:t>或侧风向，距离事故发生地大于5</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m处</w:t>
      </w:r>
      <w:r>
        <w:rPr>
          <w:color w:val="000000" w:themeColor="text1"/>
          <w14:textFill>
            <w14:solidFill>
              <w14:schemeClr w14:val="tx1"/>
            </w14:solidFill>
          </w14:textFill>
        </w:rPr>
        <w:t>疏散</w:t>
      </w:r>
      <w:r>
        <w:rPr>
          <w:rFonts w:hint="eastAsia"/>
          <w:color w:val="000000" w:themeColor="text1"/>
          <w14:textFill>
            <w14:solidFill>
              <w14:schemeClr w14:val="tx1"/>
            </w14:solidFill>
          </w14:textFill>
        </w:rPr>
        <w:t>人员</w:t>
      </w:r>
      <w:r>
        <w:rPr>
          <w:color w:val="000000" w:themeColor="text1"/>
          <w14:textFill>
            <w14:solidFill>
              <w14:schemeClr w14:val="tx1"/>
            </w14:solidFill>
          </w14:textFill>
        </w:rPr>
        <w:t>，将应急疏散集合点设置于厂区外</w:t>
      </w:r>
      <w:r>
        <w:rPr>
          <w:rFonts w:hint="eastAsia"/>
          <w:color w:val="000000" w:themeColor="text1"/>
          <w14:textFill>
            <w14:solidFill>
              <w14:schemeClr w14:val="tx1"/>
            </w14:solidFill>
          </w14:textFill>
        </w:rPr>
        <w:t>南</w:t>
      </w:r>
      <w:r>
        <w:rPr>
          <w:color w:val="000000" w:themeColor="text1"/>
          <w14:textFill>
            <w14:solidFill>
              <w14:schemeClr w14:val="tx1"/>
            </w14:solidFill>
          </w14:textFill>
        </w:rPr>
        <w:t>面，远离项目</w:t>
      </w:r>
      <w:r>
        <w:rPr>
          <w:rFonts w:hint="eastAsia"/>
          <w:color w:val="000000" w:themeColor="text1"/>
          <w14:textFill>
            <w14:solidFill>
              <w14:schemeClr w14:val="tx1"/>
            </w14:solidFill>
          </w14:textFill>
        </w:rPr>
        <w:t>厂区</w:t>
      </w:r>
      <w:r>
        <w:rPr>
          <w:color w:val="000000" w:themeColor="text1"/>
          <w14:textFill>
            <w14:solidFill>
              <w14:schemeClr w14:val="tx1"/>
            </w14:solidFill>
          </w14:textFill>
        </w:rPr>
        <w:t>且交通较</w:t>
      </w:r>
      <w:r>
        <w:rPr>
          <w:rFonts w:hint="eastAsia"/>
          <w:color w:val="000000" w:themeColor="text1"/>
          <w14:textFill>
            <w14:solidFill>
              <w14:schemeClr w14:val="tx1"/>
            </w14:solidFill>
          </w14:textFill>
        </w:rPr>
        <w:t>便</w:t>
      </w:r>
      <w:r>
        <w:rPr>
          <w:color w:val="000000" w:themeColor="text1"/>
          <w14:textFill>
            <w14:solidFill>
              <w14:schemeClr w14:val="tx1"/>
            </w14:solidFill>
          </w14:textFill>
        </w:rPr>
        <w:t>利。</w:t>
      </w:r>
    </w:p>
    <w:p w14:paraId="3560926D">
      <w:pPr>
        <w:pStyle w:val="45"/>
        <w:keepNext w:val="0"/>
        <w:keepLines w:val="0"/>
        <w:pageBreakBefore w:val="0"/>
        <w:widowControl w:val="0"/>
        <w:kinsoku/>
        <w:wordWrap/>
        <w:overflowPunct/>
        <w:topLinePunct w:val="0"/>
        <w:autoSpaceDE/>
        <w:autoSpaceDN/>
        <w:bidi w:val="0"/>
        <w:adjustRightInd/>
        <w:snapToGrid/>
        <w:ind w:firstLine="0" w:firstLineChars="0"/>
        <w:textAlignment w:val="auto"/>
        <w:outlineLvl w:val="2"/>
        <w:rPr>
          <w:color w:val="000000" w:themeColor="text1"/>
          <w14:textFill>
            <w14:solidFill>
              <w14:schemeClr w14:val="tx1"/>
            </w14:solidFill>
          </w14:textFill>
        </w:rPr>
      </w:pPr>
      <w:r>
        <w:rPr>
          <w:rFonts w:hint="eastAsia"/>
          <w:b/>
          <w:color w:val="000000" w:themeColor="text1"/>
          <w14:textFill>
            <w14:solidFill>
              <w14:schemeClr w14:val="tx1"/>
            </w14:solidFill>
          </w14:textFill>
        </w:rPr>
        <w:t>5.1.4</w:t>
      </w:r>
      <w:r>
        <w:rPr>
          <w:b/>
          <w:color w:val="000000" w:themeColor="text1"/>
          <w14:textFill>
            <w14:solidFill>
              <w14:schemeClr w14:val="tx1"/>
            </w14:solidFill>
          </w14:textFill>
        </w:rPr>
        <w:t xml:space="preserve">水环境防范措施 </w:t>
      </w:r>
    </w:p>
    <w:p w14:paraId="54DE3970">
      <w:pPr>
        <w:widowControl/>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为避免项目</w:t>
      </w:r>
      <w:r>
        <w:rPr>
          <w:rFonts w:hint="eastAsia"/>
          <w:color w:val="000000" w:themeColor="text1"/>
          <w:kern w:val="0"/>
          <w:sz w:val="24"/>
          <w:lang w:bidi="ar"/>
          <w14:textFill>
            <w14:solidFill>
              <w14:schemeClr w14:val="tx1"/>
            </w14:solidFill>
          </w14:textFill>
        </w:rPr>
        <w:t>消防</w:t>
      </w:r>
      <w:r>
        <w:rPr>
          <w:color w:val="000000" w:themeColor="text1"/>
          <w:kern w:val="0"/>
          <w:sz w:val="24"/>
          <w:lang w:bidi="ar"/>
          <w14:textFill>
            <w14:solidFill>
              <w14:schemeClr w14:val="tx1"/>
            </w14:solidFill>
          </w14:textFill>
        </w:rPr>
        <w:t>废水进入外环境造成污染，项目设置三级风险防范措施：</w:t>
      </w:r>
    </w:p>
    <w:p w14:paraId="6C4E4F5B">
      <w:pPr>
        <w:widowControl/>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①一级风险防范措施——</w:t>
      </w:r>
      <w:r>
        <w:rPr>
          <w:rFonts w:hint="eastAsia"/>
          <w:color w:val="000000" w:themeColor="text1"/>
          <w:kern w:val="0"/>
          <w:sz w:val="24"/>
          <w:lang w:bidi="ar"/>
          <w14:textFill>
            <w14:solidFill>
              <w14:schemeClr w14:val="tx1"/>
            </w14:solidFill>
          </w14:textFill>
        </w:rPr>
        <w:t>生产单元</w:t>
      </w:r>
      <w:r>
        <w:rPr>
          <w:color w:val="000000" w:themeColor="text1"/>
          <w:kern w:val="0"/>
          <w:sz w:val="24"/>
          <w:lang w:bidi="ar"/>
          <w14:textFill>
            <w14:solidFill>
              <w14:schemeClr w14:val="tx1"/>
            </w14:solidFill>
          </w14:textFill>
        </w:rPr>
        <w:t xml:space="preserve"> </w:t>
      </w:r>
    </w:p>
    <w:p w14:paraId="134755D0">
      <w:pPr>
        <w:widowControl/>
        <w:adjustRightInd w:val="0"/>
        <w:snapToGrid w:val="0"/>
        <w:spacing w:line="360" w:lineRule="auto"/>
        <w:ind w:firstLine="480" w:firstLineChars="200"/>
        <w:jc w:val="left"/>
        <w:rPr>
          <w:rFonts w:hint="eastAsia" w:ascii="宋体" w:hAnsi="宋体" w:cs="宋体"/>
          <w:color w:val="000000" w:themeColor="text1"/>
          <w:kern w:val="0"/>
          <w:sz w:val="24"/>
          <w14:textFill>
            <w14:solidFill>
              <w14:schemeClr w14:val="tx1"/>
            </w14:solidFill>
          </w14:textFill>
        </w:rPr>
      </w:pPr>
      <w:r>
        <w:rPr>
          <w:rFonts w:hint="eastAsia"/>
          <w:color w:val="000000" w:themeColor="text1"/>
          <w:kern w:val="0"/>
          <w:sz w:val="24"/>
          <w:lang w:bidi="ar"/>
          <w14:textFill>
            <w14:solidFill>
              <w14:schemeClr w14:val="tx1"/>
            </w14:solidFill>
          </w14:textFill>
        </w:rPr>
        <w:t>生产车间、原料库、成品库四周设置集水沟</w:t>
      </w:r>
      <w:r>
        <w:rPr>
          <w:color w:val="000000" w:themeColor="text1"/>
          <w:kern w:val="0"/>
          <w:sz w:val="24"/>
          <w:lang w:bidi="ar"/>
          <w14:textFill>
            <w14:solidFill>
              <w14:schemeClr w14:val="tx1"/>
            </w14:solidFill>
          </w14:textFill>
        </w:rPr>
        <w:t>（如导流设施、清污水切换设施等）</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与厂区事故应急池相连，可及时将废水导排至事故应急池。并对生产车间、</w:t>
      </w:r>
      <w:r>
        <w:rPr>
          <w:rFonts w:hint="eastAsia"/>
          <w:color w:val="000000" w:themeColor="text1"/>
          <w:kern w:val="0"/>
          <w:sz w:val="24"/>
          <w:lang w:bidi="ar"/>
          <w14:textFill>
            <w14:solidFill>
              <w14:schemeClr w14:val="tx1"/>
            </w14:solidFill>
          </w14:textFill>
        </w:rPr>
        <w:t>原料库、成品库</w:t>
      </w:r>
      <w:r>
        <w:rPr>
          <w:color w:val="000000" w:themeColor="text1"/>
          <w:kern w:val="0"/>
          <w:sz w:val="24"/>
          <w:lang w:bidi="ar"/>
          <w14:textFill>
            <w14:solidFill>
              <w14:schemeClr w14:val="tx1"/>
            </w14:solidFill>
          </w14:textFill>
        </w:rPr>
        <w:t>、事故</w:t>
      </w:r>
      <w:r>
        <w:rPr>
          <w:rFonts w:hint="eastAsia"/>
          <w:color w:val="000000" w:themeColor="text1"/>
          <w:kern w:val="0"/>
          <w:sz w:val="24"/>
          <w:lang w:bidi="ar"/>
          <w14:textFill>
            <w14:solidFill>
              <w14:schemeClr w14:val="tx1"/>
            </w14:solidFill>
          </w14:textFill>
        </w:rPr>
        <w:t>应急</w:t>
      </w:r>
      <w:r>
        <w:rPr>
          <w:color w:val="000000" w:themeColor="text1"/>
          <w:kern w:val="0"/>
          <w:sz w:val="24"/>
          <w:lang w:bidi="ar"/>
          <w14:textFill>
            <w14:solidFill>
              <w14:schemeClr w14:val="tx1"/>
            </w14:solidFill>
          </w14:textFill>
        </w:rPr>
        <w:t>池</w:t>
      </w:r>
      <w:r>
        <w:rPr>
          <w:rFonts w:hint="eastAsia"/>
          <w:color w:val="000000" w:themeColor="text1"/>
          <w:kern w:val="0"/>
          <w:sz w:val="24"/>
          <w:lang w:bidi="ar"/>
          <w14:textFill>
            <w14:solidFill>
              <w14:schemeClr w14:val="tx1"/>
            </w14:solidFill>
          </w14:textFill>
        </w:rPr>
        <w:t>等</w:t>
      </w:r>
      <w:r>
        <w:rPr>
          <w:color w:val="000000" w:themeColor="text1"/>
          <w:kern w:val="0"/>
          <w:sz w:val="24"/>
          <w:lang w:bidi="ar"/>
          <w14:textFill>
            <w14:solidFill>
              <w14:schemeClr w14:val="tx1"/>
            </w14:solidFill>
          </w14:textFill>
        </w:rPr>
        <w:t>进行</w:t>
      </w:r>
      <w:bookmarkStart w:id="82" w:name="Bookmark52"/>
      <w:r>
        <w:rPr>
          <w:color w:val="000000" w:themeColor="text1"/>
          <w:kern w:val="0"/>
          <w:sz w:val="24"/>
          <w:lang w:bidi="ar"/>
          <w14:textFill>
            <w14:solidFill>
              <w14:schemeClr w14:val="tx1"/>
            </w14:solidFill>
          </w14:textFill>
        </w:rPr>
        <w:t>硬化</w:t>
      </w:r>
      <w:bookmarkEnd w:id="82"/>
      <w:r>
        <w:rPr>
          <w:color w:val="000000" w:themeColor="text1"/>
          <w:kern w:val="0"/>
          <w:sz w:val="24"/>
          <w:lang w:bidi="ar"/>
          <w14:textFill>
            <w14:solidFill>
              <w14:schemeClr w14:val="tx1"/>
            </w14:solidFill>
          </w14:textFill>
        </w:rPr>
        <w:t>、防腐、防渗处理。</w:t>
      </w:r>
    </w:p>
    <w:p w14:paraId="32B3DADD">
      <w:pPr>
        <w:widowControl/>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若发生</w:t>
      </w:r>
      <w:r>
        <w:rPr>
          <w:rFonts w:hint="eastAsia"/>
          <w:color w:val="000000" w:themeColor="text1"/>
          <w:kern w:val="0"/>
          <w:sz w:val="24"/>
          <w:lang w:bidi="ar"/>
          <w14:textFill>
            <w14:solidFill>
              <w14:schemeClr w14:val="tx1"/>
            </w14:solidFill>
          </w14:textFill>
        </w:rPr>
        <w:t>火灾</w:t>
      </w:r>
      <w:r>
        <w:rPr>
          <w:color w:val="000000" w:themeColor="text1"/>
          <w:kern w:val="0"/>
          <w:sz w:val="24"/>
          <w:lang w:bidi="ar"/>
          <w14:textFill>
            <w14:solidFill>
              <w14:schemeClr w14:val="tx1"/>
            </w14:solidFill>
          </w14:textFill>
        </w:rPr>
        <w:t>事故，</w:t>
      </w:r>
      <w:r>
        <w:rPr>
          <w:rFonts w:hint="eastAsia"/>
          <w:color w:val="000000" w:themeColor="text1"/>
          <w:kern w:val="0"/>
          <w:sz w:val="24"/>
          <w:lang w:bidi="ar"/>
          <w14:textFill>
            <w14:solidFill>
              <w14:schemeClr w14:val="tx1"/>
            </w14:solidFill>
          </w14:textFill>
        </w:rPr>
        <w:t>消防废水</w:t>
      </w:r>
      <w:r>
        <w:rPr>
          <w:color w:val="000000" w:themeColor="text1"/>
          <w:kern w:val="0"/>
          <w:sz w:val="24"/>
          <w:lang w:bidi="ar"/>
          <w14:textFill>
            <w14:solidFill>
              <w14:schemeClr w14:val="tx1"/>
            </w14:solidFill>
          </w14:textFill>
        </w:rPr>
        <w:t>进入集水沟，</w:t>
      </w:r>
      <w:r>
        <w:rPr>
          <w:rFonts w:hint="eastAsia"/>
          <w:color w:val="000000" w:themeColor="text1"/>
          <w:kern w:val="0"/>
          <w:sz w:val="24"/>
          <w:lang w:bidi="ar"/>
          <w14:textFill>
            <w14:solidFill>
              <w14:schemeClr w14:val="tx1"/>
            </w14:solidFill>
          </w14:textFill>
        </w:rPr>
        <w:t>排入事故应急池，</w:t>
      </w:r>
      <w:r>
        <w:rPr>
          <w:color w:val="000000" w:themeColor="text1"/>
          <w:kern w:val="0"/>
          <w:sz w:val="24"/>
          <w:lang w:bidi="ar"/>
          <w14:textFill>
            <w14:solidFill>
              <w14:schemeClr w14:val="tx1"/>
            </w14:solidFill>
          </w14:textFill>
        </w:rPr>
        <w:t>待事故妥善处理后</w:t>
      </w:r>
      <w:r>
        <w:rPr>
          <w:rFonts w:hint="eastAsia"/>
          <w:color w:val="000000" w:themeColor="text1"/>
          <w:kern w:val="0"/>
          <w:sz w:val="24"/>
          <w:lang w:bidi="ar"/>
          <w14:textFill>
            <w14:solidFill>
              <w14:schemeClr w14:val="tx1"/>
            </w14:solidFill>
          </w14:textFill>
        </w:rPr>
        <w:t>，根据废水情况委托有资质单位外运处置或</w:t>
      </w:r>
      <w:r>
        <w:rPr>
          <w:color w:val="000000" w:themeColor="text1"/>
          <w:kern w:val="0"/>
          <w:sz w:val="24"/>
          <w:lang w:bidi="ar"/>
          <w14:textFill>
            <w14:solidFill>
              <w14:schemeClr w14:val="tx1"/>
            </w14:solidFill>
          </w14:textFill>
        </w:rPr>
        <w:t>运至</w:t>
      </w:r>
      <w:r>
        <w:rPr>
          <w:rFonts w:hint="eastAsia"/>
          <w:color w:val="000000" w:themeColor="text1"/>
          <w:kern w:val="0"/>
          <w:sz w:val="24"/>
          <w:lang w:bidi="ar"/>
          <w14:textFill>
            <w14:solidFill>
              <w14:schemeClr w14:val="tx1"/>
            </w14:solidFill>
          </w14:textFill>
        </w:rPr>
        <w:t>大榄坪污水处理厂</w:t>
      </w:r>
      <w:r>
        <w:rPr>
          <w:color w:val="000000" w:themeColor="text1"/>
          <w:kern w:val="0"/>
          <w:sz w:val="24"/>
          <w:lang w:bidi="ar"/>
          <w14:textFill>
            <w14:solidFill>
              <w14:schemeClr w14:val="tx1"/>
            </w14:solidFill>
          </w14:textFill>
        </w:rPr>
        <w:t>处理</w:t>
      </w:r>
      <w:r>
        <w:rPr>
          <w:rFonts w:hint="eastAsia"/>
          <w:color w:val="000000" w:themeColor="text1"/>
          <w:kern w:val="0"/>
          <w:sz w:val="24"/>
          <w:lang w:bidi="ar"/>
          <w14:textFill>
            <w14:solidFill>
              <w14:schemeClr w14:val="tx1"/>
            </w14:solidFill>
          </w14:textFill>
        </w:rPr>
        <w:t>后</w:t>
      </w:r>
      <w:r>
        <w:rPr>
          <w:color w:val="000000" w:themeColor="text1"/>
          <w:kern w:val="0"/>
          <w:sz w:val="24"/>
          <w:lang w:bidi="ar"/>
          <w14:textFill>
            <w14:solidFill>
              <w14:schemeClr w14:val="tx1"/>
            </w14:solidFill>
          </w14:textFill>
        </w:rPr>
        <w:t xml:space="preserve">达标排放。必要时可向镇级应急处理指挥部门请求援助，根据突发环境事件对应的应急等级启动应急程序。 </w:t>
      </w:r>
    </w:p>
    <w:p w14:paraId="38E02302">
      <w:pPr>
        <w:widowControl/>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（2）二级风险防范措施——</w:t>
      </w:r>
      <w:r>
        <w:rPr>
          <w:rFonts w:hint="eastAsia"/>
          <w:color w:val="000000" w:themeColor="text1"/>
          <w:kern w:val="0"/>
          <w:sz w:val="24"/>
          <w:lang w:bidi="ar"/>
          <w14:textFill>
            <w14:solidFill>
              <w14:schemeClr w14:val="tx1"/>
            </w14:solidFill>
          </w14:textFill>
        </w:rPr>
        <w:t>厂区</w:t>
      </w:r>
    </w:p>
    <w:p w14:paraId="09ABCB96">
      <w:pPr>
        <w:widowControl/>
        <w:adjustRightInd w:val="0"/>
        <w:snapToGrid w:val="0"/>
        <w:spacing w:line="360" w:lineRule="auto"/>
        <w:ind w:firstLine="480" w:firstLineChars="200"/>
        <w:jc w:val="left"/>
        <w:rPr>
          <w:color w:val="000000" w:themeColor="text1"/>
          <w:sz w:val="24"/>
          <w14:textFill>
            <w14:solidFill>
              <w14:schemeClr w14:val="tx1"/>
            </w14:solidFill>
          </w14:textFill>
        </w:rPr>
      </w:pPr>
      <w:bookmarkStart w:id="83" w:name="_Hlk157669291"/>
      <w:r>
        <w:rPr>
          <w:color w:val="000000" w:themeColor="text1"/>
          <w:kern w:val="0"/>
          <w:sz w:val="24"/>
          <w:lang w:bidi="ar"/>
          <w14:textFill>
            <w14:solidFill>
              <w14:schemeClr w14:val="tx1"/>
            </w14:solidFill>
          </w14:textFill>
        </w:rPr>
        <w:t>根据前文5.1源项分析，项目设置一个</w:t>
      </w:r>
      <w:r>
        <w:rPr>
          <w:rFonts w:hint="eastAsia"/>
          <w:color w:val="000000" w:themeColor="text1"/>
          <w:kern w:val="0"/>
          <w:sz w:val="24"/>
          <w:lang w:bidi="ar"/>
          <w14:textFill>
            <w14:solidFill>
              <w14:schemeClr w14:val="tx1"/>
            </w14:solidFill>
          </w14:textFill>
        </w:rPr>
        <w:t>350</w:t>
      </w:r>
      <w:r>
        <w:rPr>
          <w:color w:val="000000" w:themeColor="text1"/>
          <w:kern w:val="0"/>
          <w:sz w:val="24"/>
          <w:lang w:bidi="ar"/>
          <w14:textFill>
            <w14:solidFill>
              <w14:schemeClr w14:val="tx1"/>
            </w14:solidFill>
          </w14:textFill>
        </w:rPr>
        <w:t>m</w:t>
      </w:r>
      <w:r>
        <w:rPr>
          <w:color w:val="000000" w:themeColor="text1"/>
          <w:kern w:val="0"/>
          <w:sz w:val="24"/>
          <w:vertAlign w:val="superscript"/>
          <w:lang w:bidi="ar"/>
          <w14:textFill>
            <w14:solidFill>
              <w14:schemeClr w14:val="tx1"/>
            </w14:solidFill>
          </w14:textFill>
        </w:rPr>
        <w:t>3</w:t>
      </w:r>
      <w:r>
        <w:rPr>
          <w:color w:val="000000" w:themeColor="text1"/>
          <w:kern w:val="0"/>
          <w:sz w:val="24"/>
          <w:lang w:bidi="ar"/>
          <w14:textFill>
            <w14:solidFill>
              <w14:schemeClr w14:val="tx1"/>
            </w14:solidFill>
          </w14:textFill>
        </w:rPr>
        <w:t>的事故应急池</w:t>
      </w:r>
      <w:r>
        <w:rPr>
          <w:rFonts w:hint="eastAsia"/>
          <w:color w:val="000000" w:themeColor="text1"/>
          <w:kern w:val="0"/>
          <w:sz w:val="24"/>
          <w:lang w:bidi="ar"/>
          <w14:textFill>
            <w14:solidFill>
              <w14:schemeClr w14:val="tx1"/>
            </w14:solidFill>
          </w14:textFill>
        </w:rPr>
        <w:t>，</w:t>
      </w:r>
      <w:bookmarkEnd w:id="83"/>
      <w:r>
        <w:rPr>
          <w:color w:val="000000" w:themeColor="text1"/>
          <w:kern w:val="0"/>
          <w:sz w:val="24"/>
          <w:lang w:bidi="ar"/>
          <w14:textFill>
            <w14:solidFill>
              <w14:schemeClr w14:val="tx1"/>
            </w14:solidFill>
          </w14:textFill>
        </w:rPr>
        <w:t>事故应急池采用</w:t>
      </w:r>
      <w:r>
        <w:rPr>
          <w:color w:val="000000" w:themeColor="text1"/>
          <w:sz w:val="24"/>
          <w14:textFill>
            <w14:solidFill>
              <w14:schemeClr w14:val="tx1"/>
            </w14:solidFill>
          </w14:textFill>
        </w:rPr>
        <w:t>人工防层为2mm厚高密度聚乙烯+20cm水泥硬化；等效黏土防层Mb≥6.0m</w:t>
      </w:r>
      <w:bookmarkStart w:id="84" w:name="Bookmark54"/>
      <w:r>
        <w:rPr>
          <w:color w:val="000000" w:themeColor="text1"/>
          <w:sz w:val="24"/>
          <w14:textFill>
            <w14:solidFill>
              <w14:schemeClr w14:val="tx1"/>
            </w14:solidFill>
          </w14:textFill>
        </w:rPr>
        <w:t>，</w:t>
      </w:r>
      <w:bookmarkEnd w:id="84"/>
      <w:r>
        <w:rPr>
          <w:color w:val="000000" w:themeColor="text1"/>
          <w:sz w:val="24"/>
          <w14:textFill>
            <w14:solidFill>
              <w14:schemeClr w14:val="tx1"/>
            </w14:solidFill>
          </w14:textFill>
        </w:rPr>
        <w:t>K≤1×10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w:t>
      </w:r>
      <w:r>
        <w:rPr>
          <w:color w:val="000000" w:themeColor="text1"/>
          <w:kern w:val="0"/>
          <w:sz w:val="24"/>
          <w:lang w:bidi="ar"/>
          <w14:textFill>
            <w14:solidFill>
              <w14:schemeClr w14:val="tx1"/>
            </w14:solidFill>
          </w14:textFill>
        </w:rPr>
        <w:t>正常情况下，保证事故</w:t>
      </w:r>
      <w:r>
        <w:rPr>
          <w:rFonts w:hint="eastAsia"/>
          <w:color w:val="000000" w:themeColor="text1"/>
          <w:kern w:val="0"/>
          <w:sz w:val="24"/>
          <w:lang w:bidi="ar"/>
          <w14:textFill>
            <w14:solidFill>
              <w14:schemeClr w14:val="tx1"/>
            </w14:solidFill>
          </w14:textFill>
        </w:rPr>
        <w:t>应急</w:t>
      </w:r>
      <w:r>
        <w:rPr>
          <w:color w:val="000000" w:themeColor="text1"/>
          <w:kern w:val="0"/>
          <w:sz w:val="24"/>
          <w:lang w:bidi="ar"/>
          <w14:textFill>
            <w14:solidFill>
              <w14:schemeClr w14:val="tx1"/>
            </w14:solidFill>
          </w14:textFill>
        </w:rPr>
        <w:t>池内不能存放废水或其他物质，降水时可能积聚的少量雨水应及时排空。</w:t>
      </w:r>
    </w:p>
    <w:p w14:paraId="1EADF463">
      <w:pPr>
        <w:widowControl/>
        <w:spacing w:line="360" w:lineRule="auto"/>
        <w:ind w:firstLine="480" w:firstLineChars="200"/>
        <w:jc w:val="left"/>
        <w:rPr>
          <w:color w:val="000000" w:themeColor="text1"/>
          <w:kern w:val="0"/>
          <w:sz w:val="24"/>
          <w:u w:val="single"/>
          <w:lang w:bidi="ar"/>
          <w14:textFill>
            <w14:solidFill>
              <w14:schemeClr w14:val="tx1"/>
            </w14:solidFill>
          </w14:textFill>
        </w:rPr>
      </w:pP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厂区</w:t>
      </w:r>
      <w:r>
        <w:rPr>
          <w:color w:val="000000" w:themeColor="text1"/>
          <w:sz w:val="24"/>
          <w14:textFill>
            <w14:solidFill>
              <w14:schemeClr w14:val="tx1"/>
            </w14:solidFill>
          </w14:textFill>
        </w:rPr>
        <w:t>排水采用雨污分流制</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在厂</w:t>
      </w:r>
      <w:bookmarkStart w:id="85" w:name="Bookmark55"/>
      <w:r>
        <w:rPr>
          <w:color w:val="000000" w:themeColor="text1"/>
          <w:sz w:val="24"/>
          <w14:textFill>
            <w14:solidFill>
              <w14:schemeClr w14:val="tx1"/>
            </w14:solidFill>
          </w14:textFill>
        </w:rPr>
        <w:t>区内</w:t>
      </w:r>
      <w:bookmarkEnd w:id="85"/>
      <w:r>
        <w:rPr>
          <w:color w:val="000000" w:themeColor="text1"/>
          <w:sz w:val="24"/>
          <w14:textFill>
            <w14:solidFill>
              <w14:schemeClr w14:val="tx1"/>
            </w14:solidFill>
          </w14:textFill>
        </w:rPr>
        <w:t>集、排水系统管网中设置切换装置，在厂区排水系统总排放口设置切换装置，防止</w:t>
      </w:r>
      <w:r>
        <w:rPr>
          <w:rFonts w:hint="eastAsia"/>
          <w:color w:val="000000" w:themeColor="text1"/>
          <w:sz w:val="24"/>
          <w14:textFill>
            <w14:solidFill>
              <w14:schemeClr w14:val="tx1"/>
            </w14:solidFill>
          </w14:textFill>
        </w:rPr>
        <w:t>消防</w:t>
      </w:r>
      <w:r>
        <w:rPr>
          <w:color w:val="000000" w:themeColor="text1"/>
          <w:sz w:val="24"/>
          <w14:textFill>
            <w14:solidFill>
              <w14:schemeClr w14:val="tx1"/>
            </w14:solidFill>
          </w14:textFill>
        </w:rPr>
        <w:t>废水未经收集处理直接排入园区雨水管网及污水管网，污染水体。在厂区雨水收集系统排放口前端设置雨、污双向阀门，雨水阀门可将排水排入雨水管网，污水阀门可</w:t>
      </w:r>
      <w:bookmarkStart w:id="86" w:name="Bookmark56"/>
      <w:r>
        <w:rPr>
          <w:color w:val="000000" w:themeColor="text1"/>
          <w:sz w:val="24"/>
          <w14:textFill>
            <w14:solidFill>
              <w14:schemeClr w14:val="tx1"/>
            </w14:solidFill>
          </w14:textFill>
        </w:rPr>
        <w:t>将来</w:t>
      </w:r>
      <w:bookmarkEnd w:id="86"/>
      <w:r>
        <w:rPr>
          <w:color w:val="000000" w:themeColor="text1"/>
          <w:sz w:val="24"/>
          <w14:textFill>
            <w14:solidFill>
              <w14:schemeClr w14:val="tx1"/>
            </w14:solidFill>
          </w14:textFill>
        </w:rPr>
        <w:t>水引入事故</w:t>
      </w:r>
      <w:r>
        <w:rPr>
          <w:rFonts w:hint="eastAsia"/>
          <w:color w:val="000000" w:themeColor="text1"/>
          <w:sz w:val="24"/>
          <w14:textFill>
            <w14:solidFill>
              <w14:schemeClr w14:val="tx1"/>
            </w14:solidFill>
          </w14:textFill>
        </w:rPr>
        <w:t>应急</w:t>
      </w:r>
      <w:r>
        <w:rPr>
          <w:color w:val="000000" w:themeColor="text1"/>
          <w:sz w:val="24"/>
          <w14:textFill>
            <w14:solidFill>
              <w14:schemeClr w14:val="tx1"/>
            </w14:solidFill>
          </w14:textFill>
        </w:rPr>
        <w:t>池</w:t>
      </w:r>
      <w:r>
        <w:rPr>
          <w:color w:val="000000" w:themeColor="text1"/>
          <w:kern w:val="0"/>
          <w:sz w:val="24"/>
          <w:lang w:bidi="ar"/>
          <w14:textFill>
            <w14:solidFill>
              <w14:schemeClr w14:val="tx1"/>
            </w14:solidFill>
          </w14:textFill>
        </w:rPr>
        <w:t>。对事故废水进行处理达标后再排放，将污染物控制在区内，防止重大事故物料泄漏和污染消防水造成的环境污染。</w:t>
      </w:r>
    </w:p>
    <w:p w14:paraId="12854AF7">
      <w:pPr>
        <w:pStyle w:val="23"/>
        <w:ind w:left="0" w:leftChars="0" w:firstLine="0" w:firstLineChars="0"/>
        <w:rPr>
          <w:color w:val="000000" w:themeColor="text1"/>
          <w14:textFill>
            <w14:solidFill>
              <w14:schemeClr w14:val="tx1"/>
            </w14:solidFill>
          </w14:textFill>
        </w:rPr>
      </w:pPr>
      <w:r>
        <w:rPr>
          <w:color w:val="000000" w:themeColor="text1"/>
          <w:sz w:val="21"/>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olumn">
                  <wp:posOffset>-69215</wp:posOffset>
                </wp:positionH>
                <wp:positionV relativeFrom="paragraph">
                  <wp:posOffset>198120</wp:posOffset>
                </wp:positionV>
                <wp:extent cx="5977890" cy="2971165"/>
                <wp:effectExtent l="0" t="0" r="3810" b="635"/>
                <wp:wrapSquare wrapText="bothSides"/>
                <wp:docPr id="7" name="组合 7"/>
                <wp:cNvGraphicFramePr/>
                <a:graphic xmlns:a="http://schemas.openxmlformats.org/drawingml/2006/main">
                  <a:graphicData uri="http://schemas.microsoft.com/office/word/2010/wordprocessingGroup">
                    <wpg:wgp>
                      <wpg:cNvGrpSpPr/>
                      <wpg:grpSpPr>
                        <a:xfrm>
                          <a:off x="0" y="0"/>
                          <a:ext cx="5977890" cy="2971165"/>
                          <a:chOff x="6357" y="573664"/>
                          <a:chExt cx="9414" cy="4679"/>
                        </a:xfrm>
                      </wpg:grpSpPr>
                      <pic:pic xmlns:pic="http://schemas.openxmlformats.org/drawingml/2006/picture">
                        <pic:nvPicPr>
                          <pic:cNvPr id="6" name="图片 6"/>
                          <pic:cNvPicPr>
                            <a:picLocks noChangeAspect="1"/>
                          </pic:cNvPicPr>
                        </pic:nvPicPr>
                        <pic:blipFill>
                          <a:blip r:embed="rId17"/>
                          <a:stretch>
                            <a:fillRect/>
                          </a:stretch>
                        </pic:blipFill>
                        <pic:spPr>
                          <a:xfrm>
                            <a:off x="6357" y="573664"/>
                            <a:ext cx="7087" cy="4679"/>
                          </a:xfrm>
                          <a:prstGeom prst="rect">
                            <a:avLst/>
                          </a:prstGeom>
                          <a:noFill/>
                          <a:ln>
                            <a:noFill/>
                          </a:ln>
                        </pic:spPr>
                      </pic:pic>
                      <pic:pic xmlns:pic="http://schemas.openxmlformats.org/drawingml/2006/picture">
                        <pic:nvPicPr>
                          <pic:cNvPr id="16" name="图片 10"/>
                          <pic:cNvPicPr>
                            <a:picLocks noChangeAspect="1"/>
                          </pic:cNvPicPr>
                        </pic:nvPicPr>
                        <pic:blipFill>
                          <a:blip r:embed="rId18"/>
                          <a:srcRect l="9887"/>
                          <a:stretch>
                            <a:fillRect/>
                          </a:stretch>
                        </pic:blipFill>
                        <pic:spPr>
                          <a:xfrm>
                            <a:off x="12973" y="575996"/>
                            <a:ext cx="2798" cy="1815"/>
                          </a:xfrm>
                          <a:prstGeom prst="rect">
                            <a:avLst/>
                          </a:prstGeom>
                          <a:noFill/>
                          <a:ln>
                            <a:noFill/>
                          </a:ln>
                        </pic:spPr>
                      </pic:pic>
                    </wpg:wgp>
                  </a:graphicData>
                </a:graphic>
              </wp:anchor>
            </w:drawing>
          </mc:Choice>
          <mc:Fallback>
            <w:pict>
              <v:group id="_x0000_s1026" o:spid="_x0000_s1026" o:spt="203" style="position:absolute;left:0pt;margin-left:-5.45pt;margin-top:15.6pt;height:233.95pt;width:470.7pt;mso-wrap-distance-bottom:0pt;mso-wrap-distance-left:9pt;mso-wrap-distance-right:9pt;mso-wrap-distance-top:0pt;z-index:251660288;mso-width-relative:page;mso-height-relative:page;" coordorigin="6357,573664" coordsize="9414,4679" o:gfxdata="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">
                <o:lock v:ext="edit" aspectratio="f"/>
                <v:shape id="_x0000_s1026" o:spid="_x0000_s1026" o:spt="75" type="#_x0000_t75" style="position:absolute;left:6357;top:573664;height:4679;width:7087;" filled="f" o:preferrelative="t" stroked="f" coordsize="21600,21600" o:gfxdata="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p/3LsAAADa&#10;AAAADwAAAAAAAAABACAAAAAiAAAAZHJzL2Rvd25yZXYueG1sUEsBAhQAFAAAAAgAh07iQDMvBZ47&#10;AAAAOQAAABAAAAAAAAAAAQAgAAAACgEAAGRycy9zaGFwZXhtbC54bWxQSwUGAAAAAAYABgBbAQAA&#10;tAMAAAAA&#10;">
                  <v:fill on="f" focussize="0,0"/>
                  <v:stroke on="f"/>
                  <v:imagedata r:id="rId17" o:title=""/>
                  <o:lock v:ext="edit" aspectratio="t"/>
                </v:shape>
                <v:shape id="图片 10" o:spid="_x0000_s1026" o:spt="75" type="#_x0000_t75" style="position:absolute;left:12973;top:575996;height:1815;width:2798;" filled="f" o:preferrelative="t" stroked="f" coordsize="21600,21600" o:gfxdata="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CvjOugAAANsA&#10;AAAPAAAAAAAAAAEAIAAAACIAAABkcnMvZG93bnJldi54bWxQSwECFAAUAAAACACHTuJAMy8FnjsA&#10;AAA5AAAAEAAAAAAAAAABACAAAAAJAQAAZHJzL3NoYXBleG1sLnhtbFBLBQYAAAAABgAGAFsBAACz&#10;AwAAAAA=&#10;">
                  <v:fill on="f" focussize="0,0"/>
                  <v:stroke on="f"/>
                  <v:imagedata r:id="rId18" cropleft="6480f" o:title=""/>
                  <o:lock v:ext="edit" aspectratio="t"/>
                </v:shape>
                <w10:wrap type="square"/>
              </v:group>
            </w:pict>
          </mc:Fallback>
        </mc:AlternateContent>
      </w:r>
    </w:p>
    <w:p w14:paraId="1E99A6C5">
      <w:pPr>
        <w:jc w:val="center"/>
        <w:rPr>
          <w:rFonts w:hint="eastAsia" w:ascii="宋体" w:hAnsi="宋体" w:cs="宋体"/>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图</w:t>
      </w:r>
      <w:r>
        <w:rPr>
          <w:rFonts w:eastAsiaTheme="minorEastAsia"/>
          <w:b/>
          <w:bCs/>
          <w:color w:val="000000" w:themeColor="text1"/>
          <w:sz w:val="24"/>
          <w14:textFill>
            <w14:solidFill>
              <w14:schemeClr w14:val="tx1"/>
            </w14:solidFill>
          </w14:textFill>
        </w:rPr>
        <w:t>5-1</w:t>
      </w:r>
      <w:r>
        <w:rPr>
          <w:rFonts w:hint="eastAsia" w:asciiTheme="minorEastAsia" w:hAnsiTheme="minorEastAsia" w:eastAsiaTheme="minorEastAsia"/>
          <w:b/>
          <w:bCs/>
          <w:color w:val="000000" w:themeColor="text1"/>
          <w:sz w:val="24"/>
          <w14:textFill>
            <w14:solidFill>
              <w14:schemeClr w14:val="tx1"/>
            </w14:solidFill>
          </w14:textFill>
        </w:rPr>
        <w:t xml:space="preserve">  雨水流向及厂区内风险防控示意图</w:t>
      </w:r>
    </w:p>
    <w:p w14:paraId="079FA086">
      <w:pPr>
        <w:widowControl/>
        <w:spacing w:line="360" w:lineRule="auto"/>
        <w:ind w:firstLine="480" w:firstLineChars="200"/>
        <w:jc w:val="left"/>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一旦</w:t>
      </w:r>
      <w:r>
        <w:rPr>
          <w:rFonts w:hint="eastAsia"/>
          <w:color w:val="000000" w:themeColor="text1"/>
          <w:kern w:val="0"/>
          <w:sz w:val="24"/>
          <w:lang w:bidi="ar"/>
          <w14:textFill>
            <w14:solidFill>
              <w14:schemeClr w14:val="tx1"/>
            </w14:solidFill>
          </w14:textFill>
        </w:rPr>
        <w:t>厂区</w:t>
      </w:r>
      <w:r>
        <w:rPr>
          <w:color w:val="000000" w:themeColor="text1"/>
          <w:kern w:val="0"/>
          <w:sz w:val="24"/>
          <w:lang w:bidi="ar"/>
          <w14:textFill>
            <w14:solidFill>
              <w14:schemeClr w14:val="tx1"/>
            </w14:solidFill>
          </w14:textFill>
        </w:rPr>
        <w:t>发生火灾事故同时必须立即启动应急预案，将项目产生的消防废水经</w:t>
      </w:r>
      <w:r>
        <w:rPr>
          <w:rFonts w:hint="eastAsia"/>
          <w:color w:val="000000" w:themeColor="text1"/>
          <w:kern w:val="0"/>
          <w:sz w:val="24"/>
          <w:lang w:bidi="ar"/>
          <w14:textFill>
            <w14:solidFill>
              <w14:schemeClr w14:val="tx1"/>
            </w14:solidFill>
          </w14:textFill>
        </w:rPr>
        <w:t>集水沟</w:t>
      </w:r>
      <w:r>
        <w:rPr>
          <w:color w:val="000000" w:themeColor="text1"/>
          <w:kern w:val="0"/>
          <w:sz w:val="24"/>
          <w:lang w:bidi="ar"/>
          <w14:textFill>
            <w14:solidFill>
              <w14:schemeClr w14:val="tx1"/>
            </w14:solidFill>
          </w14:textFill>
        </w:rPr>
        <w:t>收集后引入事故应急池，严格控制消防废水随意漫流。项目事故废水拦截在厂区内不流入外环境，对地表水影响不大</w:t>
      </w:r>
      <w:r>
        <w:rPr>
          <w:rFonts w:hint="eastAsia"/>
          <w:color w:val="000000" w:themeColor="text1"/>
          <w:kern w:val="0"/>
          <w:sz w:val="24"/>
          <w:lang w:bidi="ar"/>
          <w14:textFill>
            <w14:solidFill>
              <w14:schemeClr w14:val="tx1"/>
            </w14:solidFill>
          </w14:textFill>
        </w:rPr>
        <w:t>。</w:t>
      </w:r>
    </w:p>
    <w:p w14:paraId="11DDD6B3">
      <w:pPr>
        <w:widowControl/>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（3）三级风险防范措施——</w:t>
      </w:r>
      <w:r>
        <w:rPr>
          <w:rFonts w:hint="eastAsia"/>
          <w:color w:val="000000" w:themeColor="text1"/>
          <w:kern w:val="0"/>
          <w:sz w:val="24"/>
          <w:lang w:bidi="ar"/>
          <w14:textFill>
            <w14:solidFill>
              <w14:schemeClr w14:val="tx1"/>
            </w14:solidFill>
          </w14:textFill>
        </w:rPr>
        <w:t>园区/区域</w:t>
      </w:r>
    </w:p>
    <w:p w14:paraId="06825657">
      <w:pPr>
        <w:pStyle w:val="23"/>
        <w:spacing w:after="0" w:line="360" w:lineRule="auto"/>
        <w:ind w:left="0" w:leftChars="0" w:firstLine="480"/>
        <w:rPr>
          <w:rFonts w:eastAsia="宋体"/>
          <w:color w:val="000000" w:themeColor="text1"/>
          <w:sz w:val="24"/>
          <w:lang w:bidi="ar"/>
          <w14:textFill>
            <w14:solidFill>
              <w14:schemeClr w14:val="tx1"/>
            </w14:solidFill>
          </w14:textFill>
        </w:rPr>
      </w:pPr>
      <w:r>
        <w:rPr>
          <w:rFonts w:hint="eastAsia" w:eastAsia="宋体"/>
          <w:color w:val="000000" w:themeColor="text1"/>
          <w:sz w:val="24"/>
          <w:lang w:bidi="ar"/>
          <w14:textFill>
            <w14:solidFill>
              <w14:schemeClr w14:val="tx1"/>
            </w14:solidFill>
          </w14:textFill>
        </w:rPr>
        <w:t>项目厂区边界准备适量沙包，在厂区发生泄漏事故时堵住围墙有泄漏处，避免消防废水蔓延至厂区外。若为重大事故，已无法控制在厂区范围内，应立即将现场情况告知钦州保税港区委员会、当地人民政府等相关部门请求支援，并配合相关工作。并告知周边企业相关情况，疏散周边群众至远离事故发生点的上风向或侧风向的安置场所。为了发生重大事故时，相关部门及周边企业均能及时反应，企业应建立完善的突发环境事件信息报告制度，并认真严格执行，以便及时有效地进行报送。与其他单位、组织签订应急救援协议、互救协议，并定期组织周边企业进行应急演练，并与政府相关应急联动部门保持信息联络畅通，及时了解相关政策变化，并及时更新应急预案。</w:t>
      </w:r>
    </w:p>
    <w:p w14:paraId="5136FBC1">
      <w:pPr>
        <w:pStyle w:val="23"/>
        <w:spacing w:after="0" w:line="360" w:lineRule="auto"/>
        <w:ind w:left="0" w:leftChars="0" w:firstLine="480"/>
        <w:rPr>
          <w:rFonts w:eastAsia="宋体"/>
          <w:color w:val="000000" w:themeColor="text1"/>
          <w:sz w:val="24"/>
          <w:lang w:bidi="ar"/>
          <w14:textFill>
            <w14:solidFill>
              <w14:schemeClr w14:val="tx1"/>
            </w14:solidFill>
          </w14:textFill>
        </w:rPr>
      </w:pPr>
      <w:r>
        <w:rPr>
          <w:rFonts w:hint="eastAsia" w:eastAsia="宋体"/>
          <w:color w:val="000000" w:themeColor="text1"/>
          <w:sz w:val="24"/>
          <w:lang w:bidi="ar"/>
          <w14:textFill>
            <w14:solidFill>
              <w14:schemeClr w14:val="tx1"/>
            </w14:solidFill>
          </w14:textFill>
        </w:rPr>
        <w:t>一旦发生重大风险事故须立即启动相关应急预案，联系相关园区和政府部门请求支援，及时疏散周边群众。协助工作人员开展救援，避免事故范围进一步扩大。</w:t>
      </w:r>
    </w:p>
    <w:p w14:paraId="45650523">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2"/>
        <w:rPr>
          <w:color w:val="000000" w:themeColor="text1"/>
          <w:sz w:val="24"/>
          <w14:textFill>
            <w14:solidFill>
              <w14:schemeClr w14:val="tx1"/>
            </w14:solidFill>
          </w14:textFill>
        </w:rPr>
      </w:pPr>
      <w:r>
        <w:rPr>
          <w:rFonts w:hint="eastAsia"/>
          <w:b/>
          <w:bCs/>
          <w:color w:val="000000" w:themeColor="text1"/>
          <w:kern w:val="0"/>
          <w:sz w:val="24"/>
          <w:lang w:val="en-US" w:eastAsia="zh-CN" w:bidi="ar"/>
          <w14:textFill>
            <w14:solidFill>
              <w14:schemeClr w14:val="tx1"/>
            </w14:solidFill>
          </w14:textFill>
        </w:rPr>
        <w:t>5.1.5</w:t>
      </w:r>
      <w:r>
        <w:rPr>
          <w:b/>
          <w:bCs/>
          <w:color w:val="000000" w:themeColor="text1"/>
          <w:kern w:val="0"/>
          <w:sz w:val="24"/>
          <w:lang w:bidi="ar"/>
          <w14:textFill>
            <w14:solidFill>
              <w14:schemeClr w14:val="tx1"/>
            </w14:solidFill>
          </w14:textFill>
        </w:rPr>
        <w:t xml:space="preserve">事故应急池位置合理性分析 </w:t>
      </w:r>
    </w:p>
    <w:p w14:paraId="4F82EA61">
      <w:pPr>
        <w:widowControl/>
        <w:spacing w:line="360" w:lineRule="auto"/>
        <w:ind w:firstLine="480" w:firstLineChars="200"/>
        <w:jc w:val="left"/>
        <w:rPr>
          <w:b/>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根据项目平面布置，</w:t>
      </w:r>
      <w:r>
        <w:rPr>
          <w:color w:val="000000" w:themeColor="text1"/>
          <w:kern w:val="0"/>
          <w:sz w:val="24"/>
          <w:lang w:bidi="ar"/>
          <w14:textFill>
            <w14:solidFill>
              <w14:schemeClr w14:val="tx1"/>
            </w14:solidFill>
          </w14:textFill>
        </w:rPr>
        <w:t>事故应急池拟设置于</w:t>
      </w:r>
      <w:r>
        <w:rPr>
          <w:rFonts w:hint="eastAsia"/>
          <w:color w:val="000000" w:themeColor="text1"/>
          <w:kern w:val="0"/>
          <w:sz w:val="24"/>
          <w:lang w:bidi="ar"/>
          <w14:textFill>
            <w14:solidFill>
              <w14:schemeClr w14:val="tx1"/>
            </w14:solidFill>
          </w14:textFill>
        </w:rPr>
        <w:t>厂区东北面</w:t>
      </w:r>
      <w:r>
        <w:rPr>
          <w:color w:val="000000" w:themeColor="text1"/>
          <w:kern w:val="0"/>
          <w:sz w:val="24"/>
          <w:lang w:bidi="ar"/>
          <w14:textFill>
            <w14:solidFill>
              <w14:schemeClr w14:val="tx1"/>
            </w14:solidFill>
          </w14:textFill>
        </w:rPr>
        <w:t>，与</w:t>
      </w:r>
      <w:r>
        <w:rPr>
          <w:rFonts w:hint="eastAsia"/>
          <w:color w:val="000000" w:themeColor="text1"/>
          <w:kern w:val="0"/>
          <w:sz w:val="24"/>
          <w:lang w:bidi="ar"/>
          <w14:textFill>
            <w14:solidFill>
              <w14:schemeClr w14:val="tx1"/>
            </w14:solidFill>
          </w14:textFill>
        </w:rPr>
        <w:t>原料库、成品库、生产车间之间铺设管道</w:t>
      </w:r>
      <w:r>
        <w:rPr>
          <w:color w:val="000000" w:themeColor="text1"/>
          <w:kern w:val="0"/>
          <w:sz w:val="24"/>
          <w:lang w:bidi="ar"/>
          <w14:textFill>
            <w14:solidFill>
              <w14:schemeClr w14:val="tx1"/>
            </w14:solidFill>
          </w14:textFill>
        </w:rPr>
        <w:t>。一旦发生事故可有效</w:t>
      </w:r>
      <w:r>
        <w:rPr>
          <w:rFonts w:hint="eastAsia"/>
          <w:color w:val="000000" w:themeColor="text1"/>
          <w:kern w:val="0"/>
          <w:sz w:val="24"/>
          <w:lang w:bidi="ar"/>
          <w14:textFill>
            <w14:solidFill>
              <w14:schemeClr w14:val="tx1"/>
            </w14:solidFill>
          </w14:textFill>
        </w:rPr>
        <w:t>地</w:t>
      </w:r>
      <w:r>
        <w:rPr>
          <w:color w:val="000000" w:themeColor="text1"/>
          <w:kern w:val="0"/>
          <w:sz w:val="24"/>
          <w:lang w:bidi="ar"/>
          <w14:textFill>
            <w14:solidFill>
              <w14:schemeClr w14:val="tx1"/>
            </w14:solidFill>
          </w14:textFill>
        </w:rPr>
        <w:t>对</w:t>
      </w:r>
      <w:r>
        <w:rPr>
          <w:rFonts w:hint="eastAsia"/>
          <w:color w:val="000000" w:themeColor="text1"/>
          <w:kern w:val="0"/>
          <w:sz w:val="24"/>
          <w:lang w:bidi="ar"/>
          <w14:textFill>
            <w14:solidFill>
              <w14:schemeClr w14:val="tx1"/>
            </w14:solidFill>
          </w14:textFill>
        </w:rPr>
        <w:t>消防废水、水解的硫酸铵</w:t>
      </w:r>
      <w:r>
        <w:rPr>
          <w:color w:val="000000" w:themeColor="text1"/>
          <w:kern w:val="0"/>
          <w:sz w:val="24"/>
          <w:lang w:bidi="ar"/>
          <w14:textFill>
            <w14:solidFill>
              <w14:schemeClr w14:val="tx1"/>
            </w14:solidFill>
          </w14:textFill>
        </w:rPr>
        <w:t>拦截，防止污染地表水体等。</w:t>
      </w:r>
    </w:p>
    <w:p w14:paraId="6C665CD5">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2"/>
        <w:rPr>
          <w:b/>
          <w:color w:val="000000" w:themeColor="text1"/>
          <w:sz w:val="24"/>
          <w14:textFill>
            <w14:solidFill>
              <w14:schemeClr w14:val="tx1"/>
            </w14:solidFill>
          </w14:textFill>
        </w:rPr>
      </w:pPr>
      <w:bookmarkStart w:id="87" w:name="Bookmark60"/>
      <w:r>
        <w:rPr>
          <w:rFonts w:hint="eastAsia"/>
          <w:b/>
          <w:color w:val="000000" w:themeColor="text1"/>
          <w:sz w:val="24"/>
          <w:lang w:val="en-US" w:eastAsia="zh-CN"/>
          <w14:textFill>
            <w14:solidFill>
              <w14:schemeClr w14:val="tx1"/>
            </w14:solidFill>
          </w14:textFill>
        </w:rPr>
        <w:t>5.1.6</w:t>
      </w:r>
      <w:r>
        <w:rPr>
          <w:b/>
          <w:color w:val="000000" w:themeColor="text1"/>
          <w:sz w:val="24"/>
          <w14:textFill>
            <w14:solidFill>
              <w14:schemeClr w14:val="tx1"/>
            </w14:solidFill>
          </w14:textFill>
        </w:rPr>
        <w:t>地下水</w:t>
      </w:r>
      <w:bookmarkEnd w:id="87"/>
      <w:r>
        <w:rPr>
          <w:b/>
          <w:color w:val="000000" w:themeColor="text1"/>
          <w:sz w:val="24"/>
          <w14:textFill>
            <w14:solidFill>
              <w14:schemeClr w14:val="tx1"/>
            </w14:solidFill>
          </w14:textFill>
        </w:rPr>
        <w:t xml:space="preserve">风险防范措施 </w:t>
      </w:r>
    </w:p>
    <w:p w14:paraId="2E04502A">
      <w:pPr>
        <w:widowControl/>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 xml:space="preserve">（1）污染源头控制措施 </w:t>
      </w:r>
    </w:p>
    <w:p w14:paraId="76842D9A">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①加强生产管理，项目生产管理由专人负责，确保各种工艺设备、管道、阀门完好，废水不发生渗漏，</w:t>
      </w:r>
      <w:r>
        <w:rPr>
          <w:rFonts w:hint="eastAsia"/>
          <w:color w:val="000000" w:themeColor="text1"/>
          <w:sz w:val="24"/>
          <w14:textFill>
            <w14:solidFill>
              <w14:schemeClr w14:val="tx1"/>
            </w14:solidFill>
          </w14:textFill>
        </w:rPr>
        <w:t>定时检修保养，</w:t>
      </w:r>
      <w:r>
        <w:rPr>
          <w:color w:val="000000" w:themeColor="text1"/>
          <w:sz w:val="24"/>
          <w14:textFill>
            <w14:solidFill>
              <w14:schemeClr w14:val="tx1"/>
            </w14:solidFill>
          </w14:textFill>
        </w:rPr>
        <w:t>杜绝事故发生；</w:t>
      </w:r>
    </w:p>
    <w:p w14:paraId="47D65EB0">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②项目应根据国家现行相关规范加强环境管理，采取防止和降低污染物排放的措施，避免</w:t>
      </w:r>
      <w:bookmarkStart w:id="88" w:name="Bookmark62"/>
      <w:r>
        <w:rPr>
          <w:color w:val="000000" w:themeColor="text1"/>
          <w:sz w:val="24"/>
          <w14:textFill>
            <w14:solidFill>
              <w14:schemeClr w14:val="tx1"/>
            </w14:solidFill>
          </w14:textFill>
        </w:rPr>
        <w:t>跑</w:t>
      </w:r>
      <w:bookmarkEnd w:id="88"/>
      <w:r>
        <w:rPr>
          <w:color w:val="000000" w:themeColor="text1"/>
          <w:sz w:val="24"/>
          <w14:textFill>
            <w14:solidFill>
              <w14:schemeClr w14:val="tx1"/>
            </w14:solidFill>
          </w14:textFill>
        </w:rPr>
        <w:t>、冒、滴、漏现象的发生；</w:t>
      </w:r>
    </w:p>
    <w:p w14:paraId="05FB5597">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③正常生产过程中应加强检查，加强对防渗工程的检查，若发现防渗密封材料老化或损坏，应及时维修更换；</w:t>
      </w:r>
    </w:p>
    <w:p w14:paraId="160F388E">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④对工艺、管道、设备及废水处理构筑物</w:t>
      </w:r>
      <w:r>
        <w:rPr>
          <w:rFonts w:hint="eastAsia"/>
          <w:color w:val="000000" w:themeColor="text1"/>
          <w:sz w:val="24"/>
          <w14:textFill>
            <w14:solidFill>
              <w14:schemeClr w14:val="tx1"/>
            </w14:solidFill>
          </w14:textFill>
        </w:rPr>
        <w:t>均</w:t>
      </w:r>
      <w:r>
        <w:rPr>
          <w:color w:val="000000" w:themeColor="text1"/>
          <w:sz w:val="24"/>
          <w14:textFill>
            <w14:solidFill>
              <w14:schemeClr w14:val="tx1"/>
            </w14:solidFill>
          </w14:textFill>
        </w:rPr>
        <w:t>采取防渗措施，防止废水的</w:t>
      </w:r>
      <w:bookmarkStart w:id="89" w:name="Bookmark63"/>
      <w:r>
        <w:rPr>
          <w:color w:val="000000" w:themeColor="text1"/>
          <w:sz w:val="24"/>
          <w14:textFill>
            <w14:solidFill>
              <w14:schemeClr w14:val="tx1"/>
            </w14:solidFill>
          </w14:textFill>
        </w:rPr>
        <w:t>跑</w:t>
      </w:r>
      <w:bookmarkEnd w:id="89"/>
      <w:r>
        <w:rPr>
          <w:color w:val="000000" w:themeColor="text1"/>
          <w:sz w:val="24"/>
          <w14:textFill>
            <w14:solidFill>
              <w14:schemeClr w14:val="tx1"/>
            </w14:solidFill>
          </w14:textFill>
        </w:rPr>
        <w:t>、冒、滴、漏，将污染物泄漏的环境风险降到最低限度；</w:t>
      </w:r>
    </w:p>
    <w:p w14:paraId="60F969FD">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⑤在厂界周围设置排</w:t>
      </w:r>
      <w:r>
        <w:rPr>
          <w:rFonts w:hint="eastAsia"/>
          <w:color w:val="000000" w:themeColor="text1"/>
          <w:sz w:val="24"/>
          <w14:textFill>
            <w14:solidFill>
              <w14:schemeClr w14:val="tx1"/>
            </w14:solidFill>
          </w14:textFill>
        </w:rPr>
        <w:t>污</w:t>
      </w:r>
      <w:r>
        <w:rPr>
          <w:color w:val="000000" w:themeColor="text1"/>
          <w:sz w:val="24"/>
          <w14:textFill>
            <w14:solidFill>
              <w14:schemeClr w14:val="tx1"/>
            </w14:solidFill>
          </w14:textFill>
        </w:rPr>
        <w:t>沟，防止厂</w:t>
      </w:r>
      <w:r>
        <w:rPr>
          <w:rFonts w:hint="eastAsia"/>
          <w:color w:val="000000" w:themeColor="text1"/>
          <w:sz w:val="24"/>
          <w14:textFill>
            <w14:solidFill>
              <w14:schemeClr w14:val="tx1"/>
            </w14:solidFill>
          </w14:textFill>
        </w:rPr>
        <w:t>内</w:t>
      </w:r>
      <w:r>
        <w:rPr>
          <w:color w:val="000000" w:themeColor="text1"/>
          <w:sz w:val="24"/>
          <w14:textFill>
            <w14:solidFill>
              <w14:schemeClr w14:val="tx1"/>
            </w14:solidFill>
          </w14:textFill>
        </w:rPr>
        <w:t>雨水流入厂</w:t>
      </w:r>
      <w:r>
        <w:rPr>
          <w:rFonts w:hint="eastAsia"/>
          <w:color w:val="000000" w:themeColor="text1"/>
          <w:sz w:val="24"/>
          <w14:textFill>
            <w14:solidFill>
              <w14:schemeClr w14:val="tx1"/>
            </w14:solidFill>
          </w14:textFill>
        </w:rPr>
        <w:t>外</w:t>
      </w:r>
      <w:r>
        <w:rPr>
          <w:color w:val="000000" w:themeColor="text1"/>
          <w:sz w:val="24"/>
          <w14:textFill>
            <w14:solidFill>
              <w14:schemeClr w14:val="tx1"/>
            </w14:solidFill>
          </w14:textFill>
        </w:rPr>
        <w:t>造成物料外排；加强厂区地面、排污沟硬化</w:t>
      </w:r>
      <w:r>
        <w:rPr>
          <w:rFonts w:hint="eastAsia"/>
          <w:color w:val="000000" w:themeColor="text1"/>
          <w:sz w:val="24"/>
          <w14:textFill>
            <w14:solidFill>
              <w14:schemeClr w14:val="tx1"/>
            </w14:solidFill>
          </w14:textFill>
        </w:rPr>
        <w:t>和防渗处理；</w:t>
      </w:r>
    </w:p>
    <w:p w14:paraId="5B63F6E9">
      <w:pPr>
        <w:widowControl/>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⑥及时清理项目场地跑、冒、漏、滴的</w:t>
      </w:r>
      <w:r>
        <w:rPr>
          <w:rFonts w:hint="eastAsia"/>
          <w:color w:val="000000" w:themeColor="text1"/>
          <w:sz w:val="24"/>
          <w14:textFill>
            <w14:solidFill>
              <w14:schemeClr w14:val="tx1"/>
            </w14:solidFill>
          </w14:textFill>
        </w:rPr>
        <w:t>硫酸铵、机油等</w:t>
      </w:r>
      <w:r>
        <w:rPr>
          <w:color w:val="000000" w:themeColor="text1"/>
          <w:sz w:val="24"/>
          <w14:textFill>
            <w14:solidFill>
              <w14:schemeClr w14:val="tx1"/>
            </w14:solidFill>
          </w14:textFill>
        </w:rPr>
        <w:t>，保持地面清洁。</w:t>
      </w:r>
    </w:p>
    <w:p w14:paraId="250426FB">
      <w:pPr>
        <w:widowControl/>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 xml:space="preserve">（2）分区防渗措施 </w:t>
      </w:r>
    </w:p>
    <w:p w14:paraId="2B5838F6">
      <w:pPr>
        <w:widowControl/>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全厂地面、路面需进行水泥硬化处理，生产区及</w:t>
      </w:r>
      <w:r>
        <w:rPr>
          <w:rFonts w:hint="eastAsia"/>
          <w:color w:val="000000" w:themeColor="text1"/>
          <w:kern w:val="0"/>
          <w:sz w:val="24"/>
          <w:lang w:bidi="ar"/>
          <w14:textFill>
            <w14:solidFill>
              <w14:schemeClr w14:val="tx1"/>
            </w14:solidFill>
          </w14:textFill>
        </w:rPr>
        <w:t>仓库等</w:t>
      </w:r>
      <w:r>
        <w:rPr>
          <w:color w:val="000000" w:themeColor="text1"/>
          <w:kern w:val="0"/>
          <w:sz w:val="24"/>
          <w:lang w:bidi="ar"/>
          <w14:textFill>
            <w14:solidFill>
              <w14:schemeClr w14:val="tx1"/>
            </w14:solidFill>
          </w14:textFill>
        </w:rPr>
        <w:t>还需采取专门的防腐防渗措施，防止物料泄漏污染地下水环境。</w:t>
      </w:r>
      <w:r>
        <w:rPr>
          <w:rFonts w:hint="eastAsia"/>
          <w:color w:val="000000" w:themeColor="text1"/>
          <w:sz w:val="24"/>
          <w14:textFill>
            <w14:solidFill>
              <w14:schemeClr w14:val="tx1"/>
            </w14:solidFill>
          </w14:textFill>
        </w:rPr>
        <w:t>仓库</w:t>
      </w:r>
      <w:r>
        <w:rPr>
          <w:color w:val="000000" w:themeColor="text1"/>
          <w:sz w:val="24"/>
          <w14:textFill>
            <w14:solidFill>
              <w14:schemeClr w14:val="tx1"/>
            </w14:solidFill>
          </w14:textFill>
        </w:rPr>
        <w:t>、生产装置区域内易产生泄漏的设备尽可能分别设置排水地漏，分类收集，</w:t>
      </w:r>
      <w:r>
        <w:rPr>
          <w:color w:val="000000" w:themeColor="text1"/>
          <w:kern w:val="0"/>
          <w:sz w:val="24"/>
          <w:lang w:bidi="ar"/>
          <w14:textFill>
            <w14:solidFill>
              <w14:schemeClr w14:val="tx1"/>
            </w14:solidFill>
          </w14:textFill>
        </w:rPr>
        <w:t>生产区及</w:t>
      </w:r>
      <w:r>
        <w:rPr>
          <w:rFonts w:hint="eastAsia"/>
          <w:color w:val="000000" w:themeColor="text1"/>
          <w:kern w:val="0"/>
          <w:sz w:val="24"/>
          <w:lang w:bidi="ar"/>
          <w14:textFill>
            <w14:solidFill>
              <w14:schemeClr w14:val="tx1"/>
            </w14:solidFill>
          </w14:textFill>
        </w:rPr>
        <w:t>仓库</w:t>
      </w:r>
      <w:r>
        <w:rPr>
          <w:color w:val="000000" w:themeColor="text1"/>
          <w:sz w:val="24"/>
          <w14:textFill>
            <w14:solidFill>
              <w14:schemeClr w14:val="tx1"/>
            </w14:solidFill>
          </w14:textFill>
        </w:rPr>
        <w:t>地面、事故应急池采用防腐防渗的材料铺砌，等效粘土防渗层防渗系数需小于10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w:t>
      </w:r>
    </w:p>
    <w:p w14:paraId="728DFDAC">
      <w:pPr>
        <w:pStyle w:val="23"/>
        <w:spacing w:after="0" w:line="360" w:lineRule="auto"/>
        <w:ind w:left="0" w:leftChars="0" w:firstLine="480"/>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防</w:t>
      </w:r>
      <w:r>
        <w:rPr>
          <w:rFonts w:hint="eastAsia" w:eastAsia="宋体"/>
          <w:color w:val="000000" w:themeColor="text1"/>
          <w:sz w:val="24"/>
          <w14:textFill>
            <w14:solidFill>
              <w14:schemeClr w14:val="tx1"/>
            </w14:solidFill>
          </w14:textFill>
        </w:rPr>
        <w:t>渗</w:t>
      </w:r>
      <w:r>
        <w:rPr>
          <w:rFonts w:eastAsia="宋体"/>
          <w:color w:val="000000" w:themeColor="text1"/>
          <w:sz w:val="24"/>
          <w14:textFill>
            <w14:solidFill>
              <w14:schemeClr w14:val="tx1"/>
            </w14:solidFill>
          </w14:textFill>
        </w:rPr>
        <w:t>工程设计依据污染防治分区，选择相应的</w:t>
      </w:r>
      <w:bookmarkStart w:id="90" w:name="Bookmark71"/>
      <w:r>
        <w:rPr>
          <w:rFonts w:eastAsia="宋体"/>
          <w:color w:val="000000" w:themeColor="text1"/>
          <w:sz w:val="24"/>
          <w14:textFill>
            <w14:solidFill>
              <w14:schemeClr w14:val="tx1"/>
            </w14:solidFill>
          </w14:textFill>
        </w:rPr>
        <w:t>防</w:t>
      </w:r>
      <w:bookmarkEnd w:id="90"/>
      <w:r>
        <w:rPr>
          <w:rFonts w:hint="eastAsia" w:eastAsia="宋体"/>
          <w:color w:val="000000" w:themeColor="text1"/>
          <w:sz w:val="24"/>
          <w14:textFill>
            <w14:solidFill>
              <w14:schemeClr w14:val="tx1"/>
            </w14:solidFill>
          </w14:textFill>
        </w:rPr>
        <w:t>渗</w:t>
      </w:r>
      <w:r>
        <w:rPr>
          <w:rFonts w:eastAsia="宋体"/>
          <w:color w:val="000000" w:themeColor="text1"/>
          <w:sz w:val="24"/>
          <w14:textFill>
            <w14:solidFill>
              <w14:schemeClr w14:val="tx1"/>
            </w14:solidFill>
          </w14:textFill>
        </w:rPr>
        <w:t>方案：</w:t>
      </w:r>
    </w:p>
    <w:p w14:paraId="4C499430">
      <w:pPr>
        <w:pStyle w:val="23"/>
        <w:spacing w:after="0" w:line="360" w:lineRule="auto"/>
        <w:ind w:left="0" w:leftChars="0" w:firstLine="482"/>
        <w:rPr>
          <w:rFonts w:eastAsia="宋体"/>
          <w:b w:val="0"/>
          <w:bCs w:val="0"/>
          <w:color w:val="000000" w:themeColor="text1"/>
          <w:sz w:val="24"/>
          <w14:textFill>
            <w14:solidFill>
              <w14:schemeClr w14:val="tx1"/>
            </w14:solidFill>
          </w14:textFill>
        </w:rPr>
      </w:pPr>
      <w:r>
        <w:rPr>
          <w:rFonts w:eastAsia="宋体"/>
          <w:b w:val="0"/>
          <w:bCs w:val="0"/>
          <w:color w:val="000000" w:themeColor="text1"/>
          <w:sz w:val="24"/>
          <w14:textFill>
            <w14:solidFill>
              <w14:schemeClr w14:val="tx1"/>
            </w14:solidFill>
          </w14:textFill>
        </w:rPr>
        <w:t>①重点</w:t>
      </w:r>
      <w:r>
        <w:rPr>
          <w:rFonts w:hint="eastAsia" w:eastAsia="宋体"/>
          <w:b w:val="0"/>
          <w:bCs w:val="0"/>
          <w:color w:val="000000" w:themeColor="text1"/>
          <w:sz w:val="24"/>
          <w14:textFill>
            <w14:solidFill>
              <w14:schemeClr w14:val="tx1"/>
            </w14:solidFill>
          </w14:textFill>
        </w:rPr>
        <w:t>防渗</w:t>
      </w:r>
      <w:r>
        <w:rPr>
          <w:rFonts w:eastAsia="宋体"/>
          <w:b w:val="0"/>
          <w:bCs w:val="0"/>
          <w:color w:val="000000" w:themeColor="text1"/>
          <w:sz w:val="24"/>
          <w14:textFill>
            <w14:solidFill>
              <w14:schemeClr w14:val="tx1"/>
            </w14:solidFill>
          </w14:textFill>
        </w:rPr>
        <w:t>区防</w:t>
      </w:r>
      <w:bookmarkStart w:id="91" w:name="Bookmark64"/>
      <w:r>
        <w:rPr>
          <w:rFonts w:hint="eastAsia" w:eastAsia="宋体"/>
          <w:b w:val="0"/>
          <w:bCs w:val="0"/>
          <w:color w:val="000000" w:themeColor="text1"/>
          <w:sz w:val="24"/>
          <w14:textFill>
            <w14:solidFill>
              <w14:schemeClr w14:val="tx1"/>
            </w14:solidFill>
          </w14:textFill>
        </w:rPr>
        <w:t>渗</w:t>
      </w:r>
      <w:bookmarkEnd w:id="91"/>
      <w:r>
        <w:rPr>
          <w:rFonts w:eastAsia="宋体"/>
          <w:b w:val="0"/>
          <w:bCs w:val="0"/>
          <w:color w:val="000000" w:themeColor="text1"/>
          <w:sz w:val="24"/>
          <w14:textFill>
            <w14:solidFill>
              <w14:schemeClr w14:val="tx1"/>
            </w14:solidFill>
          </w14:textFill>
        </w:rPr>
        <w:t>措施：</w:t>
      </w:r>
    </w:p>
    <w:p w14:paraId="3DC6D413">
      <w:pPr>
        <w:pStyle w:val="23"/>
        <w:spacing w:after="0" w:line="360" w:lineRule="auto"/>
        <w:ind w:left="0" w:leftChars="0" w:firstLine="480"/>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本项目</w:t>
      </w:r>
      <w:r>
        <w:rPr>
          <w:rFonts w:hint="eastAsia" w:eastAsia="宋体"/>
          <w:color w:val="000000" w:themeColor="text1"/>
          <w:sz w:val="24"/>
          <w14:textFill>
            <w14:solidFill>
              <w14:schemeClr w14:val="tx1"/>
            </w14:solidFill>
          </w14:textFill>
        </w:rPr>
        <w:t>的</w:t>
      </w:r>
      <w:r>
        <w:rPr>
          <w:rFonts w:eastAsia="宋体"/>
          <w:color w:val="000000" w:themeColor="text1"/>
          <w:sz w:val="24"/>
          <w14:textFill>
            <w14:solidFill>
              <w14:schemeClr w14:val="tx1"/>
            </w14:solidFill>
          </w14:textFill>
        </w:rPr>
        <w:t>污染区主要包括</w:t>
      </w:r>
      <w:r>
        <w:rPr>
          <w:rFonts w:hint="eastAsia" w:eastAsia="宋体"/>
          <w:color w:val="000000" w:themeColor="text1"/>
          <w:sz w:val="24"/>
          <w14:textFill>
            <w14:solidFill>
              <w14:schemeClr w14:val="tx1"/>
            </w14:solidFill>
          </w14:textFill>
        </w:rPr>
        <w:t>原料库</w:t>
      </w:r>
      <w:r>
        <w:rPr>
          <w:rFonts w:eastAsia="宋体"/>
          <w:color w:val="000000" w:themeColor="text1"/>
          <w:sz w:val="24"/>
          <w14:textFill>
            <w14:solidFill>
              <w14:schemeClr w14:val="tx1"/>
            </w14:solidFill>
          </w14:textFill>
        </w:rPr>
        <w:t>、</w:t>
      </w:r>
      <w:r>
        <w:rPr>
          <w:rFonts w:hint="eastAsia" w:eastAsia="宋体"/>
          <w:color w:val="000000" w:themeColor="text1"/>
          <w:sz w:val="24"/>
          <w14:textFill>
            <w14:solidFill>
              <w14:schemeClr w14:val="tx1"/>
            </w14:solidFill>
          </w14:textFill>
        </w:rPr>
        <w:t>成品库、生产车间、</w:t>
      </w:r>
      <w:r>
        <w:rPr>
          <w:rFonts w:eastAsia="宋体"/>
          <w:color w:val="000000" w:themeColor="text1"/>
          <w:sz w:val="24"/>
          <w14:textFill>
            <w14:solidFill>
              <w14:schemeClr w14:val="tx1"/>
            </w14:solidFill>
          </w14:textFill>
        </w:rPr>
        <w:t>事故应急池、危废暂存间。</w:t>
      </w:r>
    </w:p>
    <w:p w14:paraId="0FC2A031">
      <w:pPr>
        <w:pStyle w:val="23"/>
        <w:spacing w:after="0" w:line="360" w:lineRule="auto"/>
        <w:ind w:left="0" w:leftChars="0" w:firstLine="480"/>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a</w:t>
      </w:r>
      <w:r>
        <w:rPr>
          <w:rFonts w:hint="eastAsia" w:eastAsia="宋体"/>
          <w:color w:val="000000" w:themeColor="text1"/>
          <w:sz w:val="24"/>
          <w14:textFill>
            <w14:solidFill>
              <w14:schemeClr w14:val="tx1"/>
            </w14:solidFill>
          </w14:textFill>
        </w:rPr>
        <w:t>原料库</w:t>
      </w:r>
      <w:r>
        <w:rPr>
          <w:rFonts w:eastAsia="宋体"/>
          <w:color w:val="000000" w:themeColor="text1"/>
          <w:sz w:val="24"/>
          <w14:textFill>
            <w14:solidFill>
              <w14:schemeClr w14:val="tx1"/>
            </w14:solidFill>
          </w14:textFill>
        </w:rPr>
        <w:t>、</w:t>
      </w:r>
      <w:r>
        <w:rPr>
          <w:rFonts w:hint="eastAsia" w:eastAsia="宋体"/>
          <w:color w:val="000000" w:themeColor="text1"/>
          <w:sz w:val="24"/>
          <w14:textFill>
            <w14:solidFill>
              <w14:schemeClr w14:val="tx1"/>
            </w14:solidFill>
          </w14:textFill>
        </w:rPr>
        <w:t>成品库、生产车间</w:t>
      </w:r>
      <w:r>
        <w:rPr>
          <w:rFonts w:eastAsia="宋体"/>
          <w:color w:val="000000" w:themeColor="text1"/>
          <w:sz w:val="24"/>
          <w14:textFill>
            <w14:solidFill>
              <w14:schemeClr w14:val="tx1"/>
            </w14:solidFill>
          </w14:textFill>
        </w:rPr>
        <w:t>、事故应急池、危</w:t>
      </w:r>
      <w:bookmarkStart w:id="92" w:name="Bookmark66"/>
      <w:r>
        <w:rPr>
          <w:rFonts w:eastAsia="宋体"/>
          <w:color w:val="000000" w:themeColor="text1"/>
          <w:sz w:val="24"/>
          <w14:textFill>
            <w14:solidFill>
              <w14:schemeClr w14:val="tx1"/>
            </w14:solidFill>
          </w14:textFill>
        </w:rPr>
        <w:t>废</w:t>
      </w:r>
      <w:bookmarkEnd w:id="92"/>
      <w:r>
        <w:rPr>
          <w:rFonts w:eastAsia="宋体"/>
          <w:color w:val="000000" w:themeColor="text1"/>
          <w:sz w:val="24"/>
          <w14:textFill>
            <w14:solidFill>
              <w14:schemeClr w14:val="tx1"/>
            </w14:solidFill>
          </w14:textFill>
        </w:rPr>
        <w:t>暂存间采用防腐防</w:t>
      </w:r>
      <w:r>
        <w:rPr>
          <w:rFonts w:hint="eastAsia" w:eastAsia="宋体"/>
          <w:color w:val="000000" w:themeColor="text1"/>
          <w:sz w:val="24"/>
          <w14:textFill>
            <w14:solidFill>
              <w14:schemeClr w14:val="tx1"/>
            </w14:solidFill>
          </w14:textFill>
        </w:rPr>
        <w:t>渗</w:t>
      </w:r>
      <w:r>
        <w:rPr>
          <w:rFonts w:eastAsia="宋体"/>
          <w:color w:val="000000" w:themeColor="text1"/>
          <w:sz w:val="24"/>
          <w14:textFill>
            <w14:solidFill>
              <w14:schemeClr w14:val="tx1"/>
            </w14:solidFill>
          </w14:textFill>
        </w:rPr>
        <w:t>的材料</w:t>
      </w:r>
      <w:r>
        <w:rPr>
          <w:rFonts w:hint="eastAsia" w:eastAsia="宋体"/>
          <w:color w:val="000000" w:themeColor="text1"/>
          <w:sz w:val="24"/>
          <w14:textFill>
            <w14:solidFill>
              <w14:schemeClr w14:val="tx1"/>
            </w14:solidFill>
          </w14:textFill>
        </w:rPr>
        <w:t>铺设</w:t>
      </w:r>
      <w:r>
        <w:rPr>
          <w:rFonts w:eastAsia="宋体"/>
          <w:color w:val="000000" w:themeColor="text1"/>
          <w:sz w:val="24"/>
          <w14:textFill>
            <w14:solidFill>
              <w14:schemeClr w14:val="tx1"/>
            </w14:solidFill>
          </w14:textFill>
        </w:rPr>
        <w:t>，防</w:t>
      </w:r>
      <w:r>
        <w:rPr>
          <w:rFonts w:hint="eastAsia" w:eastAsia="宋体"/>
          <w:color w:val="000000" w:themeColor="text1"/>
          <w:sz w:val="24"/>
          <w14:textFill>
            <w14:solidFill>
              <w14:schemeClr w14:val="tx1"/>
            </w14:solidFill>
          </w14:textFill>
        </w:rPr>
        <w:t>渗</w:t>
      </w:r>
      <w:r>
        <w:rPr>
          <w:rFonts w:eastAsia="宋体"/>
          <w:color w:val="000000" w:themeColor="text1"/>
          <w:sz w:val="24"/>
          <w14:textFill>
            <w14:solidFill>
              <w14:schemeClr w14:val="tx1"/>
            </w14:solidFill>
          </w14:textFill>
        </w:rPr>
        <w:t>要求为：人工</w:t>
      </w:r>
      <w:bookmarkStart w:id="93" w:name="Bookmark67"/>
      <w:r>
        <w:rPr>
          <w:rFonts w:eastAsia="宋体"/>
          <w:color w:val="000000" w:themeColor="text1"/>
          <w:sz w:val="24"/>
          <w14:textFill>
            <w14:solidFill>
              <w14:schemeClr w14:val="tx1"/>
            </w14:solidFill>
          </w14:textFill>
        </w:rPr>
        <w:t>防</w:t>
      </w:r>
      <w:bookmarkEnd w:id="93"/>
      <w:r>
        <w:rPr>
          <w:rFonts w:hint="eastAsia" w:eastAsia="宋体"/>
          <w:color w:val="000000" w:themeColor="text1"/>
          <w:sz w:val="24"/>
          <w14:textFill>
            <w14:solidFill>
              <w14:schemeClr w14:val="tx1"/>
            </w14:solidFill>
          </w14:textFill>
        </w:rPr>
        <w:t>护</w:t>
      </w:r>
      <w:r>
        <w:rPr>
          <w:rFonts w:eastAsia="宋体"/>
          <w:color w:val="000000" w:themeColor="text1"/>
          <w:sz w:val="24"/>
          <w14:textFill>
            <w14:solidFill>
              <w14:schemeClr w14:val="tx1"/>
            </w14:solidFill>
          </w14:textFill>
        </w:rPr>
        <w:t>层为2mm厚高密度聚乙烯+20cm水泥硬化；等效黏土防</w:t>
      </w:r>
      <w:r>
        <w:rPr>
          <w:rFonts w:hint="eastAsia" w:eastAsia="宋体"/>
          <w:color w:val="000000" w:themeColor="text1"/>
          <w:sz w:val="24"/>
          <w14:textFill>
            <w14:solidFill>
              <w14:schemeClr w14:val="tx1"/>
            </w14:solidFill>
          </w14:textFill>
        </w:rPr>
        <w:t>渗</w:t>
      </w:r>
      <w:r>
        <w:rPr>
          <w:rFonts w:eastAsia="宋体"/>
          <w:color w:val="000000" w:themeColor="text1"/>
          <w:sz w:val="24"/>
          <w14:textFill>
            <w14:solidFill>
              <w14:schemeClr w14:val="tx1"/>
            </w14:solidFill>
          </w14:textFill>
        </w:rPr>
        <w:t>层Mb≥6.0m</w:t>
      </w:r>
      <w:bookmarkStart w:id="94" w:name="Bookmark68"/>
      <w:r>
        <w:rPr>
          <w:rFonts w:eastAsia="宋体"/>
          <w:color w:val="000000" w:themeColor="text1"/>
          <w:sz w:val="24"/>
          <w14:textFill>
            <w14:solidFill>
              <w14:schemeClr w14:val="tx1"/>
            </w14:solidFill>
          </w14:textFill>
        </w:rPr>
        <w:t>，</w:t>
      </w:r>
      <w:bookmarkEnd w:id="94"/>
      <w:r>
        <w:rPr>
          <w:rFonts w:eastAsia="宋体"/>
          <w:color w:val="000000" w:themeColor="text1"/>
          <w:sz w:val="24"/>
          <w14:textFill>
            <w14:solidFill>
              <w14:schemeClr w14:val="tx1"/>
            </w14:solidFill>
          </w14:textFill>
        </w:rPr>
        <w:t>K≤1×10</w:t>
      </w:r>
      <w:r>
        <w:rPr>
          <w:rFonts w:eastAsia="宋体"/>
          <w:color w:val="000000" w:themeColor="text1"/>
          <w:sz w:val="24"/>
          <w:vertAlign w:val="superscript"/>
          <w14:textFill>
            <w14:solidFill>
              <w14:schemeClr w14:val="tx1"/>
            </w14:solidFill>
          </w14:textFill>
        </w:rPr>
        <w:t>-7</w:t>
      </w:r>
      <w:r>
        <w:rPr>
          <w:rFonts w:eastAsia="宋体"/>
          <w:color w:val="000000" w:themeColor="text1"/>
          <w:sz w:val="24"/>
          <w14:textFill>
            <w14:solidFill>
              <w14:schemeClr w14:val="tx1"/>
            </w14:solidFill>
          </w14:textFill>
        </w:rPr>
        <w:t>cm/s；</w:t>
      </w:r>
    </w:p>
    <w:p w14:paraId="5B97CCF6">
      <w:pPr>
        <w:pStyle w:val="23"/>
        <w:spacing w:after="0" w:line="360" w:lineRule="auto"/>
        <w:ind w:left="0" w:leftChars="0" w:firstLine="480"/>
        <w:rPr>
          <w:rFonts w:eastAsia="宋体"/>
          <w:color w:val="000000" w:themeColor="text1"/>
          <w:sz w:val="24"/>
          <w14:textFill>
            <w14:solidFill>
              <w14:schemeClr w14:val="tx1"/>
            </w14:solidFill>
          </w14:textFill>
        </w:rPr>
      </w:pPr>
      <w:r>
        <w:rPr>
          <w:rFonts w:hint="eastAsia" w:eastAsia="宋体"/>
          <w:color w:val="000000" w:themeColor="text1"/>
          <w:sz w:val="24"/>
          <w14:textFill>
            <w14:solidFill>
              <w14:schemeClr w14:val="tx1"/>
            </w14:solidFill>
          </w14:textFill>
        </w:rPr>
        <w:t>b</w:t>
      </w:r>
      <w:r>
        <w:rPr>
          <w:rFonts w:eastAsia="宋体"/>
          <w:color w:val="000000" w:themeColor="text1"/>
          <w:sz w:val="24"/>
          <w14:textFill>
            <w14:solidFill>
              <w14:schemeClr w14:val="tx1"/>
            </w14:solidFill>
          </w14:textFill>
        </w:rPr>
        <w:t>所有阀体，包括</w:t>
      </w:r>
      <w:bookmarkStart w:id="95" w:name="Bookmark74"/>
      <w:r>
        <w:rPr>
          <w:rFonts w:eastAsia="宋体"/>
          <w:color w:val="000000" w:themeColor="text1"/>
          <w:sz w:val="24"/>
          <w14:textFill>
            <w14:solidFill>
              <w14:schemeClr w14:val="tx1"/>
            </w14:solidFill>
          </w14:textFill>
        </w:rPr>
        <w:t>自动</w:t>
      </w:r>
      <w:bookmarkEnd w:id="95"/>
      <w:r>
        <w:rPr>
          <w:rFonts w:eastAsia="宋体"/>
          <w:color w:val="000000" w:themeColor="text1"/>
          <w:sz w:val="24"/>
          <w14:textFill>
            <w14:solidFill>
              <w14:schemeClr w14:val="tx1"/>
            </w14:solidFill>
          </w14:textFill>
        </w:rPr>
        <w:t>、切换阀、球阀等均为PVC、衬胶等防腐材质；</w:t>
      </w:r>
    </w:p>
    <w:p w14:paraId="699EF047">
      <w:pPr>
        <w:pStyle w:val="23"/>
        <w:spacing w:after="0" w:line="360" w:lineRule="auto"/>
        <w:ind w:left="0" w:leftChars="0" w:firstLine="480"/>
        <w:rPr>
          <w:rFonts w:eastAsia="宋体"/>
          <w:color w:val="000000" w:themeColor="text1"/>
          <w:sz w:val="24"/>
          <w14:textFill>
            <w14:solidFill>
              <w14:schemeClr w14:val="tx1"/>
            </w14:solidFill>
          </w14:textFill>
        </w:rPr>
      </w:pPr>
      <w:r>
        <w:rPr>
          <w:rFonts w:hint="eastAsia" w:eastAsia="宋体"/>
          <w:color w:val="000000" w:themeColor="text1"/>
          <w:sz w:val="24"/>
          <w14:textFill>
            <w14:solidFill>
              <w14:schemeClr w14:val="tx1"/>
            </w14:solidFill>
          </w14:textFill>
        </w:rPr>
        <w:t>c</w:t>
      </w:r>
      <w:r>
        <w:rPr>
          <w:rFonts w:eastAsia="宋体"/>
          <w:color w:val="000000" w:themeColor="text1"/>
          <w:sz w:val="24"/>
          <w14:textFill>
            <w14:solidFill>
              <w14:schemeClr w14:val="tx1"/>
            </w14:solidFill>
          </w14:textFill>
        </w:rPr>
        <w:t>污染防治区应采取防止污染物流出边界的措施；当项目发生事故排放时，废水均收集进入事故应急池，</w:t>
      </w:r>
      <w:r>
        <w:rPr>
          <w:rFonts w:hint="eastAsia" w:eastAsia="宋体"/>
          <w:color w:val="000000" w:themeColor="text1"/>
          <w:sz w:val="24"/>
          <w14:textFill>
            <w14:solidFill>
              <w14:schemeClr w14:val="tx1"/>
            </w14:solidFill>
          </w14:textFill>
        </w:rPr>
        <w:t>运至大榄坪污水处理厂处理或</w:t>
      </w:r>
      <w:r>
        <w:rPr>
          <w:rFonts w:eastAsia="宋体"/>
          <w:color w:val="000000" w:themeColor="text1"/>
          <w:sz w:val="24"/>
          <w14:textFill>
            <w14:solidFill>
              <w14:schemeClr w14:val="tx1"/>
            </w14:solidFill>
          </w14:textFill>
        </w:rPr>
        <w:t>委托资质单位处理；</w:t>
      </w:r>
    </w:p>
    <w:p w14:paraId="1174B7C0">
      <w:pPr>
        <w:pStyle w:val="23"/>
        <w:spacing w:after="0" w:line="360" w:lineRule="auto"/>
        <w:ind w:left="0" w:leftChars="0" w:firstLine="480"/>
        <w:rPr>
          <w:rFonts w:eastAsia="宋体"/>
          <w:color w:val="000000" w:themeColor="text1"/>
          <w:sz w:val="24"/>
          <w14:textFill>
            <w14:solidFill>
              <w14:schemeClr w14:val="tx1"/>
            </w14:solidFill>
          </w14:textFill>
        </w:rPr>
      </w:pPr>
      <w:r>
        <w:rPr>
          <w:rFonts w:hint="eastAsia" w:eastAsia="宋体"/>
          <w:color w:val="000000" w:themeColor="text1"/>
          <w:sz w:val="24"/>
          <w14:textFill>
            <w14:solidFill>
              <w14:schemeClr w14:val="tx1"/>
            </w14:solidFill>
          </w14:textFill>
        </w:rPr>
        <w:t>d</w:t>
      </w:r>
      <w:r>
        <w:rPr>
          <w:rFonts w:eastAsia="宋体"/>
          <w:color w:val="000000" w:themeColor="text1"/>
          <w:sz w:val="24"/>
          <w14:textFill>
            <w14:solidFill>
              <w14:schemeClr w14:val="tx1"/>
            </w14:solidFill>
          </w14:textFill>
        </w:rPr>
        <w:t>厂区废水处理设施构筑物、事故应急池按照《给水排水工程</w:t>
      </w:r>
      <w:bookmarkStart w:id="96" w:name="Bookmark75"/>
      <w:r>
        <w:rPr>
          <w:rFonts w:hint="eastAsia" w:eastAsia="宋体"/>
          <w:color w:val="000000" w:themeColor="text1"/>
          <w:sz w:val="24"/>
          <w14:textFill>
            <w14:solidFill>
              <w14:schemeClr w14:val="tx1"/>
            </w14:solidFill>
          </w14:textFill>
        </w:rPr>
        <w:t>构筑物</w:t>
      </w:r>
      <w:bookmarkEnd w:id="96"/>
      <w:r>
        <w:rPr>
          <w:rFonts w:eastAsia="宋体"/>
          <w:color w:val="000000" w:themeColor="text1"/>
          <w:sz w:val="24"/>
          <w14:textFill>
            <w14:solidFill>
              <w14:schemeClr w14:val="tx1"/>
            </w14:solidFill>
          </w14:textFill>
        </w:rPr>
        <w:t>结构设计规范》（GB50069-2002）要求采取严格的防</w:t>
      </w:r>
      <w:r>
        <w:rPr>
          <w:rFonts w:hint="eastAsia" w:eastAsia="宋体"/>
          <w:color w:val="000000" w:themeColor="text1"/>
          <w:sz w:val="24"/>
          <w14:textFill>
            <w14:solidFill>
              <w14:schemeClr w14:val="tx1"/>
            </w14:solidFill>
          </w14:textFill>
        </w:rPr>
        <w:t>渗</w:t>
      </w:r>
      <w:r>
        <w:rPr>
          <w:rFonts w:eastAsia="宋体"/>
          <w:color w:val="000000" w:themeColor="text1"/>
          <w:sz w:val="24"/>
          <w14:textFill>
            <w14:solidFill>
              <w14:schemeClr w14:val="tx1"/>
            </w14:solidFill>
          </w14:textFill>
        </w:rPr>
        <w:t>措施，如构筑物底板、内壁、接缝处等涂抹防水抗</w:t>
      </w:r>
      <w:r>
        <w:rPr>
          <w:rFonts w:hint="eastAsia" w:eastAsia="宋体"/>
          <w:color w:val="000000" w:themeColor="text1"/>
          <w:sz w:val="24"/>
          <w14:textFill>
            <w14:solidFill>
              <w14:schemeClr w14:val="tx1"/>
            </w14:solidFill>
          </w14:textFill>
        </w:rPr>
        <w:t>渗</w:t>
      </w:r>
      <w:r>
        <w:rPr>
          <w:rFonts w:eastAsia="宋体"/>
          <w:color w:val="000000" w:themeColor="text1"/>
          <w:sz w:val="24"/>
          <w14:textFill>
            <w14:solidFill>
              <w14:schemeClr w14:val="tx1"/>
            </w14:solidFill>
          </w14:textFill>
        </w:rPr>
        <w:t>材料，防</w:t>
      </w:r>
      <w:r>
        <w:rPr>
          <w:rFonts w:hint="eastAsia" w:eastAsia="宋体"/>
          <w:color w:val="000000" w:themeColor="text1"/>
          <w:sz w:val="24"/>
          <w14:textFill>
            <w14:solidFill>
              <w14:schemeClr w14:val="tx1"/>
            </w14:solidFill>
          </w14:textFill>
        </w:rPr>
        <w:t>渗</w:t>
      </w:r>
      <w:r>
        <w:rPr>
          <w:rFonts w:eastAsia="宋体"/>
          <w:color w:val="000000" w:themeColor="text1"/>
          <w:sz w:val="24"/>
          <w14:textFill>
            <w14:solidFill>
              <w14:schemeClr w14:val="tx1"/>
            </w14:solidFill>
          </w14:textFill>
        </w:rPr>
        <w:t>要求为</w:t>
      </w:r>
      <w:r>
        <w:rPr>
          <w:rFonts w:hint="eastAsia" w:eastAsia="宋体"/>
          <w:color w:val="000000" w:themeColor="text1"/>
          <w:sz w:val="24"/>
          <w14:textFill>
            <w14:solidFill>
              <w14:schemeClr w14:val="tx1"/>
            </w14:solidFill>
          </w14:textFill>
        </w:rPr>
        <w:t>：</w:t>
      </w:r>
      <w:r>
        <w:rPr>
          <w:rFonts w:eastAsia="宋体"/>
          <w:color w:val="000000" w:themeColor="text1"/>
          <w:sz w:val="24"/>
          <w14:textFill>
            <w14:solidFill>
              <w14:schemeClr w14:val="tx1"/>
            </w14:solidFill>
          </w14:textFill>
        </w:rPr>
        <w:t>人工防</w:t>
      </w:r>
      <w:r>
        <w:rPr>
          <w:rFonts w:hint="eastAsia" w:eastAsia="宋体"/>
          <w:color w:val="000000" w:themeColor="text1"/>
          <w:sz w:val="24"/>
          <w14:textFill>
            <w14:solidFill>
              <w14:schemeClr w14:val="tx1"/>
            </w14:solidFill>
          </w14:textFill>
        </w:rPr>
        <w:t>渗</w:t>
      </w:r>
      <w:r>
        <w:rPr>
          <w:rFonts w:eastAsia="宋体"/>
          <w:color w:val="000000" w:themeColor="text1"/>
          <w:sz w:val="24"/>
          <w14:textFill>
            <w14:solidFill>
              <w14:schemeClr w14:val="tx1"/>
            </w14:solidFill>
          </w14:textFill>
        </w:rPr>
        <w:t>层为2mm厚高密度聚乙烯+20cm水泥硬化；等效黏土防</w:t>
      </w:r>
      <w:r>
        <w:rPr>
          <w:rFonts w:hint="eastAsia" w:eastAsia="宋体"/>
          <w:color w:val="000000" w:themeColor="text1"/>
          <w:sz w:val="24"/>
          <w14:textFill>
            <w14:solidFill>
              <w14:schemeClr w14:val="tx1"/>
            </w14:solidFill>
          </w14:textFill>
        </w:rPr>
        <w:t>渗</w:t>
      </w:r>
      <w:r>
        <w:rPr>
          <w:rFonts w:eastAsia="宋体"/>
          <w:color w:val="000000" w:themeColor="text1"/>
          <w:sz w:val="24"/>
          <w14:textFill>
            <w14:solidFill>
              <w14:schemeClr w14:val="tx1"/>
            </w14:solidFill>
          </w14:textFill>
        </w:rPr>
        <w:t>层Mb≥6.0m</w:t>
      </w:r>
      <w:bookmarkStart w:id="97" w:name="Bookmark76"/>
      <w:r>
        <w:rPr>
          <w:rFonts w:eastAsia="宋体"/>
          <w:color w:val="000000" w:themeColor="text1"/>
          <w:sz w:val="24"/>
          <w14:textFill>
            <w14:solidFill>
              <w14:schemeClr w14:val="tx1"/>
            </w14:solidFill>
          </w14:textFill>
        </w:rPr>
        <w:t>，</w:t>
      </w:r>
      <w:bookmarkEnd w:id="97"/>
      <w:r>
        <w:rPr>
          <w:rFonts w:eastAsia="宋体"/>
          <w:color w:val="000000" w:themeColor="text1"/>
          <w:sz w:val="24"/>
          <w14:textFill>
            <w14:solidFill>
              <w14:schemeClr w14:val="tx1"/>
            </w14:solidFill>
          </w14:textFill>
        </w:rPr>
        <w:t>K≤1×10</w:t>
      </w:r>
      <w:r>
        <w:rPr>
          <w:rFonts w:eastAsia="宋体"/>
          <w:color w:val="000000" w:themeColor="text1"/>
          <w:sz w:val="24"/>
          <w:vertAlign w:val="superscript"/>
          <w14:textFill>
            <w14:solidFill>
              <w14:schemeClr w14:val="tx1"/>
            </w14:solidFill>
          </w14:textFill>
        </w:rPr>
        <w:t>-7</w:t>
      </w:r>
      <w:r>
        <w:rPr>
          <w:rFonts w:eastAsia="宋体"/>
          <w:color w:val="000000" w:themeColor="text1"/>
          <w:sz w:val="24"/>
          <w14:textFill>
            <w14:solidFill>
              <w14:schemeClr w14:val="tx1"/>
            </w14:solidFill>
          </w14:textFill>
        </w:rPr>
        <w:t>cm/s；</w:t>
      </w:r>
    </w:p>
    <w:p w14:paraId="45BA0010">
      <w:pPr>
        <w:pStyle w:val="23"/>
        <w:spacing w:after="0" w:line="360" w:lineRule="auto"/>
        <w:ind w:left="0" w:leftChars="0" w:firstLine="480"/>
        <w:rPr>
          <w:rFonts w:eastAsia="宋体"/>
          <w:color w:val="000000" w:themeColor="text1"/>
          <w:sz w:val="24"/>
          <w14:textFill>
            <w14:solidFill>
              <w14:schemeClr w14:val="tx1"/>
            </w14:solidFill>
          </w14:textFill>
        </w:rPr>
      </w:pPr>
      <w:r>
        <w:rPr>
          <w:rFonts w:hint="eastAsia" w:eastAsia="宋体"/>
          <w:color w:val="000000" w:themeColor="text1"/>
          <w:sz w:val="24"/>
          <w14:textFill>
            <w14:solidFill>
              <w14:schemeClr w14:val="tx1"/>
            </w14:solidFill>
          </w14:textFill>
        </w:rPr>
        <w:t>e</w:t>
      </w:r>
      <w:r>
        <w:rPr>
          <w:rFonts w:eastAsia="宋体"/>
          <w:color w:val="000000" w:themeColor="text1"/>
          <w:sz w:val="24"/>
          <w14:textFill>
            <w14:solidFill>
              <w14:schemeClr w14:val="tx1"/>
            </w14:solidFill>
          </w14:textFill>
        </w:rPr>
        <w:t>危废暂存间防</w:t>
      </w:r>
      <w:r>
        <w:rPr>
          <w:rFonts w:hint="eastAsia" w:eastAsia="宋体"/>
          <w:color w:val="000000" w:themeColor="text1"/>
          <w:sz w:val="24"/>
          <w14:textFill>
            <w14:solidFill>
              <w14:schemeClr w14:val="tx1"/>
            </w14:solidFill>
          </w14:textFill>
        </w:rPr>
        <w:t>渗</w:t>
      </w:r>
      <w:r>
        <w:rPr>
          <w:rFonts w:eastAsia="宋体"/>
          <w:color w:val="000000" w:themeColor="text1"/>
          <w:sz w:val="24"/>
          <w14:textFill>
            <w14:solidFill>
              <w14:schemeClr w14:val="tx1"/>
            </w14:solidFill>
          </w14:textFill>
        </w:rPr>
        <w:t>要求严格按照《危险废物贮存污染控制标准》（GB18597-2001）。相关要求进行设计，地面设置水泥硬化措施，满足防</w:t>
      </w:r>
      <w:r>
        <w:rPr>
          <w:rFonts w:hint="eastAsia" w:eastAsia="宋体"/>
          <w:color w:val="000000" w:themeColor="text1"/>
          <w:sz w:val="24"/>
          <w14:textFill>
            <w14:solidFill>
              <w14:schemeClr w14:val="tx1"/>
            </w14:solidFill>
          </w14:textFill>
        </w:rPr>
        <w:t>渗</w:t>
      </w:r>
      <w:r>
        <w:rPr>
          <w:rFonts w:eastAsia="宋体"/>
          <w:color w:val="000000" w:themeColor="text1"/>
          <w:sz w:val="24"/>
          <w14:textFill>
            <w14:solidFill>
              <w14:schemeClr w14:val="tx1"/>
            </w14:solidFill>
          </w14:textFill>
        </w:rPr>
        <w:t>层为至少1m厚粘土层（渗透系数≤10cms），或2mm厚高密度聚乙烯，或至少2mm厚的</w:t>
      </w:r>
      <w:r>
        <w:rPr>
          <w:rFonts w:hint="eastAsia" w:eastAsia="宋体"/>
          <w:color w:val="000000" w:themeColor="text1"/>
          <w:sz w:val="24"/>
          <w14:textFill>
            <w14:solidFill>
              <w14:schemeClr w14:val="tx1"/>
            </w14:solidFill>
          </w14:textFill>
        </w:rPr>
        <w:t>其他人工</w:t>
      </w:r>
      <w:r>
        <w:rPr>
          <w:rFonts w:eastAsia="宋体"/>
          <w:color w:val="000000" w:themeColor="text1"/>
          <w:sz w:val="24"/>
          <w14:textFill>
            <w14:solidFill>
              <w14:schemeClr w14:val="tx1"/>
            </w14:solidFill>
          </w14:textFill>
        </w:rPr>
        <w:t>材料，</w:t>
      </w:r>
      <w:r>
        <w:rPr>
          <w:rFonts w:hint="eastAsia" w:eastAsia="宋体"/>
          <w:color w:val="000000" w:themeColor="text1"/>
          <w:sz w:val="24"/>
          <w14:textFill>
            <w14:solidFill>
              <w14:schemeClr w14:val="tx1"/>
            </w14:solidFill>
          </w14:textFill>
        </w:rPr>
        <w:t>渗</w:t>
      </w:r>
      <w:r>
        <w:rPr>
          <w:rFonts w:eastAsia="宋体"/>
          <w:color w:val="000000" w:themeColor="text1"/>
          <w:sz w:val="24"/>
          <w14:textFill>
            <w14:solidFill>
              <w14:schemeClr w14:val="tx1"/>
            </w14:solidFill>
          </w14:textFill>
        </w:rPr>
        <w:t>透系数≤10</w:t>
      </w:r>
      <w:r>
        <w:rPr>
          <w:rFonts w:eastAsia="宋体"/>
          <w:color w:val="000000" w:themeColor="text1"/>
          <w:sz w:val="24"/>
          <w:vertAlign w:val="superscript"/>
          <w14:textFill>
            <w14:solidFill>
              <w14:schemeClr w14:val="tx1"/>
            </w14:solidFill>
          </w14:textFill>
        </w:rPr>
        <w:t>-10</w:t>
      </w:r>
      <w:r>
        <w:rPr>
          <w:rFonts w:eastAsia="宋体"/>
          <w:color w:val="000000" w:themeColor="text1"/>
          <w:sz w:val="24"/>
          <w14:textFill>
            <w14:solidFill>
              <w14:schemeClr w14:val="tx1"/>
            </w14:solidFill>
          </w14:textFill>
        </w:rPr>
        <w:t>cm/s的要求；地面与裙角要用坚固、防渗的材料制造，建筑材料</w:t>
      </w:r>
      <w:r>
        <w:rPr>
          <w:rFonts w:hint="eastAsia" w:eastAsia="宋体"/>
          <w:color w:val="000000" w:themeColor="text1"/>
          <w:sz w:val="24"/>
          <w14:textFill>
            <w14:solidFill>
              <w14:schemeClr w14:val="tx1"/>
            </w14:solidFill>
          </w14:textFill>
        </w:rPr>
        <w:t>必须</w:t>
      </w:r>
      <w:r>
        <w:rPr>
          <w:rFonts w:eastAsia="宋体"/>
          <w:color w:val="000000" w:themeColor="text1"/>
          <w:sz w:val="24"/>
          <w14:textFill>
            <w14:solidFill>
              <w14:schemeClr w14:val="tx1"/>
            </w14:solidFill>
          </w14:textFill>
        </w:rPr>
        <w:t>与危险废物相容。</w:t>
      </w:r>
    </w:p>
    <w:p w14:paraId="0BA15250">
      <w:pPr>
        <w:pStyle w:val="23"/>
        <w:spacing w:after="0" w:line="360" w:lineRule="auto"/>
        <w:ind w:left="0" w:leftChars="0" w:firstLine="482"/>
        <w:rPr>
          <w:rFonts w:eastAsia="宋体"/>
          <w:b w:val="0"/>
          <w:bCs w:val="0"/>
          <w:color w:val="000000" w:themeColor="text1"/>
          <w:sz w:val="24"/>
          <w14:textFill>
            <w14:solidFill>
              <w14:schemeClr w14:val="tx1"/>
            </w14:solidFill>
          </w14:textFill>
        </w:rPr>
      </w:pPr>
      <w:r>
        <w:rPr>
          <w:rFonts w:eastAsia="宋体"/>
          <w:b w:val="0"/>
          <w:bCs w:val="0"/>
          <w:color w:val="000000" w:themeColor="text1"/>
          <w:sz w:val="24"/>
          <w14:textFill>
            <w14:solidFill>
              <w14:schemeClr w14:val="tx1"/>
            </w14:solidFill>
          </w14:textFill>
        </w:rPr>
        <w:t>②一般防</w:t>
      </w:r>
      <w:r>
        <w:rPr>
          <w:rFonts w:hint="eastAsia" w:eastAsia="宋体"/>
          <w:b w:val="0"/>
          <w:bCs w:val="0"/>
          <w:color w:val="000000" w:themeColor="text1"/>
          <w:sz w:val="24"/>
          <w14:textFill>
            <w14:solidFill>
              <w14:schemeClr w14:val="tx1"/>
            </w14:solidFill>
          </w14:textFill>
        </w:rPr>
        <w:t>渗</w:t>
      </w:r>
      <w:r>
        <w:rPr>
          <w:rFonts w:eastAsia="宋体"/>
          <w:b w:val="0"/>
          <w:bCs w:val="0"/>
          <w:color w:val="000000" w:themeColor="text1"/>
          <w:sz w:val="24"/>
          <w14:textFill>
            <w14:solidFill>
              <w14:schemeClr w14:val="tx1"/>
            </w14:solidFill>
          </w14:textFill>
        </w:rPr>
        <w:t>区防渗措施</w:t>
      </w:r>
    </w:p>
    <w:p w14:paraId="46DF7B23">
      <w:pPr>
        <w:pStyle w:val="23"/>
        <w:spacing w:after="0" w:line="360" w:lineRule="auto"/>
        <w:ind w:left="0" w:leftChars="0" w:firstLine="480"/>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一般</w:t>
      </w:r>
      <w:bookmarkStart w:id="98" w:name="Bookmark77"/>
      <w:r>
        <w:rPr>
          <w:rFonts w:eastAsia="宋体"/>
          <w:color w:val="000000" w:themeColor="text1"/>
          <w:sz w:val="24"/>
          <w14:textFill>
            <w14:solidFill>
              <w14:schemeClr w14:val="tx1"/>
            </w14:solidFill>
          </w14:textFill>
        </w:rPr>
        <w:t>防</w:t>
      </w:r>
      <w:bookmarkEnd w:id="98"/>
      <w:r>
        <w:rPr>
          <w:rFonts w:hint="eastAsia" w:eastAsia="宋体"/>
          <w:color w:val="000000" w:themeColor="text1"/>
          <w:sz w:val="24"/>
          <w14:textFill>
            <w14:solidFill>
              <w14:schemeClr w14:val="tx1"/>
            </w14:solidFill>
          </w14:textFill>
        </w:rPr>
        <w:t>渗</w:t>
      </w:r>
      <w:r>
        <w:rPr>
          <w:rFonts w:eastAsia="宋体"/>
          <w:color w:val="000000" w:themeColor="text1"/>
          <w:sz w:val="24"/>
          <w14:textFill>
            <w14:solidFill>
              <w14:schemeClr w14:val="tx1"/>
            </w14:solidFill>
          </w14:textFill>
        </w:rPr>
        <w:t>区主要指重点区域</w:t>
      </w:r>
      <w:r>
        <w:rPr>
          <w:rFonts w:hint="eastAsia" w:eastAsia="宋体"/>
          <w:color w:val="000000" w:themeColor="text1"/>
          <w:sz w:val="24"/>
          <w14:textFill>
            <w14:solidFill>
              <w14:schemeClr w14:val="tx1"/>
            </w14:solidFill>
          </w14:textFill>
        </w:rPr>
        <w:t>外的预留</w:t>
      </w:r>
      <w:r>
        <w:rPr>
          <w:rFonts w:eastAsia="宋体"/>
          <w:color w:val="000000" w:themeColor="text1"/>
          <w:sz w:val="24"/>
          <w14:textFill>
            <w14:solidFill>
              <w14:schemeClr w14:val="tx1"/>
            </w14:solidFill>
          </w14:textFill>
        </w:rPr>
        <w:t>区</w:t>
      </w:r>
      <w:r>
        <w:rPr>
          <w:rFonts w:hint="eastAsia" w:eastAsia="宋体"/>
          <w:color w:val="000000" w:themeColor="text1"/>
          <w:sz w:val="24"/>
          <w14:textFill>
            <w14:solidFill>
              <w14:schemeClr w14:val="tx1"/>
            </w14:solidFill>
          </w14:textFill>
        </w:rPr>
        <w:t>、厂区道路、办公生活区</w:t>
      </w:r>
      <w:r>
        <w:rPr>
          <w:rFonts w:eastAsia="宋体"/>
          <w:color w:val="000000" w:themeColor="text1"/>
          <w:sz w:val="24"/>
          <w14:textFill>
            <w14:solidFill>
              <w14:schemeClr w14:val="tx1"/>
            </w14:solidFill>
          </w14:textFill>
        </w:rPr>
        <w:t>等。一般</w:t>
      </w:r>
      <w:bookmarkStart w:id="99" w:name="Bookmark78"/>
      <w:r>
        <w:rPr>
          <w:rFonts w:eastAsia="宋体"/>
          <w:color w:val="000000" w:themeColor="text1"/>
          <w:sz w:val="24"/>
          <w14:textFill>
            <w14:solidFill>
              <w14:schemeClr w14:val="tx1"/>
            </w14:solidFill>
          </w14:textFill>
        </w:rPr>
        <w:t>防渗</w:t>
      </w:r>
      <w:bookmarkEnd w:id="99"/>
      <w:r>
        <w:rPr>
          <w:rFonts w:eastAsia="宋体"/>
          <w:color w:val="000000" w:themeColor="text1"/>
          <w:sz w:val="24"/>
          <w14:textFill>
            <w14:solidFill>
              <w14:schemeClr w14:val="tx1"/>
            </w14:solidFill>
          </w14:textFill>
        </w:rPr>
        <w:t>区</w:t>
      </w:r>
      <w:bookmarkStart w:id="100" w:name="Bookmark79"/>
      <w:r>
        <w:rPr>
          <w:rFonts w:eastAsia="宋体"/>
          <w:color w:val="000000" w:themeColor="text1"/>
          <w:sz w:val="24"/>
          <w14:textFill>
            <w14:solidFill>
              <w14:schemeClr w14:val="tx1"/>
            </w14:solidFill>
          </w14:textFill>
        </w:rPr>
        <w:t>防</w:t>
      </w:r>
      <w:bookmarkEnd w:id="100"/>
      <w:r>
        <w:rPr>
          <w:rFonts w:hint="eastAsia" w:eastAsia="宋体"/>
          <w:color w:val="000000" w:themeColor="text1"/>
          <w:sz w:val="24"/>
          <w14:textFill>
            <w14:solidFill>
              <w14:schemeClr w14:val="tx1"/>
            </w14:solidFill>
          </w14:textFill>
        </w:rPr>
        <w:t>渗</w:t>
      </w:r>
      <w:r>
        <w:rPr>
          <w:rFonts w:eastAsia="宋体"/>
          <w:color w:val="000000" w:themeColor="text1"/>
          <w:sz w:val="24"/>
          <w14:textFill>
            <w14:solidFill>
              <w14:schemeClr w14:val="tx1"/>
            </w14:solidFill>
          </w14:textFill>
        </w:rPr>
        <w:t>要求为：人工</w:t>
      </w:r>
      <w:bookmarkStart w:id="101" w:name="Bookmark80"/>
      <w:r>
        <w:rPr>
          <w:rFonts w:eastAsia="宋体"/>
          <w:color w:val="000000" w:themeColor="text1"/>
          <w:sz w:val="24"/>
          <w14:textFill>
            <w14:solidFill>
              <w14:schemeClr w14:val="tx1"/>
            </w14:solidFill>
          </w14:textFill>
        </w:rPr>
        <w:t>防</w:t>
      </w:r>
      <w:bookmarkEnd w:id="101"/>
      <w:r>
        <w:rPr>
          <w:rFonts w:hint="eastAsia" w:eastAsia="宋体"/>
          <w:color w:val="000000" w:themeColor="text1"/>
          <w:sz w:val="24"/>
          <w14:textFill>
            <w14:solidFill>
              <w14:schemeClr w14:val="tx1"/>
            </w14:solidFill>
          </w14:textFill>
        </w:rPr>
        <w:t>护</w:t>
      </w:r>
      <w:r>
        <w:rPr>
          <w:rFonts w:eastAsia="宋体"/>
          <w:color w:val="000000" w:themeColor="text1"/>
          <w:sz w:val="24"/>
          <w14:textFill>
            <w14:solidFill>
              <w14:schemeClr w14:val="tx1"/>
            </w14:solidFill>
          </w14:textFill>
        </w:rPr>
        <w:t>层为水泥混凝土硬化地面，厚度在20cm；等效黏土</w:t>
      </w:r>
      <w:bookmarkStart w:id="102" w:name="Bookmark81"/>
      <w:r>
        <w:rPr>
          <w:rFonts w:eastAsia="宋体"/>
          <w:color w:val="000000" w:themeColor="text1"/>
          <w:sz w:val="24"/>
          <w14:textFill>
            <w14:solidFill>
              <w14:schemeClr w14:val="tx1"/>
            </w14:solidFill>
          </w14:textFill>
        </w:rPr>
        <w:t>防</w:t>
      </w:r>
      <w:r>
        <w:rPr>
          <w:rFonts w:hint="eastAsia" w:eastAsia="宋体"/>
          <w:color w:val="000000" w:themeColor="text1"/>
          <w:sz w:val="24"/>
          <w14:textFill>
            <w14:solidFill>
              <w14:schemeClr w14:val="tx1"/>
            </w14:solidFill>
          </w14:textFill>
        </w:rPr>
        <w:t>护</w:t>
      </w:r>
      <w:r>
        <w:rPr>
          <w:rFonts w:eastAsia="宋体"/>
          <w:color w:val="000000" w:themeColor="text1"/>
          <w:sz w:val="24"/>
          <w14:textFill>
            <w14:solidFill>
              <w14:schemeClr w14:val="tx1"/>
            </w14:solidFill>
          </w14:textFill>
        </w:rPr>
        <w:t>层</w:t>
      </w:r>
      <w:bookmarkEnd w:id="102"/>
      <w:r>
        <w:rPr>
          <w:rFonts w:eastAsia="宋体"/>
          <w:color w:val="000000" w:themeColor="text1"/>
          <w:sz w:val="24"/>
          <w14:textFill>
            <w14:solidFill>
              <w14:schemeClr w14:val="tx1"/>
            </w14:solidFill>
          </w14:textFill>
        </w:rPr>
        <w:t>Mb≥1.5m</w:t>
      </w:r>
      <w:bookmarkStart w:id="103" w:name="Bookmark82"/>
      <w:r>
        <w:rPr>
          <w:rFonts w:eastAsia="宋体"/>
          <w:color w:val="000000" w:themeColor="text1"/>
          <w:sz w:val="24"/>
          <w14:textFill>
            <w14:solidFill>
              <w14:schemeClr w14:val="tx1"/>
            </w14:solidFill>
          </w14:textFill>
        </w:rPr>
        <w:t>，</w:t>
      </w:r>
      <w:bookmarkEnd w:id="103"/>
      <w:r>
        <w:rPr>
          <w:rFonts w:eastAsia="宋体"/>
          <w:color w:val="000000" w:themeColor="text1"/>
          <w:sz w:val="24"/>
          <w14:textFill>
            <w14:solidFill>
              <w14:schemeClr w14:val="tx1"/>
            </w14:solidFill>
          </w14:textFill>
        </w:rPr>
        <w:t>K≤1×10</w:t>
      </w:r>
      <w:r>
        <w:rPr>
          <w:rFonts w:eastAsia="宋体"/>
          <w:color w:val="000000" w:themeColor="text1"/>
          <w:sz w:val="24"/>
          <w:vertAlign w:val="superscript"/>
          <w14:textFill>
            <w14:solidFill>
              <w14:schemeClr w14:val="tx1"/>
            </w14:solidFill>
          </w14:textFill>
        </w:rPr>
        <w:t>-7</w:t>
      </w:r>
      <w:r>
        <w:rPr>
          <w:rFonts w:eastAsia="宋体"/>
          <w:color w:val="000000" w:themeColor="text1"/>
          <w:sz w:val="24"/>
          <w14:textFill>
            <w14:solidFill>
              <w14:schemeClr w14:val="tx1"/>
            </w14:solidFill>
          </w14:textFill>
        </w:rPr>
        <w:t>cm/s；</w:t>
      </w:r>
    </w:p>
    <w:p w14:paraId="0683D0C6">
      <w:pPr>
        <w:widowControl/>
        <w:adjustRightInd w:val="0"/>
        <w:snapToGrid w:val="0"/>
        <w:spacing w:line="360" w:lineRule="auto"/>
        <w:ind w:firstLine="480" w:firstLineChars="200"/>
        <w:jc w:val="left"/>
        <w:rPr>
          <w:color w:val="000000" w:themeColor="text1"/>
          <w:kern w:val="0"/>
          <w:sz w:val="24"/>
          <w:lang w:bidi="ar"/>
          <w14:textFill>
            <w14:solidFill>
              <w14:schemeClr w14:val="tx1"/>
            </w14:solidFill>
          </w14:textFill>
        </w:rPr>
      </w:pPr>
      <w:r>
        <w:rPr>
          <w:color w:val="000000" w:themeColor="text1"/>
          <w:sz w:val="24"/>
          <w14:textFill>
            <w14:solidFill>
              <w14:schemeClr w14:val="tx1"/>
            </w14:solidFill>
          </w14:textFill>
        </w:rPr>
        <w:t>项目分区防渗图见下图：</w:t>
      </w:r>
    </w:p>
    <w:p w14:paraId="6266F1EA">
      <w:pPr>
        <w:widowControl/>
        <w:adjustRightInd w:val="0"/>
        <w:snapToGrid w:val="0"/>
        <w:spacing w:line="360" w:lineRule="auto"/>
        <w:jc w:val="center"/>
        <w:rPr>
          <w:b/>
          <w:bCs/>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540375" cy="3432175"/>
            <wp:effectExtent l="0" t="0" r="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9"/>
                    <a:srcRect t="1701" b="7291"/>
                    <a:stretch>
                      <a:fillRect/>
                    </a:stretch>
                  </pic:blipFill>
                  <pic:spPr>
                    <a:xfrm>
                      <a:off x="0" y="0"/>
                      <a:ext cx="5540375" cy="3432175"/>
                    </a:xfrm>
                    <a:prstGeom prst="rect">
                      <a:avLst/>
                    </a:prstGeom>
                    <a:noFill/>
                    <a:ln>
                      <a:noFill/>
                    </a:ln>
                  </pic:spPr>
                </pic:pic>
              </a:graphicData>
            </a:graphic>
          </wp:inline>
        </w:drawing>
      </w:r>
      <w:r>
        <w:rPr>
          <w:b/>
          <w:bCs/>
          <w:color w:val="000000" w:themeColor="text1"/>
          <w:sz w:val="24"/>
          <w14:textFill>
            <w14:solidFill>
              <w14:schemeClr w14:val="tx1"/>
            </w14:solidFill>
          </w14:textFill>
        </w:rPr>
        <w:t>图</w:t>
      </w:r>
      <w:r>
        <w:rPr>
          <w:rFonts w:hint="eastAsia"/>
          <w:b/>
          <w:bCs/>
          <w:color w:val="000000" w:themeColor="text1"/>
          <w:sz w:val="24"/>
          <w14:textFill>
            <w14:solidFill>
              <w14:schemeClr w14:val="tx1"/>
            </w14:solidFill>
          </w14:textFill>
        </w:rPr>
        <w:t>5</w:t>
      </w: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项目分区防渗图</w:t>
      </w:r>
    </w:p>
    <w:p w14:paraId="35720C96">
      <w:pPr>
        <w:pStyle w:val="45"/>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（3）事故应急减缓措施</w:t>
      </w:r>
    </w:p>
    <w:p w14:paraId="4F2ABB4F">
      <w:pPr>
        <w:pStyle w:val="45"/>
        <w:ind w:firstLine="480"/>
        <w:jc w:val="lef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当发生泄漏事故时，将泄漏物料、消防废水等经排污沟收集引入事故应急池，及时开展救援，并将蔓延范围尽量控制在厂区内。事故发生后应将厂区围墙泄漏处堵住，避免事故废水进入厂区外未硬化防渗处理的地方。项目厂区地面均进行了相应的硬化、防渗处理，事故废水下渗污染地下水的概率较小，将事故废水经排污沟收集引入事故应急池，可避免或减少事故废水排放至厂区外，对地下水环境影响不大。</w:t>
      </w:r>
    </w:p>
    <w:bookmarkEnd w:id="77"/>
    <w:p w14:paraId="0B9D0C83">
      <w:pPr>
        <w:pStyle w:val="45"/>
        <w:keepNext w:val="0"/>
        <w:keepLines w:val="0"/>
        <w:pageBreakBefore w:val="0"/>
        <w:widowControl w:val="0"/>
        <w:kinsoku/>
        <w:wordWrap/>
        <w:overflowPunct/>
        <w:topLinePunct w:val="0"/>
        <w:autoSpaceDE/>
        <w:autoSpaceDN/>
        <w:bidi w:val="0"/>
        <w:adjustRightInd/>
        <w:snapToGrid/>
        <w:ind w:firstLine="0" w:firstLineChars="0"/>
        <w:textAlignment w:val="auto"/>
        <w:outlineLvl w:val="2"/>
        <w:rPr>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5.1.7</w:t>
      </w:r>
      <w:r>
        <w:rPr>
          <w:b/>
          <w:color w:val="000000" w:themeColor="text1"/>
          <w14:textFill>
            <w14:solidFill>
              <w14:schemeClr w14:val="tx1"/>
            </w14:solidFill>
          </w14:textFill>
        </w:rPr>
        <w:t>运输过程的防范措施</w:t>
      </w:r>
    </w:p>
    <w:p w14:paraId="22F5B94F">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1）建立、健全安全和消防管理制度，对管理、行车人员应进行安全消防知识的教育和业务技术培训，应采用安全性能优良的专用运输槽车，运输车辆配备必要的事故急救设备和器材，如手提式灭火器、防毒面具、急救箱等。驾驶员、押运员应按规定穿着防静电工作服上岗。</w:t>
      </w:r>
    </w:p>
    <w:p w14:paraId="47D2DC9F">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2）加强对车辆的管理，加强车检工作，保证上路车辆车况良好；依据国务院发布的《化学危险物品安全管理条例》有关要求，运输危险品须持有部门颁发的三张证书，即运输许可证、驾驶员执照及保安员证书；必须在运输车辆运输的危险品的外包装的明显部位按《危险货物包装标志》（GB190-90）规定的危险物品标志，包装标志要</w:t>
      </w:r>
      <w:bookmarkStart w:id="104" w:name="Bookmark27"/>
      <w:r>
        <w:rPr>
          <w:color w:val="000000" w:themeColor="text1"/>
          <w14:textFill>
            <w14:solidFill>
              <w14:schemeClr w14:val="tx1"/>
            </w14:solidFill>
          </w14:textFill>
        </w:rPr>
        <w:t>粘</w:t>
      </w:r>
      <w:bookmarkEnd w:id="104"/>
      <w:r>
        <w:rPr>
          <w:rFonts w:hint="eastAsia"/>
          <w:color w:val="000000" w:themeColor="text1"/>
          <w14:textFill>
            <w14:solidFill>
              <w14:schemeClr w14:val="tx1"/>
            </w14:solidFill>
          </w14:textFill>
        </w:rPr>
        <w:t>贴</w:t>
      </w:r>
      <w:r>
        <w:rPr>
          <w:color w:val="000000" w:themeColor="text1"/>
          <w14:textFill>
            <w14:solidFill>
              <w14:schemeClr w14:val="tx1"/>
            </w14:solidFill>
          </w14:textFill>
        </w:rPr>
        <w:t>牢固、正确。具有易燃、有毒等多种危险特性的化学品，则应该根据其不同危险特性而同时粘贴相应的几个包装标志，以便一旦发生问题，可以进行多种防护；严格禁止车辆超载、超速。</w:t>
      </w:r>
    </w:p>
    <w:p w14:paraId="7F66A031">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（3）对社会承运车辆，必须建立记录，留移动电话，并通知客户，以跟踪车辆途中状况，出现问题及时发现及时处理。</w:t>
      </w:r>
    </w:p>
    <w:p w14:paraId="1F1C6F3D">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4）必须严格按照危险品运输的相关规定，如必须配备固定装运危险品的车辆和驾驶员，运输危险品车辆的驾驶员一定要经过专业的培训，运输危险品的车辆必须在运输道路上保持安全车速，严禁外来明火，同时还必须有随车人员负责押送，随车人员必须经过专业的培训。</w:t>
      </w:r>
    </w:p>
    <w:p w14:paraId="20E43F51">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5）通过道路运输危险化学品的，应当配备押运人员，并保证所运输的危险化学品处于押运人员的监控之下。运输危险化学品途中因住宿或者发生影响正常运输的情况，需要较长时间停车的，驾驶人员、押运人员应当采取相应的安全防范措施。</w:t>
      </w:r>
    </w:p>
    <w:p w14:paraId="6F5DDD31">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6）在危险物品的运输过程中，一旦发生意外事故，驾驶员和押运人员应在采取应急处理的同时，迅速报告公安机关和环保等有关部门，疏散群众，防止事态进一步扩大，并积极协助前来救助的公安交通和消防人员抢救伤者和物资，使损失减至最小范围。</w:t>
      </w:r>
    </w:p>
    <w:p w14:paraId="7EFB87AC">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（7）运输时所用的槽（罐）车应有接地链，槽内可设隔板以减少震荡产生静电。严禁与氧化剂、卤素、食用化学品等混装混运。</w:t>
      </w:r>
    </w:p>
    <w:p w14:paraId="0D30C49B">
      <w:pPr>
        <w:pStyle w:val="45"/>
        <w:keepNext w:val="0"/>
        <w:keepLines w:val="0"/>
        <w:pageBreakBefore w:val="0"/>
        <w:widowControl w:val="0"/>
        <w:kinsoku/>
        <w:wordWrap/>
        <w:overflowPunct/>
        <w:topLinePunct w:val="0"/>
        <w:autoSpaceDE/>
        <w:autoSpaceDN/>
        <w:bidi w:val="0"/>
        <w:adjustRightInd/>
        <w:snapToGrid/>
        <w:ind w:firstLine="0" w:firstLineChars="0"/>
        <w:textAlignment w:val="auto"/>
        <w:outlineLvl w:val="2"/>
        <w:rPr>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5.1.8</w:t>
      </w:r>
      <w:r>
        <w:rPr>
          <w:b/>
          <w:color w:val="000000" w:themeColor="text1"/>
          <w14:textFill>
            <w14:solidFill>
              <w14:schemeClr w14:val="tx1"/>
            </w14:solidFill>
          </w14:textFill>
        </w:rPr>
        <w:t>泄漏预防措施</w:t>
      </w:r>
    </w:p>
    <w:p w14:paraId="64BFE98D">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原料库、成品库、生产车间</w:t>
      </w:r>
      <w:r>
        <w:rPr>
          <w:color w:val="000000" w:themeColor="text1"/>
          <w14:textFill>
            <w14:solidFill>
              <w14:schemeClr w14:val="tx1"/>
            </w14:solidFill>
          </w14:textFill>
        </w:rPr>
        <w:t>、事故</w:t>
      </w:r>
      <w:r>
        <w:rPr>
          <w:rFonts w:hint="eastAsia"/>
          <w:color w:val="000000" w:themeColor="text1"/>
          <w14:textFill>
            <w14:solidFill>
              <w14:schemeClr w14:val="tx1"/>
            </w14:solidFill>
          </w14:textFill>
        </w:rPr>
        <w:t>应急</w:t>
      </w:r>
      <w:r>
        <w:rPr>
          <w:color w:val="000000" w:themeColor="text1"/>
          <w14:textFill>
            <w14:solidFill>
              <w14:schemeClr w14:val="tx1"/>
            </w14:solidFill>
          </w14:textFill>
        </w:rPr>
        <w:t>池等地面需采用防渗材料处理，铺设防渗漏的材料，防止泄漏外流影响周围环境。</w:t>
      </w:r>
    </w:p>
    <w:p w14:paraId="316FB531">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）严格执行安全和消防规范。厂区内设置消防通道，以利于消防和疏散。</w:t>
      </w:r>
    </w:p>
    <w:p w14:paraId="2586F304">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）加强车间通风，避免造成有害物质的聚集。</w:t>
      </w:r>
    </w:p>
    <w:p w14:paraId="4525AE9A">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）对压力计、温度计及各种调节器进行定期检查，对各类阀门进行检查和维修，以保证其严密性和灵活性。</w:t>
      </w:r>
    </w:p>
    <w:p w14:paraId="51A83518">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（6）设置可移动的泵送装置，一旦发生大规模泄漏事故，能及时</w:t>
      </w:r>
      <w:r>
        <w:rPr>
          <w:rFonts w:hint="eastAsia"/>
          <w:color w:val="000000" w:themeColor="text1"/>
          <w14:textFill>
            <w14:solidFill>
              <w14:schemeClr w14:val="tx1"/>
            </w14:solidFill>
          </w14:textFill>
        </w:rPr>
        <w:t>将水解的硫酸铵排</w:t>
      </w:r>
      <w:r>
        <w:rPr>
          <w:color w:val="000000" w:themeColor="text1"/>
          <w14:textFill>
            <w14:solidFill>
              <w14:schemeClr w14:val="tx1"/>
            </w14:solidFill>
          </w14:textFill>
        </w:rPr>
        <w:t>至事故</w:t>
      </w:r>
      <w:r>
        <w:rPr>
          <w:rFonts w:hint="eastAsia"/>
          <w:color w:val="000000" w:themeColor="text1"/>
          <w14:textFill>
            <w14:solidFill>
              <w14:schemeClr w14:val="tx1"/>
            </w14:solidFill>
          </w14:textFill>
        </w:rPr>
        <w:t>应急</w:t>
      </w:r>
      <w:r>
        <w:rPr>
          <w:color w:val="000000" w:themeColor="text1"/>
          <w14:textFill>
            <w14:solidFill>
              <w14:schemeClr w14:val="tx1"/>
            </w14:solidFill>
          </w14:textFill>
        </w:rPr>
        <w:t>池内，防止消防废水溢出</w:t>
      </w:r>
      <w:r>
        <w:rPr>
          <w:rFonts w:hint="eastAsia"/>
          <w:color w:val="000000" w:themeColor="text1"/>
          <w14:textFill>
            <w14:solidFill>
              <w14:schemeClr w14:val="tx1"/>
            </w14:solidFill>
          </w14:textFill>
        </w:rPr>
        <w:t>厂区外</w:t>
      </w:r>
      <w:r>
        <w:rPr>
          <w:color w:val="000000" w:themeColor="text1"/>
          <w14:textFill>
            <w14:solidFill>
              <w14:schemeClr w14:val="tx1"/>
            </w14:solidFill>
          </w14:textFill>
        </w:rPr>
        <w:t>。</w:t>
      </w:r>
    </w:p>
    <w:p w14:paraId="3D09A9D1">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（7）加强作业时巡视检查，禁止无关人员进入污染区。</w:t>
      </w:r>
    </w:p>
    <w:p w14:paraId="36C4976F">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（8）项目事故应急池、</w:t>
      </w:r>
      <w:r>
        <w:rPr>
          <w:rFonts w:hint="eastAsia"/>
          <w:color w:val="000000" w:themeColor="text1"/>
          <w14:textFill>
            <w14:solidFill>
              <w14:schemeClr w14:val="tx1"/>
            </w14:solidFill>
          </w14:textFill>
        </w:rPr>
        <w:t>原料库、成品库、生产车间</w:t>
      </w:r>
      <w:r>
        <w:rPr>
          <w:color w:val="000000" w:themeColor="text1"/>
          <w14:textFill>
            <w14:solidFill>
              <w14:schemeClr w14:val="tx1"/>
            </w14:solidFill>
          </w14:textFill>
        </w:rPr>
        <w:t>均应该采取防渗措施，项目在生产及</w:t>
      </w:r>
      <w:bookmarkStart w:id="105" w:name="Bookmark41"/>
      <w:r>
        <w:rPr>
          <w:color w:val="000000" w:themeColor="text1"/>
          <w14:textFill>
            <w14:solidFill>
              <w14:schemeClr w14:val="tx1"/>
            </w14:solidFill>
          </w14:textFill>
        </w:rPr>
        <w:t>装车</w:t>
      </w:r>
      <w:bookmarkEnd w:id="105"/>
      <w:r>
        <w:rPr>
          <w:color w:val="000000" w:themeColor="text1"/>
          <w14:textFill>
            <w14:solidFill>
              <w14:schemeClr w14:val="tx1"/>
            </w14:solidFill>
          </w14:textFill>
        </w:rPr>
        <w:t>过程中冒</w:t>
      </w:r>
      <w:bookmarkStart w:id="106" w:name="Bookmark42"/>
      <w:r>
        <w:rPr>
          <w:rFonts w:hint="eastAsia"/>
          <w:color w:val="000000" w:themeColor="text1"/>
          <w14:textFill>
            <w14:solidFill>
              <w14:schemeClr w14:val="tx1"/>
            </w14:solidFill>
          </w14:textFill>
        </w:rPr>
        <w:t>、</w:t>
      </w:r>
      <w:r>
        <w:rPr>
          <w:color w:val="000000" w:themeColor="text1"/>
          <w14:textFill>
            <w14:solidFill>
              <w14:schemeClr w14:val="tx1"/>
            </w14:solidFill>
          </w14:textFill>
        </w:rPr>
        <w:t>跑</w:t>
      </w:r>
      <w:bookmarkEnd w:id="106"/>
      <w:r>
        <w:rPr>
          <w:color w:val="000000" w:themeColor="text1"/>
          <w14:textFill>
            <w14:solidFill>
              <w14:schemeClr w14:val="tx1"/>
            </w14:solidFill>
          </w14:textFill>
        </w:rPr>
        <w:t>、滴、漏产生残液，用大量消防水冲洗，经</w:t>
      </w:r>
      <w:r>
        <w:rPr>
          <w:rFonts w:hint="eastAsia"/>
          <w:color w:val="000000" w:themeColor="text1"/>
          <w14:textFill>
            <w14:solidFill>
              <w14:schemeClr w14:val="tx1"/>
            </w14:solidFill>
          </w14:textFill>
        </w:rPr>
        <w:t>排水沟</w:t>
      </w:r>
      <w:r>
        <w:rPr>
          <w:color w:val="000000" w:themeColor="text1"/>
          <w14:textFill>
            <w14:solidFill>
              <w14:schemeClr w14:val="tx1"/>
            </w14:solidFill>
          </w14:textFill>
        </w:rPr>
        <w:t>收集到事故应急池，</w:t>
      </w:r>
      <w:r>
        <w:rPr>
          <w:rFonts w:hint="eastAsia"/>
          <w:color w:val="000000" w:themeColor="text1"/>
          <w14:textFill>
            <w14:solidFill>
              <w14:schemeClr w14:val="tx1"/>
            </w14:solidFill>
          </w14:textFill>
        </w:rPr>
        <w:t>分批</w:t>
      </w:r>
      <w:r>
        <w:rPr>
          <w:color w:val="000000" w:themeColor="text1"/>
          <w14:textFill>
            <w14:solidFill>
              <w14:schemeClr w14:val="tx1"/>
            </w14:solidFill>
          </w14:textFill>
        </w:rPr>
        <w:t>运往</w:t>
      </w:r>
      <w:r>
        <w:rPr>
          <w:rFonts w:hint="eastAsia"/>
          <w:color w:val="000000" w:themeColor="text1"/>
          <w14:textFill>
            <w14:solidFill>
              <w14:schemeClr w14:val="tx1"/>
            </w14:solidFill>
          </w14:textFill>
        </w:rPr>
        <w:t>大榄坪污水处理厂</w:t>
      </w:r>
      <w:r>
        <w:rPr>
          <w:color w:val="000000" w:themeColor="text1"/>
          <w14:textFill>
            <w14:solidFill>
              <w14:schemeClr w14:val="tx1"/>
            </w14:solidFill>
          </w14:textFill>
        </w:rPr>
        <w:t>。另外项目应定期监测地下水，一旦发现地下水受到污染，应立即对本项目事故应急池、</w:t>
      </w:r>
      <w:r>
        <w:rPr>
          <w:rFonts w:hint="eastAsia"/>
          <w:color w:val="000000" w:themeColor="text1"/>
          <w14:textFill>
            <w14:solidFill>
              <w14:schemeClr w14:val="tx1"/>
            </w14:solidFill>
          </w14:textFill>
        </w:rPr>
        <w:t>原料库、成品库、生产车间</w:t>
      </w:r>
      <w:r>
        <w:rPr>
          <w:color w:val="000000" w:themeColor="text1"/>
          <w14:textFill>
            <w14:solidFill>
              <w14:schemeClr w14:val="tx1"/>
            </w14:solidFill>
          </w14:textFill>
        </w:rPr>
        <w:t>的防渗系统进行修复。</w:t>
      </w:r>
    </w:p>
    <w:p w14:paraId="2EF2555E">
      <w:pPr>
        <w:pStyle w:val="45"/>
        <w:keepNext w:val="0"/>
        <w:keepLines w:val="0"/>
        <w:pageBreakBefore w:val="0"/>
        <w:widowControl w:val="0"/>
        <w:kinsoku/>
        <w:wordWrap/>
        <w:overflowPunct/>
        <w:topLinePunct w:val="0"/>
        <w:autoSpaceDE/>
        <w:autoSpaceDN/>
        <w:bidi w:val="0"/>
        <w:adjustRightInd/>
        <w:snapToGrid/>
        <w:ind w:firstLine="0" w:firstLineChars="0"/>
        <w:textAlignment w:val="auto"/>
        <w:outlineLvl w:val="2"/>
        <w:rPr>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5.1.9</w:t>
      </w:r>
      <w:r>
        <w:rPr>
          <w:b/>
          <w:color w:val="000000" w:themeColor="text1"/>
          <w14:textFill>
            <w14:solidFill>
              <w14:schemeClr w14:val="tx1"/>
            </w14:solidFill>
          </w14:textFill>
        </w:rPr>
        <w:t>火灾、爆炸预防措施</w:t>
      </w:r>
    </w:p>
    <w:p w14:paraId="21C1BB09">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（1）定期对设备进行安全检测，检测内容、时间、人员应有记录保存。安全检测应根据设备的安全性、危险性设定检测频次。</w:t>
      </w:r>
    </w:p>
    <w:p w14:paraId="2031117A">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（2）厂区应设立警示标志，禁止人为火源、禁止使用可能产生火花的工具；设立围挡，防止汽车或其他碰撞。汽车等机动车在厂内行驶，须安装阻火器，必要设备安装防火、防爆装置，车速不得高于5km/h。</w:t>
      </w:r>
    </w:p>
    <w:p w14:paraId="15783A8F">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3）严格按防火、防爆设计规范的要求进行设计，按规范设置消防系统，配置相应的灭火装置和设施。在重要岗位设置火焰探测器和火警报警系统，并经常检查确保设施正常运转。严格按照规范进行设计和施工，设置足够数量的灭火装置、灭火器材。</w:t>
      </w:r>
    </w:p>
    <w:p w14:paraId="406B2D22">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（4）设置火灾报警系统，该系统由火灾报警控制器、火灾探测器、手动报警按钮等组成，以利于自动预警和及时组织灭火扑救。</w:t>
      </w:r>
    </w:p>
    <w:p w14:paraId="6AAF3921">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（5）根据生产工艺介质的特点，按《爆炸和火灾危险环境</w:t>
      </w:r>
      <w:bookmarkStart w:id="107" w:name="Bookmark46"/>
      <w:r>
        <w:rPr>
          <w:color w:val="000000" w:themeColor="text1"/>
          <w14:textFill>
            <w14:solidFill>
              <w14:schemeClr w14:val="tx1"/>
            </w14:solidFill>
          </w14:textFill>
        </w:rPr>
        <w:t>电力</w:t>
      </w:r>
      <w:bookmarkEnd w:id="107"/>
      <w:r>
        <w:rPr>
          <w:color w:val="000000" w:themeColor="text1"/>
          <w14:textFill>
            <w14:solidFill>
              <w14:schemeClr w14:val="tx1"/>
            </w14:solidFill>
          </w14:textFill>
        </w:rPr>
        <w:t>装置设计规范》选用电器设备，并采取静电接地措施，同时设避雷装置。</w:t>
      </w:r>
    </w:p>
    <w:p w14:paraId="5F2FA7A3">
      <w:pPr>
        <w:pStyle w:val="45"/>
        <w:keepNext w:val="0"/>
        <w:keepLines w:val="0"/>
        <w:pageBreakBefore w:val="0"/>
        <w:widowControl w:val="0"/>
        <w:kinsoku/>
        <w:wordWrap/>
        <w:overflowPunct/>
        <w:topLinePunct w:val="0"/>
        <w:autoSpaceDE/>
        <w:autoSpaceDN/>
        <w:bidi w:val="0"/>
        <w:adjustRightInd/>
        <w:snapToGrid/>
        <w:ind w:firstLine="0" w:firstLineChars="0"/>
        <w:textAlignment w:val="auto"/>
        <w:outlineLvl w:val="2"/>
        <w:rPr>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5.1.10</w:t>
      </w:r>
      <w:r>
        <w:rPr>
          <w:b/>
          <w:color w:val="000000" w:themeColor="text1"/>
          <w14:textFill>
            <w14:solidFill>
              <w14:schemeClr w14:val="tx1"/>
            </w14:solidFill>
          </w14:textFill>
        </w:rPr>
        <w:t>污染治理系统事故预防措施</w:t>
      </w:r>
    </w:p>
    <w:p w14:paraId="423F13B2">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（1）废气收集、治理设施应委托有资质的单位设计施工，且在设计、施工时，应严格按照工程设计规范要求进行。</w:t>
      </w:r>
    </w:p>
    <w:p w14:paraId="08E37AB2">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（2）加强治理设施的运行管理和日常维护，发现异常应及时找出原因及时维修。</w:t>
      </w:r>
    </w:p>
    <w:p w14:paraId="19E6A8C7">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（3）整个生产区、</w:t>
      </w:r>
      <w:r>
        <w:rPr>
          <w:rFonts w:hint="eastAsia"/>
          <w:color w:val="000000" w:themeColor="text1"/>
          <w14:textFill>
            <w14:solidFill>
              <w14:schemeClr w14:val="tx1"/>
            </w14:solidFill>
          </w14:textFill>
        </w:rPr>
        <w:t>原料库、成品库</w:t>
      </w:r>
      <w:r>
        <w:rPr>
          <w:color w:val="000000" w:themeColor="text1"/>
          <w14:textFill>
            <w14:solidFill>
              <w14:schemeClr w14:val="tx1"/>
            </w14:solidFill>
          </w14:textFill>
        </w:rPr>
        <w:t>设有完善的事故收集系统，保证发生事故时，泄漏物料</w:t>
      </w:r>
      <w:r>
        <w:rPr>
          <w:rFonts w:hint="eastAsia"/>
          <w:color w:val="000000" w:themeColor="text1"/>
          <w14:textFill>
            <w14:solidFill>
              <w14:schemeClr w14:val="tx1"/>
            </w14:solidFill>
          </w14:textFill>
        </w:rPr>
        <w:t>、消防废水</w:t>
      </w:r>
      <w:r>
        <w:rPr>
          <w:color w:val="000000" w:themeColor="text1"/>
          <w14:textFill>
            <w14:solidFill>
              <w14:schemeClr w14:val="tx1"/>
            </w14:solidFill>
          </w14:textFill>
        </w:rPr>
        <w:t>能迅速、安全地集中到事故</w:t>
      </w:r>
      <w:r>
        <w:rPr>
          <w:rFonts w:hint="eastAsia"/>
          <w:color w:val="000000" w:themeColor="text1"/>
          <w14:textFill>
            <w14:solidFill>
              <w14:schemeClr w14:val="tx1"/>
            </w14:solidFill>
          </w14:textFill>
        </w:rPr>
        <w:t>应急</w:t>
      </w:r>
      <w:r>
        <w:rPr>
          <w:color w:val="000000" w:themeColor="text1"/>
          <w14:textFill>
            <w14:solidFill>
              <w14:schemeClr w14:val="tx1"/>
            </w14:solidFill>
          </w14:textFill>
        </w:rPr>
        <w:t>池，进行集中处理。事故</w:t>
      </w:r>
      <w:r>
        <w:rPr>
          <w:rFonts w:hint="eastAsia"/>
          <w:color w:val="000000" w:themeColor="text1"/>
          <w14:textFill>
            <w14:solidFill>
              <w14:schemeClr w14:val="tx1"/>
            </w14:solidFill>
          </w14:textFill>
        </w:rPr>
        <w:t>应急</w:t>
      </w:r>
      <w:r>
        <w:rPr>
          <w:color w:val="000000" w:themeColor="text1"/>
          <w14:textFill>
            <w14:solidFill>
              <w14:schemeClr w14:val="tx1"/>
            </w14:solidFill>
          </w14:textFill>
        </w:rPr>
        <w:t>池平时保持干净、不能占用及储存水，雨水需及时清空，保证在任何状态下均可投入应急使用。</w:t>
      </w:r>
    </w:p>
    <w:p w14:paraId="47AA08AB">
      <w:pPr>
        <w:pStyle w:val="3"/>
        <w:spacing w:before="0" w:after="0" w:line="360" w:lineRule="auto"/>
        <w:rPr>
          <w:rFonts w:ascii="Times New Roman" w:hAnsi="Times New Roman" w:eastAsia="宋体"/>
          <w:color w:val="000000" w:themeColor="text1"/>
          <w:sz w:val="28"/>
          <w:szCs w:val="28"/>
          <w14:textFill>
            <w14:solidFill>
              <w14:schemeClr w14:val="tx1"/>
            </w14:solidFill>
          </w14:textFill>
        </w:rPr>
      </w:pPr>
      <w:bookmarkStart w:id="108" w:name="_Toc21034"/>
      <w:bookmarkStart w:id="109" w:name="_Toc533671919"/>
      <w:r>
        <w:rPr>
          <w:rFonts w:hint="eastAsia" w:ascii="Times New Roman" w:hAnsi="Times New Roman" w:eastAsia="宋体"/>
          <w:color w:val="000000" w:themeColor="text1"/>
          <w:sz w:val="28"/>
          <w:szCs w:val="28"/>
          <w14:textFill>
            <w14:solidFill>
              <w14:schemeClr w14:val="tx1"/>
            </w14:solidFill>
          </w14:textFill>
        </w:rPr>
        <w:t>5</w:t>
      </w:r>
      <w:r>
        <w:rPr>
          <w:rFonts w:ascii="Times New Roman" w:hAnsi="Times New Roman" w:eastAsia="宋体"/>
          <w:color w:val="000000" w:themeColor="text1"/>
          <w:sz w:val="28"/>
          <w:szCs w:val="28"/>
          <w14:textFill>
            <w14:solidFill>
              <w14:schemeClr w14:val="tx1"/>
            </w14:solidFill>
          </w14:textFill>
        </w:rPr>
        <w:t>.2事故应急对策</w:t>
      </w:r>
      <w:bookmarkEnd w:id="108"/>
      <w:bookmarkEnd w:id="109"/>
    </w:p>
    <w:p w14:paraId="611B64E1">
      <w:pPr>
        <w:pStyle w:val="45"/>
        <w:keepNext w:val="0"/>
        <w:keepLines w:val="0"/>
        <w:pageBreakBefore w:val="0"/>
        <w:widowControl w:val="0"/>
        <w:kinsoku/>
        <w:wordWrap/>
        <w:overflowPunct/>
        <w:topLinePunct w:val="0"/>
        <w:autoSpaceDE/>
        <w:autoSpaceDN/>
        <w:bidi w:val="0"/>
        <w:adjustRightInd/>
        <w:snapToGrid/>
        <w:ind w:firstLine="0" w:firstLineChars="0"/>
        <w:textAlignment w:val="auto"/>
        <w:outlineLvl w:val="2"/>
        <w:rPr>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5.2.1</w:t>
      </w:r>
      <w:r>
        <w:rPr>
          <w:b/>
          <w:color w:val="000000" w:themeColor="text1"/>
          <w14:textFill>
            <w14:solidFill>
              <w14:schemeClr w14:val="tx1"/>
            </w14:solidFill>
          </w14:textFill>
        </w:rPr>
        <w:t>火灾事故应急处理措施</w:t>
      </w:r>
    </w:p>
    <w:p w14:paraId="72FA06FE">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（1）一旦发生火灾事故，应马上发出火灾警报，迅速疏散非应急人员；启动</w:t>
      </w:r>
      <w:r>
        <w:rPr>
          <w:rFonts w:hint="eastAsia"/>
          <w:color w:val="000000" w:themeColor="text1"/>
          <w14:textFill>
            <w14:solidFill>
              <w14:schemeClr w14:val="tx1"/>
            </w14:solidFill>
          </w14:textFill>
        </w:rPr>
        <w:t>联锁</w:t>
      </w:r>
      <w:r>
        <w:rPr>
          <w:color w:val="000000" w:themeColor="text1"/>
          <w14:textFill>
            <w14:solidFill>
              <w14:schemeClr w14:val="tx1"/>
            </w14:solidFill>
          </w14:textFill>
        </w:rPr>
        <w:t>系统切断关联设备；停止厂区的全部生产活动，关闭</w:t>
      </w:r>
      <w:r>
        <w:rPr>
          <w:rFonts w:hint="eastAsia"/>
          <w:color w:val="000000" w:themeColor="text1"/>
          <w14:textFill>
            <w14:solidFill>
              <w14:schemeClr w14:val="tx1"/>
            </w14:solidFill>
          </w14:textFill>
        </w:rPr>
        <w:t>雨水外排闸阀</w:t>
      </w:r>
      <w:r>
        <w:rPr>
          <w:color w:val="000000" w:themeColor="text1"/>
          <w14:textFill>
            <w14:solidFill>
              <w14:schemeClr w14:val="tx1"/>
            </w14:solidFill>
          </w14:textFill>
        </w:rPr>
        <w:t>。</w:t>
      </w:r>
    </w:p>
    <w:p w14:paraId="7CEB36C1">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2）向应急中心汇报事情的事态，初步预测可能对人员、管线和设备等造成的危害并立即向消防、公安等单位报告；调整应急人员及装备，组成火灾事故应急救援队，在现场指挥人员的指挥下，及时开展灭火行动。</w:t>
      </w:r>
    </w:p>
    <w:p w14:paraId="66A08D50">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（3）针对火灾现场的人员和管线设备等，采取保护性措施，如自动开启喷雾系统，降低火焰辐射强度，减轻人员伤亡和避免火灾蔓延。</w:t>
      </w:r>
    </w:p>
    <w:p w14:paraId="385A1200">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（4）进行火情侦察、火灾扑救、火场疏散人员应有针对性地采取个体防护措施，如佩戴防护面具和空气呼吸器，穿戴专用防护服等。</w:t>
      </w:r>
    </w:p>
    <w:p w14:paraId="72715EF7">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（5）应迅速查明燃烧范围、燃烧物品及其周围物品的品名和主要危险特性、火势蔓延的主要途径。</w:t>
      </w:r>
    </w:p>
    <w:p w14:paraId="02552930">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（6）对有可能发生爆炸、爆裂、喷溅等特别危险需紧急撤退的情况，应按照统一的撤退信号和撤退方法及时撤退。（撤退信号应格外醒目，能使现场所有人员都看到或听到，并应经常演练）。</w:t>
      </w:r>
    </w:p>
    <w:p w14:paraId="1819C8DE">
      <w:pPr>
        <w:pStyle w:val="45"/>
        <w:keepNext w:val="0"/>
        <w:keepLines w:val="0"/>
        <w:pageBreakBefore w:val="0"/>
        <w:widowControl w:val="0"/>
        <w:kinsoku/>
        <w:wordWrap/>
        <w:overflowPunct/>
        <w:topLinePunct w:val="0"/>
        <w:autoSpaceDE/>
        <w:autoSpaceDN/>
        <w:bidi w:val="0"/>
        <w:adjustRightInd/>
        <w:snapToGrid/>
        <w:ind w:firstLine="0" w:firstLineChars="0"/>
        <w:textAlignment w:val="auto"/>
        <w:outlineLvl w:val="2"/>
        <w:rPr>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5.2.2</w:t>
      </w:r>
      <w:r>
        <w:rPr>
          <w:b/>
          <w:color w:val="000000" w:themeColor="text1"/>
          <w14:textFill>
            <w14:solidFill>
              <w14:schemeClr w14:val="tx1"/>
            </w14:solidFill>
          </w14:textFill>
        </w:rPr>
        <w:t>泄漏事故应急处理措施</w:t>
      </w:r>
    </w:p>
    <w:p w14:paraId="303BA97E">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（1）疏散人员至上风口处，并隔离至气体散尽或将泄漏控制住。</w:t>
      </w:r>
    </w:p>
    <w:p w14:paraId="7BE22421">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（2）切断火源，必要时切断污染区的电源，开启室外消防水进行喷雾、喷淋。</w:t>
      </w:r>
    </w:p>
    <w:p w14:paraId="2D9112A1">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（3）应急人员</w:t>
      </w:r>
      <w:r>
        <w:rPr>
          <w:rFonts w:hint="eastAsia"/>
          <w:color w:val="000000" w:themeColor="text1"/>
          <w14:textFill>
            <w14:solidFill>
              <w14:schemeClr w14:val="tx1"/>
            </w14:solidFill>
          </w14:textFill>
        </w:rPr>
        <w:t>佩戴</w:t>
      </w:r>
      <w:r>
        <w:rPr>
          <w:color w:val="000000" w:themeColor="text1"/>
          <w14:textFill>
            <w14:solidFill>
              <w14:schemeClr w14:val="tx1"/>
            </w14:solidFill>
          </w14:textFill>
        </w:rPr>
        <w:t>好专用防毒面具及手套进入现场检查原因，抢救人员应戴防护手套和专用防毒面具。</w:t>
      </w:r>
    </w:p>
    <w:p w14:paraId="31848215">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（4）在泄漏区严禁使用产生火花的工具和机动车辆，严重时还应禁止使用通讯工具。</w:t>
      </w:r>
    </w:p>
    <w:p w14:paraId="437F2011">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（5）逃生人员应逆风逃生，并用湿毛巾、口罩或衣物置于口鼻处。</w:t>
      </w:r>
    </w:p>
    <w:p w14:paraId="7EFE0E1B">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（6）中毒人员应立即送往通风处，进行紧急抢救并通知专业部门。</w:t>
      </w:r>
    </w:p>
    <w:p w14:paraId="73700B28">
      <w:pPr>
        <w:pStyle w:val="3"/>
        <w:spacing w:before="0" w:after="0" w:line="360" w:lineRule="auto"/>
        <w:rPr>
          <w:rFonts w:ascii="Times New Roman" w:hAnsi="Times New Roman" w:eastAsia="宋体"/>
          <w:color w:val="000000" w:themeColor="text1"/>
          <w:sz w:val="28"/>
          <w:szCs w:val="28"/>
          <w14:textFill>
            <w14:solidFill>
              <w14:schemeClr w14:val="tx1"/>
            </w14:solidFill>
          </w14:textFill>
        </w:rPr>
      </w:pPr>
      <w:bookmarkStart w:id="110" w:name="_Toc7357"/>
      <w:bookmarkStart w:id="111" w:name="_Toc533671920"/>
      <w:r>
        <w:rPr>
          <w:rFonts w:hint="eastAsia" w:ascii="Times New Roman" w:hAnsi="Times New Roman" w:eastAsia="宋体"/>
          <w:color w:val="000000" w:themeColor="text1"/>
          <w:sz w:val="28"/>
          <w:szCs w:val="28"/>
          <w14:textFill>
            <w14:solidFill>
              <w14:schemeClr w14:val="tx1"/>
            </w14:solidFill>
          </w14:textFill>
        </w:rPr>
        <w:t>5</w:t>
      </w:r>
      <w:r>
        <w:rPr>
          <w:rFonts w:ascii="Times New Roman" w:hAnsi="Times New Roman" w:eastAsia="宋体"/>
          <w:color w:val="000000" w:themeColor="text1"/>
          <w:sz w:val="28"/>
          <w:szCs w:val="28"/>
          <w14:textFill>
            <w14:solidFill>
              <w14:schemeClr w14:val="tx1"/>
            </w14:solidFill>
          </w14:textFill>
        </w:rPr>
        <w:t>.3应急预案</w:t>
      </w:r>
      <w:bookmarkEnd w:id="110"/>
      <w:bookmarkEnd w:id="111"/>
    </w:p>
    <w:p w14:paraId="2C68E65C">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为保证企业及</w:t>
      </w:r>
      <w:bookmarkStart w:id="112" w:name="Bookmark90"/>
      <w:r>
        <w:rPr>
          <w:color w:val="000000" w:themeColor="text1"/>
          <w14:textFill>
            <w14:solidFill>
              <w14:schemeClr w14:val="tx1"/>
            </w14:solidFill>
          </w14:textFill>
        </w:rPr>
        <w:t>人群</w:t>
      </w:r>
      <w:bookmarkEnd w:id="112"/>
      <w:r>
        <w:rPr>
          <w:color w:val="000000" w:themeColor="text1"/>
          <w14:textFill>
            <w14:solidFill>
              <w14:schemeClr w14:val="tx1"/>
            </w14:solidFill>
          </w14:textFill>
        </w:rPr>
        <w:t>生命财产的安全，防止突发性重大化学事故发生，并在发生事故时，能迅速有序地开展救援工作，尽最大努力减少事故的危害和损失。根据原劳动部、化工部《工作场所安全使用化学品规定》和《化学事故应急救援管理办法》等规定，公司应根据工程的特点编制项目突发环境事件应急预案，并定期进行演练，以便应急救援工作的顺利开展，风险应急预案应包括以下内容：</w:t>
      </w:r>
    </w:p>
    <w:p w14:paraId="4F5A0F65">
      <w:pPr>
        <w:pStyle w:val="20"/>
        <w:tabs>
          <w:tab w:val="right" w:pos="2205"/>
        </w:tabs>
        <w:adjustRightInd w:val="0"/>
        <w:snapToGrid w:val="0"/>
        <w:spacing w:before="0" w:beforeAutospacing="0" w:after="0" w:afterAutospacing="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color w:val="000000" w:themeColor="text1"/>
          <w:kern w:val="2"/>
          <w:sz w:val="21"/>
          <w:szCs w:val="21"/>
          <w:lang w:bidi="ar"/>
          <w14:textFill>
            <w14:solidFill>
              <w14:schemeClr w14:val="tx1"/>
            </w14:solidFill>
          </w14:textFill>
        </w:rPr>
        <w:t>表</w:t>
      </w:r>
      <w:r>
        <w:rPr>
          <w:rFonts w:hint="eastAsia" w:ascii="Times New Roman" w:hAnsi="Times New Roman" w:cs="Times New Roman"/>
          <w:b/>
          <w:color w:val="000000" w:themeColor="text1"/>
          <w:kern w:val="2"/>
          <w:sz w:val="21"/>
          <w:szCs w:val="21"/>
          <w:lang w:bidi="ar"/>
          <w14:textFill>
            <w14:solidFill>
              <w14:schemeClr w14:val="tx1"/>
            </w14:solidFill>
          </w14:textFill>
        </w:rPr>
        <w:t>5</w:t>
      </w:r>
      <w:r>
        <w:rPr>
          <w:rFonts w:ascii="Times New Roman" w:hAnsi="Times New Roman" w:cs="Times New Roman"/>
          <w:b/>
          <w:color w:val="000000" w:themeColor="text1"/>
          <w:kern w:val="2"/>
          <w:sz w:val="21"/>
          <w:szCs w:val="21"/>
          <w:lang w:bidi="ar"/>
          <w14:textFill>
            <w14:solidFill>
              <w14:schemeClr w14:val="tx1"/>
            </w14:solidFill>
          </w14:textFill>
        </w:rPr>
        <w:t>-1  风险应急预案内容</w:t>
      </w:r>
    </w:p>
    <w:tbl>
      <w:tblPr>
        <w:tblStyle w:val="24"/>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45"/>
        <w:gridCol w:w="2711"/>
        <w:gridCol w:w="5690"/>
      </w:tblGrid>
      <w:tr w14:paraId="10AC3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545" w:type="dxa"/>
            <w:tcBorders>
              <w:top w:val="single" w:color="auto" w:sz="4" w:space="0"/>
              <w:left w:val="single" w:color="auto" w:sz="4" w:space="0"/>
              <w:bottom w:val="single" w:color="auto" w:sz="4" w:space="0"/>
              <w:right w:val="single" w:color="auto" w:sz="4" w:space="0"/>
            </w:tcBorders>
            <w:vAlign w:val="center"/>
          </w:tcPr>
          <w:p w14:paraId="4D0D6377">
            <w:pPr>
              <w:adjustRightInd w:val="0"/>
              <w:snapToGrid w:val="0"/>
              <w:jc w:val="center"/>
              <w:rPr>
                <w:b/>
                <w:bCs/>
                <w:color w:val="000000" w:themeColor="text1"/>
                <w:szCs w:val="21"/>
                <w14:textFill>
                  <w14:solidFill>
                    <w14:schemeClr w14:val="tx1"/>
                  </w14:solidFill>
                </w14:textFill>
              </w:rPr>
            </w:pPr>
            <w:r>
              <w:rPr>
                <w:b/>
                <w:bCs/>
                <w:color w:val="000000" w:themeColor="text1"/>
                <w:szCs w:val="21"/>
                <w:lang w:bidi="ar"/>
                <w14:textFill>
                  <w14:solidFill>
                    <w14:schemeClr w14:val="tx1"/>
                  </w14:solidFill>
                </w14:textFill>
              </w:rPr>
              <w:t>序号</w:t>
            </w:r>
          </w:p>
        </w:tc>
        <w:tc>
          <w:tcPr>
            <w:tcW w:w="2711" w:type="dxa"/>
            <w:tcBorders>
              <w:top w:val="single" w:color="auto" w:sz="4" w:space="0"/>
              <w:left w:val="single" w:color="auto" w:sz="4" w:space="0"/>
              <w:bottom w:val="single" w:color="auto" w:sz="4" w:space="0"/>
              <w:right w:val="single" w:color="auto" w:sz="4" w:space="0"/>
            </w:tcBorders>
            <w:vAlign w:val="center"/>
          </w:tcPr>
          <w:p w14:paraId="15ADBAE7">
            <w:pPr>
              <w:adjustRightInd w:val="0"/>
              <w:snapToGrid w:val="0"/>
              <w:jc w:val="center"/>
              <w:rPr>
                <w:b/>
                <w:bCs/>
                <w:color w:val="000000" w:themeColor="text1"/>
                <w:szCs w:val="21"/>
                <w14:textFill>
                  <w14:solidFill>
                    <w14:schemeClr w14:val="tx1"/>
                  </w14:solidFill>
                </w14:textFill>
              </w:rPr>
            </w:pPr>
            <w:r>
              <w:rPr>
                <w:b/>
                <w:bCs/>
                <w:color w:val="000000" w:themeColor="text1"/>
                <w:szCs w:val="21"/>
                <w:lang w:bidi="ar"/>
                <w14:textFill>
                  <w14:solidFill>
                    <w14:schemeClr w14:val="tx1"/>
                  </w14:solidFill>
                </w14:textFill>
              </w:rPr>
              <w:t>项目</w:t>
            </w:r>
          </w:p>
        </w:tc>
        <w:tc>
          <w:tcPr>
            <w:tcW w:w="5690" w:type="dxa"/>
            <w:tcBorders>
              <w:top w:val="single" w:color="auto" w:sz="4" w:space="0"/>
              <w:left w:val="single" w:color="auto" w:sz="4" w:space="0"/>
              <w:bottom w:val="single" w:color="auto" w:sz="4" w:space="0"/>
              <w:right w:val="single" w:color="auto" w:sz="4" w:space="0"/>
            </w:tcBorders>
            <w:vAlign w:val="center"/>
          </w:tcPr>
          <w:p w14:paraId="44E7EE42">
            <w:pPr>
              <w:adjustRightInd w:val="0"/>
              <w:snapToGrid w:val="0"/>
              <w:jc w:val="center"/>
              <w:rPr>
                <w:b/>
                <w:bCs/>
                <w:color w:val="000000" w:themeColor="text1"/>
                <w:szCs w:val="21"/>
                <w14:textFill>
                  <w14:solidFill>
                    <w14:schemeClr w14:val="tx1"/>
                  </w14:solidFill>
                </w14:textFill>
              </w:rPr>
            </w:pPr>
            <w:r>
              <w:rPr>
                <w:b/>
                <w:bCs/>
                <w:color w:val="000000" w:themeColor="text1"/>
                <w:szCs w:val="21"/>
                <w:lang w:bidi="ar"/>
                <w14:textFill>
                  <w14:solidFill>
                    <w14:schemeClr w14:val="tx1"/>
                  </w14:solidFill>
                </w14:textFill>
              </w:rPr>
              <w:t>内容及要求</w:t>
            </w:r>
          </w:p>
        </w:tc>
      </w:tr>
      <w:tr w14:paraId="2899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45" w:type="dxa"/>
            <w:tcBorders>
              <w:top w:val="single" w:color="auto" w:sz="4" w:space="0"/>
              <w:left w:val="single" w:color="auto" w:sz="4" w:space="0"/>
              <w:bottom w:val="single" w:color="auto" w:sz="4" w:space="0"/>
              <w:right w:val="single" w:color="auto" w:sz="4" w:space="0"/>
            </w:tcBorders>
            <w:vAlign w:val="center"/>
          </w:tcPr>
          <w:p w14:paraId="3A04A252">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1</w:t>
            </w:r>
          </w:p>
        </w:tc>
        <w:tc>
          <w:tcPr>
            <w:tcW w:w="2711" w:type="dxa"/>
            <w:tcBorders>
              <w:top w:val="single" w:color="auto" w:sz="4" w:space="0"/>
              <w:left w:val="single" w:color="auto" w:sz="4" w:space="0"/>
              <w:bottom w:val="single" w:color="auto" w:sz="4" w:space="0"/>
              <w:right w:val="single" w:color="auto" w:sz="4" w:space="0"/>
            </w:tcBorders>
            <w:vAlign w:val="center"/>
          </w:tcPr>
          <w:p w14:paraId="5ED401F9">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应急计划区</w:t>
            </w:r>
          </w:p>
        </w:tc>
        <w:tc>
          <w:tcPr>
            <w:tcW w:w="5690" w:type="dxa"/>
            <w:tcBorders>
              <w:top w:val="single" w:color="auto" w:sz="4" w:space="0"/>
              <w:left w:val="single" w:color="auto" w:sz="4" w:space="0"/>
              <w:bottom w:val="single" w:color="auto" w:sz="4" w:space="0"/>
              <w:right w:val="single" w:color="auto" w:sz="4" w:space="0"/>
            </w:tcBorders>
            <w:vAlign w:val="center"/>
          </w:tcPr>
          <w:p w14:paraId="065C93AA">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危险目标：</w:t>
            </w:r>
            <w:r>
              <w:rPr>
                <w:rFonts w:hint="eastAsia"/>
                <w:color w:val="000000" w:themeColor="text1"/>
                <w14:textFill>
                  <w14:solidFill>
                    <w14:schemeClr w14:val="tx1"/>
                  </w14:solidFill>
                </w14:textFill>
              </w:rPr>
              <w:t>硫酸铵</w:t>
            </w:r>
            <w:r>
              <w:rPr>
                <w:color w:val="000000" w:themeColor="text1"/>
                <w:szCs w:val="21"/>
                <w:lang w:bidi="ar"/>
                <w14:textFill>
                  <w14:solidFill>
                    <w14:schemeClr w14:val="tx1"/>
                  </w14:solidFill>
                </w14:textFill>
              </w:rPr>
              <w:t>等化学</w:t>
            </w:r>
            <w:bookmarkStart w:id="113" w:name="Bookmark91"/>
            <w:r>
              <w:rPr>
                <w:color w:val="000000" w:themeColor="text1"/>
                <w:szCs w:val="21"/>
                <w:lang w:bidi="ar"/>
                <w14:textFill>
                  <w14:solidFill>
                    <w14:schemeClr w14:val="tx1"/>
                  </w14:solidFill>
                </w14:textFill>
              </w:rPr>
              <w:t>原料</w:t>
            </w:r>
            <w:bookmarkEnd w:id="113"/>
            <w:r>
              <w:rPr>
                <w:rFonts w:hint="eastAsia"/>
                <w:color w:val="000000" w:themeColor="text1"/>
                <w:szCs w:val="21"/>
                <w:lang w:bidi="ar"/>
                <w14:textFill>
                  <w14:solidFill>
                    <w14:schemeClr w14:val="tx1"/>
                  </w14:solidFill>
                </w14:textFill>
              </w:rPr>
              <w:t>贮存区</w:t>
            </w:r>
            <w:r>
              <w:rPr>
                <w:color w:val="000000" w:themeColor="text1"/>
                <w:szCs w:val="21"/>
                <w:lang w:bidi="ar"/>
                <w14:textFill>
                  <w14:solidFill>
                    <w14:schemeClr w14:val="tx1"/>
                  </w14:solidFill>
                </w14:textFill>
              </w:rPr>
              <w:t>，涉及化学品的生产车间及装置、尾气吸收</w:t>
            </w:r>
            <w:r>
              <w:rPr>
                <w:color w:val="000000" w:themeColor="text1"/>
                <w:szCs w:val="21"/>
                <w14:textFill>
                  <w14:solidFill>
                    <w14:schemeClr w14:val="tx1"/>
                  </w14:solidFill>
                </w14:textFill>
              </w:rPr>
              <w:t>系统</w:t>
            </w:r>
            <w:r>
              <w:rPr>
                <w:color w:val="000000" w:themeColor="text1"/>
                <w:szCs w:val="21"/>
                <w:lang w:bidi="ar"/>
                <w14:textFill>
                  <w14:solidFill>
                    <w14:schemeClr w14:val="tx1"/>
                  </w14:solidFill>
                </w14:textFill>
              </w:rPr>
              <w:t>、环境保护目标</w:t>
            </w:r>
          </w:p>
        </w:tc>
      </w:tr>
      <w:tr w14:paraId="1FF2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45" w:type="dxa"/>
            <w:tcBorders>
              <w:top w:val="single" w:color="auto" w:sz="4" w:space="0"/>
              <w:left w:val="single" w:color="auto" w:sz="4" w:space="0"/>
              <w:bottom w:val="single" w:color="auto" w:sz="4" w:space="0"/>
              <w:right w:val="single" w:color="auto" w:sz="4" w:space="0"/>
            </w:tcBorders>
            <w:vAlign w:val="center"/>
          </w:tcPr>
          <w:p w14:paraId="25742382">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2</w:t>
            </w:r>
          </w:p>
        </w:tc>
        <w:tc>
          <w:tcPr>
            <w:tcW w:w="2711" w:type="dxa"/>
            <w:tcBorders>
              <w:top w:val="single" w:color="auto" w:sz="4" w:space="0"/>
              <w:left w:val="single" w:color="auto" w:sz="4" w:space="0"/>
              <w:bottom w:val="single" w:color="auto" w:sz="4" w:space="0"/>
              <w:right w:val="single" w:color="auto" w:sz="4" w:space="0"/>
            </w:tcBorders>
            <w:vAlign w:val="center"/>
          </w:tcPr>
          <w:p w14:paraId="7382F18A">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应急组织机构、人员</w:t>
            </w:r>
          </w:p>
        </w:tc>
        <w:tc>
          <w:tcPr>
            <w:tcW w:w="5690" w:type="dxa"/>
            <w:tcBorders>
              <w:top w:val="single" w:color="auto" w:sz="4" w:space="0"/>
              <w:left w:val="single" w:color="auto" w:sz="4" w:space="0"/>
              <w:bottom w:val="single" w:color="auto" w:sz="4" w:space="0"/>
              <w:right w:val="single" w:color="auto" w:sz="4" w:space="0"/>
            </w:tcBorders>
            <w:vAlign w:val="center"/>
          </w:tcPr>
          <w:p w14:paraId="017927A2">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工厂、区域应急组织机构、人员</w:t>
            </w:r>
          </w:p>
        </w:tc>
      </w:tr>
      <w:tr w14:paraId="2AC8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45" w:type="dxa"/>
            <w:tcBorders>
              <w:top w:val="single" w:color="auto" w:sz="4" w:space="0"/>
              <w:left w:val="single" w:color="auto" w:sz="4" w:space="0"/>
              <w:bottom w:val="single" w:color="auto" w:sz="4" w:space="0"/>
              <w:right w:val="single" w:color="auto" w:sz="4" w:space="0"/>
            </w:tcBorders>
            <w:vAlign w:val="center"/>
          </w:tcPr>
          <w:p w14:paraId="27A5D828">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3</w:t>
            </w:r>
          </w:p>
        </w:tc>
        <w:tc>
          <w:tcPr>
            <w:tcW w:w="2711" w:type="dxa"/>
            <w:tcBorders>
              <w:top w:val="single" w:color="auto" w:sz="4" w:space="0"/>
              <w:left w:val="single" w:color="auto" w:sz="4" w:space="0"/>
              <w:bottom w:val="single" w:color="auto" w:sz="4" w:space="0"/>
              <w:right w:val="single" w:color="auto" w:sz="4" w:space="0"/>
            </w:tcBorders>
            <w:vAlign w:val="center"/>
          </w:tcPr>
          <w:p w14:paraId="20623A75">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预案分级</w:t>
            </w:r>
            <w:bookmarkStart w:id="114" w:name="Bookmark92"/>
            <w:r>
              <w:rPr>
                <w:color w:val="000000" w:themeColor="text1"/>
                <w:szCs w:val="21"/>
                <w:lang w:bidi="ar"/>
                <w14:textFill>
                  <w14:solidFill>
                    <w14:schemeClr w14:val="tx1"/>
                  </w14:solidFill>
                </w14:textFill>
              </w:rPr>
              <w:t>响应</w:t>
            </w:r>
            <w:bookmarkEnd w:id="114"/>
            <w:r>
              <w:rPr>
                <w:color w:val="000000" w:themeColor="text1"/>
                <w:szCs w:val="21"/>
                <w:lang w:bidi="ar"/>
                <w14:textFill>
                  <w14:solidFill>
                    <w14:schemeClr w14:val="tx1"/>
                  </w14:solidFill>
                </w14:textFill>
              </w:rPr>
              <w:t>条件</w:t>
            </w:r>
          </w:p>
        </w:tc>
        <w:tc>
          <w:tcPr>
            <w:tcW w:w="5690" w:type="dxa"/>
            <w:tcBorders>
              <w:top w:val="single" w:color="auto" w:sz="4" w:space="0"/>
              <w:left w:val="single" w:color="auto" w:sz="4" w:space="0"/>
              <w:bottom w:val="single" w:color="auto" w:sz="4" w:space="0"/>
              <w:right w:val="single" w:color="auto" w:sz="4" w:space="0"/>
            </w:tcBorders>
            <w:vAlign w:val="center"/>
          </w:tcPr>
          <w:p w14:paraId="73695402">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规定预案的级别及分级响应程序</w:t>
            </w:r>
          </w:p>
        </w:tc>
      </w:tr>
      <w:tr w14:paraId="4FD7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45" w:type="dxa"/>
            <w:tcBorders>
              <w:top w:val="single" w:color="auto" w:sz="4" w:space="0"/>
              <w:left w:val="single" w:color="auto" w:sz="4" w:space="0"/>
              <w:bottom w:val="single" w:color="auto" w:sz="4" w:space="0"/>
              <w:right w:val="single" w:color="auto" w:sz="4" w:space="0"/>
            </w:tcBorders>
            <w:vAlign w:val="center"/>
          </w:tcPr>
          <w:p w14:paraId="747E6242">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4</w:t>
            </w:r>
          </w:p>
        </w:tc>
        <w:tc>
          <w:tcPr>
            <w:tcW w:w="2711" w:type="dxa"/>
            <w:tcBorders>
              <w:top w:val="single" w:color="auto" w:sz="4" w:space="0"/>
              <w:left w:val="single" w:color="auto" w:sz="4" w:space="0"/>
              <w:bottom w:val="single" w:color="auto" w:sz="4" w:space="0"/>
              <w:right w:val="single" w:color="auto" w:sz="4" w:space="0"/>
            </w:tcBorders>
            <w:vAlign w:val="center"/>
          </w:tcPr>
          <w:p w14:paraId="2F8C61A2">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应急救援保障</w:t>
            </w:r>
          </w:p>
        </w:tc>
        <w:tc>
          <w:tcPr>
            <w:tcW w:w="5690" w:type="dxa"/>
            <w:tcBorders>
              <w:top w:val="single" w:color="auto" w:sz="4" w:space="0"/>
              <w:left w:val="single" w:color="auto" w:sz="4" w:space="0"/>
              <w:bottom w:val="single" w:color="auto" w:sz="4" w:space="0"/>
              <w:right w:val="single" w:color="auto" w:sz="4" w:space="0"/>
            </w:tcBorders>
            <w:vAlign w:val="center"/>
          </w:tcPr>
          <w:p w14:paraId="378A4DCE">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应急设施，设备与器材等</w:t>
            </w:r>
          </w:p>
        </w:tc>
      </w:tr>
      <w:tr w14:paraId="0FE1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45" w:type="dxa"/>
            <w:tcBorders>
              <w:top w:val="single" w:color="auto" w:sz="4" w:space="0"/>
              <w:left w:val="single" w:color="auto" w:sz="4" w:space="0"/>
              <w:bottom w:val="single" w:color="auto" w:sz="4" w:space="0"/>
              <w:right w:val="single" w:color="auto" w:sz="4" w:space="0"/>
            </w:tcBorders>
            <w:vAlign w:val="center"/>
          </w:tcPr>
          <w:p w14:paraId="22631907">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5</w:t>
            </w:r>
          </w:p>
        </w:tc>
        <w:tc>
          <w:tcPr>
            <w:tcW w:w="2711" w:type="dxa"/>
            <w:tcBorders>
              <w:top w:val="single" w:color="auto" w:sz="4" w:space="0"/>
              <w:left w:val="single" w:color="auto" w:sz="4" w:space="0"/>
              <w:bottom w:val="single" w:color="auto" w:sz="4" w:space="0"/>
              <w:right w:val="single" w:color="auto" w:sz="4" w:space="0"/>
            </w:tcBorders>
            <w:vAlign w:val="center"/>
          </w:tcPr>
          <w:p w14:paraId="4EC3ED12">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报警、通讯联络方式</w:t>
            </w:r>
          </w:p>
        </w:tc>
        <w:tc>
          <w:tcPr>
            <w:tcW w:w="5690" w:type="dxa"/>
            <w:tcBorders>
              <w:top w:val="single" w:color="auto" w:sz="4" w:space="0"/>
              <w:left w:val="single" w:color="auto" w:sz="4" w:space="0"/>
              <w:bottom w:val="single" w:color="auto" w:sz="4" w:space="0"/>
              <w:right w:val="single" w:color="auto" w:sz="4" w:space="0"/>
            </w:tcBorders>
            <w:vAlign w:val="center"/>
          </w:tcPr>
          <w:p w14:paraId="4D6AA8F9">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规定应急状态下的报警通讯方式、通知方式和交通保障、管制</w:t>
            </w:r>
          </w:p>
        </w:tc>
      </w:tr>
      <w:tr w14:paraId="76A4D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45" w:type="dxa"/>
            <w:tcBorders>
              <w:top w:val="single" w:color="auto" w:sz="4" w:space="0"/>
              <w:left w:val="single" w:color="auto" w:sz="4" w:space="0"/>
              <w:bottom w:val="single" w:color="auto" w:sz="4" w:space="0"/>
              <w:right w:val="single" w:color="auto" w:sz="4" w:space="0"/>
            </w:tcBorders>
            <w:vAlign w:val="center"/>
          </w:tcPr>
          <w:p w14:paraId="503BDDC9">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6</w:t>
            </w:r>
          </w:p>
        </w:tc>
        <w:tc>
          <w:tcPr>
            <w:tcW w:w="2711" w:type="dxa"/>
            <w:tcBorders>
              <w:top w:val="single" w:color="auto" w:sz="4" w:space="0"/>
              <w:left w:val="single" w:color="auto" w:sz="4" w:space="0"/>
              <w:bottom w:val="single" w:color="auto" w:sz="4" w:space="0"/>
              <w:right w:val="single" w:color="auto" w:sz="4" w:space="0"/>
            </w:tcBorders>
            <w:vAlign w:val="center"/>
          </w:tcPr>
          <w:p w14:paraId="23B8483B">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应急环境监测、抢险、救援及控制措施</w:t>
            </w:r>
          </w:p>
        </w:tc>
        <w:tc>
          <w:tcPr>
            <w:tcW w:w="5690" w:type="dxa"/>
            <w:tcBorders>
              <w:top w:val="single" w:color="auto" w:sz="4" w:space="0"/>
              <w:left w:val="single" w:color="auto" w:sz="4" w:space="0"/>
              <w:bottom w:val="single" w:color="auto" w:sz="4" w:space="0"/>
              <w:right w:val="single" w:color="auto" w:sz="4" w:space="0"/>
            </w:tcBorders>
            <w:vAlign w:val="center"/>
          </w:tcPr>
          <w:p w14:paraId="6FB7BB99">
            <w:pPr>
              <w:pStyle w:val="20"/>
              <w:widowControl w:val="0"/>
              <w:adjustRightInd w:val="0"/>
              <w:snapToGrid w:val="0"/>
              <w:spacing w:before="0" w:beforeAutospacing="0" w:after="0" w:afterAutospacing="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kern w:val="2"/>
                <w:sz w:val="21"/>
                <w:szCs w:val="21"/>
                <w:lang w:bidi="ar"/>
                <w14:textFill>
                  <w14:solidFill>
                    <w14:schemeClr w14:val="tx1"/>
                  </w14:solidFill>
                </w14:textFill>
              </w:rPr>
              <w:t>由专业队伍负责对事故现场进行侦察监测，对事故性质、参数与后果进行评估，为指挥部门提供决策依据</w:t>
            </w:r>
          </w:p>
        </w:tc>
      </w:tr>
      <w:tr w14:paraId="3863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45" w:type="dxa"/>
            <w:tcBorders>
              <w:top w:val="single" w:color="auto" w:sz="4" w:space="0"/>
              <w:left w:val="single" w:color="auto" w:sz="4" w:space="0"/>
              <w:bottom w:val="single" w:color="auto" w:sz="4" w:space="0"/>
              <w:right w:val="single" w:color="auto" w:sz="4" w:space="0"/>
            </w:tcBorders>
            <w:vAlign w:val="center"/>
          </w:tcPr>
          <w:p w14:paraId="2CE50649">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7</w:t>
            </w:r>
          </w:p>
        </w:tc>
        <w:tc>
          <w:tcPr>
            <w:tcW w:w="2711" w:type="dxa"/>
            <w:tcBorders>
              <w:top w:val="single" w:color="auto" w:sz="4" w:space="0"/>
              <w:left w:val="single" w:color="auto" w:sz="4" w:space="0"/>
              <w:bottom w:val="single" w:color="auto" w:sz="4" w:space="0"/>
              <w:right w:val="single" w:color="auto" w:sz="4" w:space="0"/>
            </w:tcBorders>
            <w:vAlign w:val="center"/>
          </w:tcPr>
          <w:p w14:paraId="692ED97C">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应急检测、防护措施、清除泄漏措施和器材</w:t>
            </w:r>
          </w:p>
        </w:tc>
        <w:tc>
          <w:tcPr>
            <w:tcW w:w="5690" w:type="dxa"/>
            <w:tcBorders>
              <w:top w:val="single" w:color="auto" w:sz="4" w:space="0"/>
              <w:left w:val="single" w:color="auto" w:sz="4" w:space="0"/>
              <w:bottom w:val="single" w:color="auto" w:sz="4" w:space="0"/>
              <w:right w:val="single" w:color="auto" w:sz="4" w:space="0"/>
            </w:tcBorders>
            <w:vAlign w:val="center"/>
          </w:tcPr>
          <w:p w14:paraId="455A6860">
            <w:pPr>
              <w:pStyle w:val="20"/>
              <w:widowControl w:val="0"/>
              <w:adjustRightInd w:val="0"/>
              <w:snapToGrid w:val="0"/>
              <w:spacing w:before="0" w:beforeAutospacing="0" w:after="0" w:afterAutospacing="0"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kern w:val="2"/>
                <w:sz w:val="21"/>
                <w:szCs w:val="21"/>
                <w:lang w:bidi="ar"/>
                <w14:textFill>
                  <w14:solidFill>
                    <w14:schemeClr w14:val="tx1"/>
                  </w14:solidFill>
                </w14:textFill>
              </w:rPr>
              <w:t>事故现场、</w:t>
            </w:r>
            <w:bookmarkStart w:id="115" w:name="Bookmark95"/>
            <w:r>
              <w:rPr>
                <w:rFonts w:ascii="Times New Roman" w:hAnsi="Times New Roman" w:cs="Times New Roman"/>
                <w:color w:val="000000" w:themeColor="text1"/>
                <w:kern w:val="2"/>
                <w:sz w:val="21"/>
                <w:szCs w:val="21"/>
                <w:lang w:bidi="ar"/>
                <w14:textFill>
                  <w14:solidFill>
                    <w14:schemeClr w14:val="tx1"/>
                  </w14:solidFill>
                </w14:textFill>
              </w:rPr>
              <w:t>邻近</w:t>
            </w:r>
            <w:bookmarkEnd w:id="115"/>
            <w:r>
              <w:rPr>
                <w:rFonts w:ascii="Times New Roman" w:hAnsi="Times New Roman" w:cs="Times New Roman"/>
                <w:color w:val="000000" w:themeColor="text1"/>
                <w:kern w:val="2"/>
                <w:sz w:val="21"/>
                <w:szCs w:val="21"/>
                <w:lang w:bidi="ar"/>
                <w14:textFill>
                  <w14:solidFill>
                    <w14:schemeClr w14:val="tx1"/>
                  </w14:solidFill>
                </w14:textFill>
              </w:rPr>
              <w:t>区域、</w:t>
            </w:r>
            <w:bookmarkStart w:id="116" w:name="Bookmark96"/>
            <w:r>
              <w:rPr>
                <w:rFonts w:ascii="Times New Roman" w:hAnsi="Times New Roman" w:cs="Times New Roman"/>
                <w:color w:val="000000" w:themeColor="text1"/>
                <w:kern w:val="2"/>
                <w:sz w:val="21"/>
                <w:szCs w:val="21"/>
                <w:lang w:bidi="ar"/>
                <w14:textFill>
                  <w14:solidFill>
                    <w14:schemeClr w14:val="tx1"/>
                  </w14:solidFill>
                </w14:textFill>
              </w:rPr>
              <w:t>控制防火</w:t>
            </w:r>
            <w:bookmarkEnd w:id="116"/>
            <w:r>
              <w:rPr>
                <w:rFonts w:ascii="Times New Roman" w:hAnsi="Times New Roman" w:cs="Times New Roman"/>
                <w:color w:val="000000" w:themeColor="text1"/>
                <w:kern w:val="2"/>
                <w:sz w:val="21"/>
                <w:szCs w:val="21"/>
                <w:lang w:bidi="ar"/>
                <w14:textFill>
                  <w14:solidFill>
                    <w14:schemeClr w14:val="tx1"/>
                  </w14:solidFill>
                </w14:textFill>
              </w:rPr>
              <w:t>区域，控制和清除污染措施及相应设备</w:t>
            </w:r>
          </w:p>
        </w:tc>
      </w:tr>
      <w:tr w14:paraId="5D9A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45" w:type="dxa"/>
            <w:tcBorders>
              <w:top w:val="single" w:color="auto" w:sz="4" w:space="0"/>
              <w:left w:val="single" w:color="auto" w:sz="4" w:space="0"/>
              <w:bottom w:val="single" w:color="auto" w:sz="4" w:space="0"/>
              <w:right w:val="single" w:color="auto" w:sz="4" w:space="0"/>
            </w:tcBorders>
            <w:vAlign w:val="center"/>
          </w:tcPr>
          <w:p w14:paraId="4B22E1DB">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8</w:t>
            </w:r>
          </w:p>
        </w:tc>
        <w:tc>
          <w:tcPr>
            <w:tcW w:w="2711" w:type="dxa"/>
            <w:tcBorders>
              <w:top w:val="single" w:color="auto" w:sz="4" w:space="0"/>
              <w:left w:val="single" w:color="auto" w:sz="4" w:space="0"/>
              <w:bottom w:val="single" w:color="auto" w:sz="4" w:space="0"/>
              <w:right w:val="single" w:color="auto" w:sz="4" w:space="0"/>
            </w:tcBorders>
            <w:vAlign w:val="center"/>
          </w:tcPr>
          <w:p w14:paraId="143F79C9">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人员紧急撤离、疏散，应急剂量控制、撤离组织计划</w:t>
            </w:r>
          </w:p>
        </w:tc>
        <w:tc>
          <w:tcPr>
            <w:tcW w:w="5690" w:type="dxa"/>
            <w:tcBorders>
              <w:top w:val="single" w:color="auto" w:sz="4" w:space="0"/>
              <w:left w:val="single" w:color="auto" w:sz="4" w:space="0"/>
              <w:bottom w:val="single" w:color="auto" w:sz="4" w:space="0"/>
              <w:right w:val="single" w:color="auto" w:sz="4" w:space="0"/>
            </w:tcBorders>
            <w:vAlign w:val="center"/>
          </w:tcPr>
          <w:p w14:paraId="622FC4B9">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事故现场、工厂</w:t>
            </w:r>
            <w:bookmarkStart w:id="117" w:name="Bookmark93"/>
            <w:r>
              <w:rPr>
                <w:color w:val="000000" w:themeColor="text1"/>
                <w:szCs w:val="21"/>
                <w:lang w:bidi="ar"/>
                <w14:textFill>
                  <w14:solidFill>
                    <w14:schemeClr w14:val="tx1"/>
                  </w14:solidFill>
                </w14:textFill>
              </w:rPr>
              <w:t>邻近</w:t>
            </w:r>
            <w:bookmarkEnd w:id="117"/>
            <w:r>
              <w:rPr>
                <w:color w:val="000000" w:themeColor="text1"/>
                <w:szCs w:val="21"/>
                <w:lang w:bidi="ar"/>
                <w14:textFill>
                  <w14:solidFill>
                    <w14:schemeClr w14:val="tx1"/>
                  </w14:solidFill>
                </w14:textFill>
              </w:rPr>
              <w:t>区、受事故影响的区域人员及公众对毒物应急剂量控制规定，</w:t>
            </w:r>
            <w:bookmarkStart w:id="118" w:name="Bookmark94"/>
            <w:r>
              <w:rPr>
                <w:color w:val="000000" w:themeColor="text1"/>
                <w:szCs w:val="21"/>
                <w:lang w:bidi="ar"/>
                <w14:textFill>
                  <w14:solidFill>
                    <w14:schemeClr w14:val="tx1"/>
                  </w14:solidFill>
                </w14:textFill>
              </w:rPr>
              <w:t>组织</w:t>
            </w:r>
            <w:bookmarkEnd w:id="118"/>
            <w:r>
              <w:rPr>
                <w:rFonts w:hint="eastAsia"/>
                <w:color w:val="000000" w:themeColor="text1"/>
                <w:szCs w:val="21"/>
                <w:lang w:bidi="ar"/>
                <w14:textFill>
                  <w14:solidFill>
                    <w14:schemeClr w14:val="tx1"/>
                  </w14:solidFill>
                </w14:textFill>
              </w:rPr>
              <w:t>撤离</w:t>
            </w:r>
            <w:r>
              <w:rPr>
                <w:color w:val="000000" w:themeColor="text1"/>
                <w:szCs w:val="21"/>
                <w:lang w:bidi="ar"/>
                <w14:textFill>
                  <w14:solidFill>
                    <w14:schemeClr w14:val="tx1"/>
                  </w14:solidFill>
                </w14:textFill>
              </w:rPr>
              <w:t>计划及救护，医疗救护与公众健康</w:t>
            </w:r>
          </w:p>
        </w:tc>
      </w:tr>
      <w:tr w14:paraId="2395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45" w:type="dxa"/>
            <w:tcBorders>
              <w:top w:val="single" w:color="auto" w:sz="4" w:space="0"/>
              <w:left w:val="single" w:color="auto" w:sz="4" w:space="0"/>
              <w:bottom w:val="single" w:color="auto" w:sz="4" w:space="0"/>
              <w:right w:val="single" w:color="auto" w:sz="4" w:space="0"/>
            </w:tcBorders>
            <w:vAlign w:val="center"/>
          </w:tcPr>
          <w:p w14:paraId="1634A4A3">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9</w:t>
            </w:r>
          </w:p>
        </w:tc>
        <w:tc>
          <w:tcPr>
            <w:tcW w:w="2711" w:type="dxa"/>
            <w:tcBorders>
              <w:top w:val="single" w:color="auto" w:sz="4" w:space="0"/>
              <w:left w:val="single" w:color="auto" w:sz="4" w:space="0"/>
              <w:bottom w:val="single" w:color="auto" w:sz="4" w:space="0"/>
              <w:right w:val="single" w:color="auto" w:sz="4" w:space="0"/>
            </w:tcBorders>
            <w:vAlign w:val="center"/>
          </w:tcPr>
          <w:p w14:paraId="7C9CC193">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事故应急救援关闭程序与恢复措施</w:t>
            </w:r>
          </w:p>
        </w:tc>
        <w:tc>
          <w:tcPr>
            <w:tcW w:w="5690" w:type="dxa"/>
            <w:tcBorders>
              <w:top w:val="single" w:color="auto" w:sz="4" w:space="0"/>
              <w:left w:val="single" w:color="auto" w:sz="4" w:space="0"/>
              <w:bottom w:val="single" w:color="auto" w:sz="4" w:space="0"/>
              <w:right w:val="single" w:color="auto" w:sz="4" w:space="0"/>
            </w:tcBorders>
            <w:vAlign w:val="center"/>
          </w:tcPr>
          <w:p w14:paraId="24BB25BB">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规定应急状态终止程序；事故现场善后处理，恢复措施；</w:t>
            </w:r>
          </w:p>
          <w:p w14:paraId="3AA33E31">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邻近区域解除事故警戒及善后恢复措施</w:t>
            </w:r>
          </w:p>
        </w:tc>
      </w:tr>
      <w:tr w14:paraId="1F62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45" w:type="dxa"/>
            <w:tcBorders>
              <w:top w:val="single" w:color="auto" w:sz="4" w:space="0"/>
              <w:left w:val="single" w:color="auto" w:sz="4" w:space="0"/>
              <w:bottom w:val="single" w:color="auto" w:sz="4" w:space="0"/>
              <w:right w:val="single" w:color="auto" w:sz="4" w:space="0"/>
            </w:tcBorders>
            <w:vAlign w:val="center"/>
          </w:tcPr>
          <w:p w14:paraId="40349173">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10</w:t>
            </w:r>
          </w:p>
        </w:tc>
        <w:tc>
          <w:tcPr>
            <w:tcW w:w="2711" w:type="dxa"/>
            <w:tcBorders>
              <w:top w:val="single" w:color="auto" w:sz="4" w:space="0"/>
              <w:left w:val="single" w:color="auto" w:sz="4" w:space="0"/>
              <w:bottom w:val="single" w:color="auto" w:sz="4" w:space="0"/>
              <w:right w:val="single" w:color="auto" w:sz="4" w:space="0"/>
            </w:tcBorders>
            <w:vAlign w:val="center"/>
          </w:tcPr>
          <w:p w14:paraId="3BBCCD2F">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应急培训计划</w:t>
            </w:r>
          </w:p>
        </w:tc>
        <w:tc>
          <w:tcPr>
            <w:tcW w:w="5690" w:type="dxa"/>
            <w:tcBorders>
              <w:top w:val="single" w:color="auto" w:sz="4" w:space="0"/>
              <w:left w:val="single" w:color="auto" w:sz="4" w:space="0"/>
              <w:bottom w:val="single" w:color="auto" w:sz="4" w:space="0"/>
              <w:right w:val="single" w:color="auto" w:sz="4" w:space="0"/>
            </w:tcBorders>
            <w:vAlign w:val="center"/>
          </w:tcPr>
          <w:p w14:paraId="551846D6">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应急计划制定后，平时安排人员培训与演练</w:t>
            </w:r>
          </w:p>
        </w:tc>
      </w:tr>
      <w:tr w14:paraId="2DE6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45" w:type="dxa"/>
            <w:tcBorders>
              <w:top w:val="single" w:color="auto" w:sz="4" w:space="0"/>
              <w:left w:val="single" w:color="auto" w:sz="4" w:space="0"/>
              <w:bottom w:val="single" w:color="auto" w:sz="4" w:space="0"/>
              <w:right w:val="single" w:color="auto" w:sz="4" w:space="0"/>
            </w:tcBorders>
            <w:vAlign w:val="center"/>
          </w:tcPr>
          <w:p w14:paraId="1A2AA547">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11</w:t>
            </w:r>
          </w:p>
        </w:tc>
        <w:tc>
          <w:tcPr>
            <w:tcW w:w="2711" w:type="dxa"/>
            <w:tcBorders>
              <w:top w:val="single" w:color="auto" w:sz="4" w:space="0"/>
              <w:left w:val="single" w:color="auto" w:sz="4" w:space="0"/>
              <w:bottom w:val="single" w:color="auto" w:sz="4" w:space="0"/>
              <w:right w:val="single" w:color="auto" w:sz="4" w:space="0"/>
            </w:tcBorders>
            <w:vAlign w:val="center"/>
          </w:tcPr>
          <w:p w14:paraId="711362B7">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公众教育和信息</w:t>
            </w:r>
          </w:p>
        </w:tc>
        <w:tc>
          <w:tcPr>
            <w:tcW w:w="5690" w:type="dxa"/>
            <w:tcBorders>
              <w:top w:val="single" w:color="auto" w:sz="4" w:space="0"/>
              <w:left w:val="single" w:color="auto" w:sz="4" w:space="0"/>
              <w:bottom w:val="single" w:color="auto" w:sz="4" w:space="0"/>
              <w:right w:val="single" w:color="auto" w:sz="4" w:space="0"/>
            </w:tcBorders>
            <w:vAlign w:val="center"/>
          </w:tcPr>
          <w:p w14:paraId="0FBF0317">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对工厂邻近地区开展公众教育、培训和发布有关信息</w:t>
            </w:r>
          </w:p>
        </w:tc>
      </w:tr>
    </w:tbl>
    <w:p w14:paraId="6E44201F">
      <w:pPr>
        <w:pStyle w:val="45"/>
        <w:ind w:firstLine="480"/>
        <w:rPr>
          <w:color w:val="000000" w:themeColor="text1"/>
          <w14:textFill>
            <w14:solidFill>
              <w14:schemeClr w14:val="tx1"/>
            </w14:solidFill>
          </w14:textFill>
        </w:rPr>
      </w:pPr>
    </w:p>
    <w:p w14:paraId="75200464">
      <w:pPr>
        <w:pStyle w:val="4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本次评价</w:t>
      </w:r>
      <w:r>
        <w:rPr>
          <w:color w:val="000000" w:themeColor="text1"/>
          <w14:textFill>
            <w14:solidFill>
              <w14:schemeClr w14:val="tx1"/>
            </w14:solidFill>
          </w14:textFill>
        </w:rPr>
        <w:t>建议企业编制突发环境事件应急预案，并应</w:t>
      </w:r>
      <w:r>
        <w:rPr>
          <w:rFonts w:hint="eastAsia"/>
          <w:color w:val="000000" w:themeColor="text1"/>
          <w14:textFill>
            <w14:solidFill>
              <w14:schemeClr w14:val="tx1"/>
            </w14:solidFill>
          </w14:textFill>
        </w:rPr>
        <w:t>在生态环境部门</w:t>
      </w:r>
      <w:r>
        <w:rPr>
          <w:color w:val="000000" w:themeColor="text1"/>
          <w14:textFill>
            <w14:solidFill>
              <w14:schemeClr w14:val="tx1"/>
            </w14:solidFill>
          </w14:textFill>
        </w:rPr>
        <w:t>备案，一旦发生事故应严格按照应急预案启动应急措施，将事故造成的影响降到最低。突发环境事件应急预案需包括以下内容：</w:t>
      </w:r>
    </w:p>
    <w:p w14:paraId="6855752D">
      <w:pPr>
        <w:pStyle w:val="45"/>
        <w:keepNext w:val="0"/>
        <w:keepLines w:val="0"/>
        <w:pageBreakBefore w:val="0"/>
        <w:widowControl w:val="0"/>
        <w:kinsoku/>
        <w:wordWrap/>
        <w:overflowPunct/>
        <w:topLinePunct w:val="0"/>
        <w:autoSpaceDE/>
        <w:autoSpaceDN/>
        <w:bidi w:val="0"/>
        <w:adjustRightInd/>
        <w:snapToGrid/>
        <w:ind w:firstLine="0" w:firstLineChars="0"/>
        <w:textAlignment w:val="auto"/>
        <w:outlineLvl w:val="2"/>
        <w:rPr>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5.3.1</w:t>
      </w:r>
      <w:r>
        <w:rPr>
          <w:b/>
          <w:color w:val="000000" w:themeColor="text1"/>
          <w14:textFill>
            <w14:solidFill>
              <w14:schemeClr w14:val="tx1"/>
            </w14:solidFill>
          </w14:textFill>
        </w:rPr>
        <w:t>应急计划区</w:t>
      </w:r>
    </w:p>
    <w:p w14:paraId="317D1B23">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应急计划区</w:t>
      </w:r>
      <w:bookmarkStart w:id="119" w:name="Bookmark100"/>
      <w:r>
        <w:rPr>
          <w:color w:val="000000" w:themeColor="text1"/>
          <w14:textFill>
            <w14:solidFill>
              <w14:schemeClr w14:val="tx1"/>
            </w14:solidFill>
          </w14:textFill>
        </w:rPr>
        <w:t>需</w:t>
      </w:r>
      <w:bookmarkEnd w:id="119"/>
      <w:r>
        <w:rPr>
          <w:color w:val="000000" w:themeColor="text1"/>
          <w14:textFill>
            <w14:solidFill>
              <w14:schemeClr w14:val="tx1"/>
            </w14:solidFill>
          </w14:textFill>
        </w:rPr>
        <w:t>包含本次评价识别出的环境风险源</w:t>
      </w:r>
      <w:r>
        <w:rPr>
          <w:rFonts w:hint="eastAsia"/>
          <w:color w:val="000000" w:themeColor="text1"/>
          <w14:textFill>
            <w14:solidFill>
              <w14:schemeClr w14:val="tx1"/>
            </w14:solidFill>
          </w14:textFill>
        </w:rPr>
        <w:t>硫酸铵贮存及生产区（即原料库、成品库、生产车间）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危废暂存间</w:t>
      </w:r>
      <w:r>
        <w:rPr>
          <w:color w:val="000000" w:themeColor="text1"/>
          <w14:textFill>
            <w14:solidFill>
              <w14:schemeClr w14:val="tx1"/>
            </w14:solidFill>
          </w14:textFill>
        </w:rPr>
        <w:t>废气处理系统等，并包括环境保护目标。</w:t>
      </w:r>
    </w:p>
    <w:p w14:paraId="2786D4C0">
      <w:pPr>
        <w:pStyle w:val="45"/>
        <w:keepNext w:val="0"/>
        <w:keepLines w:val="0"/>
        <w:pageBreakBefore w:val="0"/>
        <w:widowControl w:val="0"/>
        <w:kinsoku/>
        <w:wordWrap/>
        <w:overflowPunct/>
        <w:topLinePunct w:val="0"/>
        <w:autoSpaceDE/>
        <w:autoSpaceDN/>
        <w:bidi w:val="0"/>
        <w:adjustRightInd/>
        <w:snapToGrid/>
        <w:ind w:firstLine="0" w:firstLineChars="0"/>
        <w:textAlignment w:val="auto"/>
        <w:outlineLvl w:val="2"/>
        <w:rPr>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5.3.2</w:t>
      </w:r>
      <w:r>
        <w:rPr>
          <w:b/>
          <w:color w:val="000000" w:themeColor="text1"/>
          <w14:textFill>
            <w14:solidFill>
              <w14:schemeClr w14:val="tx1"/>
            </w14:solidFill>
          </w14:textFill>
        </w:rPr>
        <w:t>组织机构</w:t>
      </w:r>
      <w:r>
        <w:rPr>
          <w:rFonts w:hint="eastAsia"/>
          <w:b/>
          <w:color w:val="000000" w:themeColor="text1"/>
          <w14:textFill>
            <w14:solidFill>
              <w14:schemeClr w14:val="tx1"/>
            </w14:solidFill>
          </w14:textFill>
        </w:rPr>
        <w:t>与职责</w:t>
      </w:r>
    </w:p>
    <w:p w14:paraId="7A9C84B7">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应急组织结构如下：</w:t>
      </w:r>
    </w:p>
    <w:p w14:paraId="619C5ECF">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5" o:spt="75" type="#_x0000_t75" style="height:166.8pt;width:394.8pt;" o:ole="t" filled="f" o:preferrelative="t" stroked="f" coordsize="21600,21600">
            <v:path/>
            <v:fill on="f" focussize="0,0"/>
            <v:stroke on="f" joinstyle="miter"/>
            <v:imagedata r:id="rId21" croptop="7926f" cropbottom="9473f" o:title=""/>
            <o:lock v:ext="edit" aspectratio="t"/>
            <w10:wrap type="none"/>
            <w10:anchorlock/>
          </v:shape>
          <o:OLEObject Type="Embed" ProgID="Visio.Drawing.11" ShapeID="_x0000_i1025" DrawAspect="Content" ObjectID="_1468075725" r:id="rId20">
            <o:LockedField>false</o:LockedField>
          </o:OLEObject>
        </w:object>
      </w:r>
    </w:p>
    <w:p w14:paraId="46EE0EA1">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图5-3   应急组织结构图</w:t>
      </w:r>
    </w:p>
    <w:p w14:paraId="35B411C0">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（1）应急指挥部设总指挥长、副总指挥长及成员，应急指挥部主要职责：</w:t>
      </w:r>
    </w:p>
    <w:p w14:paraId="5819D5BB">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贯彻执行国家、当地政府、上级有关部门关于环境安全的方针、政策及规定；组织制定突发环境事件应急预案；组建突发环境事件应急救援队伍；负责应急防范设施（备）（如堵漏器材、环境应急池、排放口应急阀门、储罐区围堰、应急监测仪器、防护器材、救援器材和应急交通工具等）的建设以及应急救援物资储备；检查、督促做好突发环境事件的预防措施和应急救援的各项准备工作；确定现场指挥人员；协调事件现场有关工作；负责应急队伍的调动和资源配置；突发环境事件信息的上报及可能受影响区域的通报工作；负责应急状态下请求外部救援力量的决策；接受上级应急救援指挥机构的指令和调动，协助事件的处理，配合有关部门对环境进行修复、事件调查、经验教训总结；负责保护事件现场及相关数据；有计划地组织实施突发环境事件应急救援的培训，根据应急预案进行演练，向周边企业、村落提供本单位有关危险物质特性、救援知识等宣传材料。</w:t>
      </w:r>
    </w:p>
    <w:p w14:paraId="610861F1">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（2）应急处置办公室</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设主任及其他成员</w:t>
      </w:r>
      <w:r>
        <w:rPr>
          <w:rFonts w:hint="eastAsia"/>
          <w:color w:val="000000" w:themeColor="text1"/>
          <w14:textFill>
            <w14:solidFill>
              <w14:schemeClr w14:val="tx1"/>
            </w14:solidFill>
          </w14:textFill>
        </w:rPr>
        <w:t>）</w:t>
      </w:r>
    </w:p>
    <w:p w14:paraId="33592118">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主要职责：作为日常应急管理机构，主要负责日常应急管理工作。突发环境事件时，配合指挥部做好各项应急处置工作，包括人员的调动、</w:t>
      </w:r>
      <w:r>
        <w:rPr>
          <w:rFonts w:hint="eastAsia"/>
          <w:color w:val="000000" w:themeColor="text1"/>
          <w14:textFill>
            <w14:solidFill>
              <w14:schemeClr w14:val="tx1"/>
            </w14:solidFill>
          </w14:textFill>
        </w:rPr>
        <w:t>物资</w:t>
      </w:r>
      <w:r>
        <w:rPr>
          <w:color w:val="000000" w:themeColor="text1"/>
          <w14:textFill>
            <w14:solidFill>
              <w14:schemeClr w14:val="tx1"/>
            </w14:solidFill>
          </w14:textFill>
        </w:rPr>
        <w:t>的调配</w:t>
      </w:r>
      <w:r>
        <w:rPr>
          <w:rFonts w:hint="eastAsia"/>
          <w:color w:val="000000" w:themeColor="text1"/>
          <w14:textFill>
            <w14:solidFill>
              <w14:schemeClr w14:val="tx1"/>
            </w14:solidFill>
          </w14:textFill>
        </w:rPr>
        <w:t>等工作</w:t>
      </w:r>
      <w:r>
        <w:rPr>
          <w:color w:val="000000" w:themeColor="text1"/>
          <w14:textFill>
            <w14:solidFill>
              <w14:schemeClr w14:val="tx1"/>
            </w14:solidFill>
          </w14:textFill>
        </w:rPr>
        <w:t>，指挥各应急组开展应急处置措施，负责事故救援情况的记录和资料、信息的收集，与现场应急指挥部保持联系，传达本公司应急指挥部命令。</w:t>
      </w:r>
    </w:p>
    <w:p w14:paraId="523936B8">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（3）应急消防组</w:t>
      </w:r>
      <w:bookmarkStart w:id="120" w:name="Bookmark102"/>
      <w:r>
        <w:rPr>
          <w:rFonts w:hint="eastAsia"/>
          <w:color w:val="000000" w:themeColor="text1"/>
          <w14:textFill>
            <w14:solidFill>
              <w14:schemeClr w14:val="tx1"/>
            </w14:solidFill>
          </w14:textFill>
        </w:rPr>
        <w:t>（</w:t>
      </w:r>
      <w:r>
        <w:rPr>
          <w:color w:val="000000" w:themeColor="text1"/>
          <w14:textFill>
            <w14:solidFill>
              <w14:schemeClr w14:val="tx1"/>
            </w14:solidFill>
          </w14:textFill>
        </w:rPr>
        <w:t>设</w:t>
      </w:r>
      <w:bookmarkEnd w:id="120"/>
      <w:r>
        <w:rPr>
          <w:color w:val="000000" w:themeColor="text1"/>
          <w14:textFill>
            <w14:solidFill>
              <w14:schemeClr w14:val="tx1"/>
            </w14:solidFill>
          </w14:textFill>
        </w:rPr>
        <w:t>组长及其他成员</w:t>
      </w:r>
      <w:r>
        <w:rPr>
          <w:rFonts w:hint="eastAsia"/>
          <w:color w:val="000000" w:themeColor="text1"/>
          <w14:textFill>
            <w14:solidFill>
              <w14:schemeClr w14:val="tx1"/>
            </w14:solidFill>
          </w14:textFill>
        </w:rPr>
        <w:t>）</w:t>
      </w:r>
    </w:p>
    <w:p w14:paraId="1DBE99DE">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主要职责：负责应急设施、设备的日常检查和督促整改，确保消防设施、设备保持正常。组织人员按照指挥长、副指挥长的部署实施消防救援活动。事故发生时，引导外部救援队伍开展消防救援。完成指挥部赋予的</w:t>
      </w: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工作任务。</w:t>
      </w:r>
    </w:p>
    <w:p w14:paraId="37E42201">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（4）应急处置组</w:t>
      </w:r>
      <w:bookmarkStart w:id="121" w:name="Bookmark106"/>
      <w:r>
        <w:rPr>
          <w:rFonts w:hint="eastAsia"/>
          <w:color w:val="000000" w:themeColor="text1"/>
          <w14:textFill>
            <w14:solidFill>
              <w14:schemeClr w14:val="tx1"/>
            </w14:solidFill>
          </w14:textFill>
        </w:rPr>
        <w:t>（</w:t>
      </w:r>
      <w:r>
        <w:rPr>
          <w:color w:val="000000" w:themeColor="text1"/>
          <w14:textFill>
            <w14:solidFill>
              <w14:schemeClr w14:val="tx1"/>
            </w14:solidFill>
          </w14:textFill>
        </w:rPr>
        <w:t>设</w:t>
      </w:r>
      <w:bookmarkEnd w:id="121"/>
      <w:r>
        <w:rPr>
          <w:color w:val="000000" w:themeColor="text1"/>
          <w14:textFill>
            <w14:solidFill>
              <w14:schemeClr w14:val="tx1"/>
            </w14:solidFill>
          </w14:textFill>
        </w:rPr>
        <w:t>组长及其他成员</w:t>
      </w:r>
      <w:r>
        <w:rPr>
          <w:rFonts w:hint="eastAsia"/>
          <w:color w:val="000000" w:themeColor="text1"/>
          <w14:textFill>
            <w14:solidFill>
              <w14:schemeClr w14:val="tx1"/>
            </w14:solidFill>
          </w14:textFill>
        </w:rPr>
        <w:t>）</w:t>
      </w:r>
    </w:p>
    <w:p w14:paraId="063B55C9">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主要职责：负责应急设施、设备的日常检查和督促整改，确保应急设施、设备保持正常。组织人员按照指挥长、副指挥长的部署实施抢险救援活动。事故发生时，引导外部救援队伍开展应急处置救援。完成指挥部赋予的</w:t>
      </w: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工作任务。</w:t>
      </w:r>
    </w:p>
    <w:p w14:paraId="04BA2753">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（5）医疗救护组</w:t>
      </w:r>
      <w:bookmarkStart w:id="122" w:name="Bookmark107"/>
      <w:r>
        <w:rPr>
          <w:rFonts w:hint="eastAsia"/>
          <w:color w:val="000000" w:themeColor="text1"/>
          <w14:textFill>
            <w14:solidFill>
              <w14:schemeClr w14:val="tx1"/>
            </w14:solidFill>
          </w14:textFill>
        </w:rPr>
        <w:t>（</w:t>
      </w:r>
      <w:r>
        <w:rPr>
          <w:color w:val="000000" w:themeColor="text1"/>
          <w14:textFill>
            <w14:solidFill>
              <w14:schemeClr w14:val="tx1"/>
            </w14:solidFill>
          </w14:textFill>
        </w:rPr>
        <w:t>设</w:t>
      </w:r>
      <w:bookmarkEnd w:id="122"/>
      <w:r>
        <w:rPr>
          <w:color w:val="000000" w:themeColor="text1"/>
          <w14:textFill>
            <w14:solidFill>
              <w14:schemeClr w14:val="tx1"/>
            </w14:solidFill>
          </w14:textFill>
        </w:rPr>
        <w:t>组长及其他成员</w:t>
      </w:r>
      <w:r>
        <w:rPr>
          <w:rFonts w:hint="eastAsia"/>
          <w:color w:val="000000" w:themeColor="text1"/>
          <w14:textFill>
            <w14:solidFill>
              <w14:schemeClr w14:val="tx1"/>
            </w14:solidFill>
          </w14:textFill>
        </w:rPr>
        <w:t>）</w:t>
      </w:r>
    </w:p>
    <w:p w14:paraId="6FA73E09">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主要职责：负责现场医疗救治，如火灾、爆炸等事故引起的人员受伤，提供所需药品、医疗器械；需要时联系、通知医疗机构救援，陪送伤者，联络伤者家属；完成指挥部赋予的</w:t>
      </w: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工作任务。</w:t>
      </w:r>
    </w:p>
    <w:p w14:paraId="6095B193">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（6）治安警戒组</w:t>
      </w:r>
      <w:bookmarkStart w:id="123" w:name="Bookmark105"/>
      <w:r>
        <w:rPr>
          <w:rFonts w:hint="eastAsia"/>
          <w:color w:val="000000" w:themeColor="text1"/>
          <w14:textFill>
            <w14:solidFill>
              <w14:schemeClr w14:val="tx1"/>
            </w14:solidFill>
          </w14:textFill>
        </w:rPr>
        <w:t>（</w:t>
      </w:r>
      <w:r>
        <w:rPr>
          <w:color w:val="000000" w:themeColor="text1"/>
          <w14:textFill>
            <w14:solidFill>
              <w14:schemeClr w14:val="tx1"/>
            </w14:solidFill>
          </w14:textFill>
        </w:rPr>
        <w:t>设</w:t>
      </w:r>
      <w:bookmarkEnd w:id="123"/>
      <w:r>
        <w:rPr>
          <w:color w:val="000000" w:themeColor="text1"/>
          <w14:textFill>
            <w14:solidFill>
              <w14:schemeClr w14:val="tx1"/>
            </w14:solidFill>
          </w14:textFill>
        </w:rPr>
        <w:t>组长及其他成员</w:t>
      </w:r>
      <w:r>
        <w:rPr>
          <w:rFonts w:hint="eastAsia"/>
          <w:color w:val="000000" w:themeColor="text1"/>
          <w14:textFill>
            <w14:solidFill>
              <w14:schemeClr w14:val="tx1"/>
            </w14:solidFill>
          </w14:textFill>
        </w:rPr>
        <w:t>）</w:t>
      </w:r>
    </w:p>
    <w:p w14:paraId="71682754">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主要职责：</w:t>
      </w:r>
      <w:bookmarkStart w:id="124" w:name="Bookmark104"/>
      <w:r>
        <w:rPr>
          <w:color w:val="000000" w:themeColor="text1"/>
          <w14:textFill>
            <w14:solidFill>
              <w14:schemeClr w14:val="tx1"/>
            </w14:solidFill>
          </w14:textFill>
        </w:rPr>
        <w:t>向</w:t>
      </w:r>
      <w:bookmarkEnd w:id="124"/>
      <w:r>
        <w:rPr>
          <w:color w:val="000000" w:themeColor="text1"/>
          <w14:textFill>
            <w14:solidFill>
              <w14:schemeClr w14:val="tx1"/>
            </w14:solidFill>
          </w14:textFill>
        </w:rPr>
        <w:t>应急指挥部提出现场人员撤离方案的建议；负责隔离事故区，维持</w:t>
      </w:r>
      <w:r>
        <w:rPr>
          <w:rFonts w:hint="eastAsia"/>
          <w:color w:val="000000" w:themeColor="text1"/>
          <w14:textFill>
            <w14:solidFill>
              <w14:schemeClr w14:val="tx1"/>
            </w14:solidFill>
          </w14:textFill>
        </w:rPr>
        <w:t>现场</w:t>
      </w:r>
      <w:r>
        <w:rPr>
          <w:color w:val="000000" w:themeColor="text1"/>
          <w14:textFill>
            <w14:solidFill>
              <w14:schemeClr w14:val="tx1"/>
            </w14:solidFill>
          </w14:textFill>
        </w:rPr>
        <w:t>秩序，疏导交通及方向标识的布置，保护现场并记录现场情况；负责事故现场的警戒工作，劝阻围观人员离开警戒区域，阻止无关人员进入现场；负责指挥和安排事故现场人员紧急疏散至安全地带</w:t>
      </w:r>
      <w:r>
        <w:rPr>
          <w:rFonts w:hint="eastAsia"/>
          <w:color w:val="000000" w:themeColor="text1"/>
          <w14:textFill>
            <w14:solidFill>
              <w14:schemeClr w14:val="tx1"/>
            </w14:solidFill>
          </w14:textFill>
        </w:rPr>
        <w:t>，协助相关政府人员完成人员的后续安置工作</w:t>
      </w:r>
      <w:r>
        <w:rPr>
          <w:color w:val="000000" w:themeColor="text1"/>
          <w14:textFill>
            <w14:solidFill>
              <w14:schemeClr w14:val="tx1"/>
            </w14:solidFill>
          </w14:textFill>
        </w:rPr>
        <w:t>；完成指挥部赋予的</w:t>
      </w: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工作任务。</w:t>
      </w:r>
    </w:p>
    <w:p w14:paraId="0F9F655A">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（7）后勤保障组</w:t>
      </w:r>
      <w:bookmarkStart w:id="125" w:name="Bookmark112"/>
      <w:r>
        <w:rPr>
          <w:rFonts w:hint="eastAsia"/>
          <w:color w:val="000000" w:themeColor="text1"/>
          <w14:textFill>
            <w14:solidFill>
              <w14:schemeClr w14:val="tx1"/>
            </w14:solidFill>
          </w14:textFill>
        </w:rPr>
        <w:t>（</w:t>
      </w:r>
      <w:r>
        <w:rPr>
          <w:color w:val="000000" w:themeColor="text1"/>
          <w14:textFill>
            <w14:solidFill>
              <w14:schemeClr w14:val="tx1"/>
            </w14:solidFill>
          </w14:textFill>
        </w:rPr>
        <w:t>设</w:t>
      </w:r>
      <w:bookmarkEnd w:id="125"/>
      <w:r>
        <w:rPr>
          <w:color w:val="000000" w:themeColor="text1"/>
          <w14:textFill>
            <w14:solidFill>
              <w14:schemeClr w14:val="tx1"/>
            </w14:solidFill>
          </w14:textFill>
        </w:rPr>
        <w:t>组长及其他成员</w:t>
      </w:r>
      <w:r>
        <w:rPr>
          <w:rFonts w:hint="eastAsia"/>
          <w:color w:val="000000" w:themeColor="text1"/>
          <w14:textFill>
            <w14:solidFill>
              <w14:schemeClr w14:val="tx1"/>
            </w14:solidFill>
          </w14:textFill>
        </w:rPr>
        <w:t>）</w:t>
      </w:r>
    </w:p>
    <w:p w14:paraId="45C59E8F">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主要职责：负责拟定事故应急救援物资采购计划，</w:t>
      </w:r>
      <w:r>
        <w:rPr>
          <w:rFonts w:hint="eastAsia"/>
          <w:color w:val="000000" w:themeColor="text1"/>
          <w14:textFill>
            <w14:solidFill>
              <w14:schemeClr w14:val="tx1"/>
            </w14:solidFill>
          </w14:textFill>
        </w:rPr>
        <w:t>定期</w:t>
      </w:r>
      <w:r>
        <w:rPr>
          <w:color w:val="000000" w:themeColor="text1"/>
          <w14:textFill>
            <w14:solidFill>
              <w14:schemeClr w14:val="tx1"/>
            </w14:solidFill>
          </w14:textFill>
        </w:rPr>
        <w:t>检查核对应急物资库存</w:t>
      </w:r>
      <w:r>
        <w:rPr>
          <w:rFonts w:hint="eastAsia"/>
          <w:color w:val="000000" w:themeColor="text1"/>
          <w14:textFill>
            <w14:solidFill>
              <w14:schemeClr w14:val="tx1"/>
            </w14:solidFill>
          </w14:textFill>
        </w:rPr>
        <w:t>和物资使用情况</w:t>
      </w:r>
      <w:r>
        <w:rPr>
          <w:color w:val="000000" w:themeColor="text1"/>
          <w14:textFill>
            <w14:solidFill>
              <w14:schemeClr w14:val="tx1"/>
            </w14:solidFill>
          </w14:textFill>
        </w:rPr>
        <w:t>，及时调配应急物资；负责联络应急物资运输车辆；负责应急设施、设备的日常检查和维护工作，确保应急</w:t>
      </w:r>
      <w:r>
        <w:rPr>
          <w:rFonts w:hint="eastAsia"/>
          <w:color w:val="000000" w:themeColor="text1"/>
          <w14:textFill>
            <w14:solidFill>
              <w14:schemeClr w14:val="tx1"/>
            </w14:solidFill>
          </w14:textFill>
        </w:rPr>
        <w:t>设施</w:t>
      </w:r>
      <w:r>
        <w:rPr>
          <w:color w:val="000000" w:themeColor="text1"/>
          <w14:textFill>
            <w14:solidFill>
              <w14:schemeClr w14:val="tx1"/>
            </w14:solidFill>
          </w14:textFill>
        </w:rPr>
        <w:t>、设备保持正常；负责保障水、电、气、通讯的运转及应急救援器材供应的物资保障，发布事故中的停水、停电指令；完成指挥部赋予的</w:t>
      </w: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工作任务。</w:t>
      </w:r>
    </w:p>
    <w:p w14:paraId="659BBDF4">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（8）通讯联络组</w:t>
      </w:r>
      <w:bookmarkStart w:id="126" w:name="Bookmark110"/>
      <w:r>
        <w:rPr>
          <w:rFonts w:hint="eastAsia"/>
          <w:color w:val="000000" w:themeColor="text1"/>
          <w14:textFill>
            <w14:solidFill>
              <w14:schemeClr w14:val="tx1"/>
            </w14:solidFill>
          </w14:textFill>
        </w:rPr>
        <w:t>（</w:t>
      </w:r>
      <w:r>
        <w:rPr>
          <w:color w:val="000000" w:themeColor="text1"/>
          <w14:textFill>
            <w14:solidFill>
              <w14:schemeClr w14:val="tx1"/>
            </w14:solidFill>
          </w14:textFill>
        </w:rPr>
        <w:t>设</w:t>
      </w:r>
      <w:bookmarkEnd w:id="126"/>
      <w:r>
        <w:rPr>
          <w:color w:val="000000" w:themeColor="text1"/>
          <w14:textFill>
            <w14:solidFill>
              <w14:schemeClr w14:val="tx1"/>
            </w14:solidFill>
          </w14:textFill>
        </w:rPr>
        <w:t>组长及其他成员</w:t>
      </w:r>
      <w:r>
        <w:rPr>
          <w:rFonts w:hint="eastAsia"/>
          <w:color w:val="000000" w:themeColor="text1"/>
          <w14:textFill>
            <w14:solidFill>
              <w14:schemeClr w14:val="tx1"/>
            </w14:solidFill>
          </w14:textFill>
        </w:rPr>
        <w:t>）</w:t>
      </w:r>
    </w:p>
    <w:p w14:paraId="1E4E00AB">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主要职责：保障通讯正常畅通，负责通讯设施的维护与抢修；负责联络各应急小组、应急指挥长和副指挥长，汇报事故发生情况；根据应急指挥长或副指挥长命令，迅速及时地联络外部救援力量及信息发布；完成指挥部赋予的</w:t>
      </w: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工作任务。</w:t>
      </w:r>
    </w:p>
    <w:p w14:paraId="1DD49177">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（9）应急专家组</w:t>
      </w:r>
      <w:bookmarkStart w:id="127" w:name="Bookmark111"/>
      <w:r>
        <w:rPr>
          <w:rFonts w:hint="eastAsia"/>
          <w:color w:val="000000" w:themeColor="text1"/>
          <w14:textFill>
            <w14:solidFill>
              <w14:schemeClr w14:val="tx1"/>
            </w14:solidFill>
          </w14:textFill>
        </w:rPr>
        <w:t>（</w:t>
      </w:r>
      <w:r>
        <w:rPr>
          <w:color w:val="000000" w:themeColor="text1"/>
          <w14:textFill>
            <w14:solidFill>
              <w14:schemeClr w14:val="tx1"/>
            </w14:solidFill>
          </w14:textFill>
        </w:rPr>
        <w:t>设</w:t>
      </w:r>
      <w:bookmarkEnd w:id="127"/>
      <w:r>
        <w:rPr>
          <w:color w:val="000000" w:themeColor="text1"/>
          <w14:textFill>
            <w14:solidFill>
              <w14:schemeClr w14:val="tx1"/>
            </w14:solidFill>
          </w14:textFill>
        </w:rPr>
        <w:t>组长及其他成员</w:t>
      </w:r>
      <w:r>
        <w:rPr>
          <w:rFonts w:hint="eastAsia"/>
          <w:color w:val="000000" w:themeColor="text1"/>
          <w14:textFill>
            <w14:solidFill>
              <w14:schemeClr w14:val="tx1"/>
            </w14:solidFill>
          </w14:textFill>
        </w:rPr>
        <w:t>）</w:t>
      </w:r>
    </w:p>
    <w:p w14:paraId="0ACDB8AE">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主要职责：为现场应急工作提出应急救援方案、建议和技术支持；参与制定应急救援方案；负责向南宁市</w:t>
      </w:r>
      <w:r>
        <w:rPr>
          <w:rFonts w:hint="eastAsia"/>
          <w:color w:val="000000" w:themeColor="text1"/>
          <w14:textFill>
            <w14:solidFill>
              <w14:schemeClr w14:val="tx1"/>
            </w14:solidFill>
          </w14:textFill>
        </w:rPr>
        <w:t>生态环境</w:t>
      </w:r>
      <w:r>
        <w:rPr>
          <w:color w:val="000000" w:themeColor="text1"/>
          <w14:textFill>
            <w14:solidFill>
              <w14:schemeClr w14:val="tx1"/>
            </w14:solidFill>
          </w14:textFill>
        </w:rPr>
        <w:t>局及南宁市应急专家库请求技术协助；负责完成应急指挥部交办的其它任务；</w:t>
      </w:r>
    </w:p>
    <w:p w14:paraId="7CB5802B">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（10）应急监测组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设组长及其他成员</w:t>
      </w:r>
      <w:r>
        <w:rPr>
          <w:rFonts w:hint="eastAsia"/>
          <w:color w:val="000000" w:themeColor="text1"/>
          <w14:textFill>
            <w14:solidFill>
              <w14:schemeClr w14:val="tx1"/>
            </w14:solidFill>
          </w14:textFill>
        </w:rPr>
        <w:t>）</w:t>
      </w:r>
    </w:p>
    <w:p w14:paraId="5C524AE1">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主要职责：</w:t>
      </w:r>
      <w:r>
        <w:rPr>
          <w:rFonts w:hint="eastAsia"/>
          <w:color w:val="000000" w:themeColor="text1"/>
          <w14:textFill>
            <w14:solidFill>
              <w14:schemeClr w14:val="tx1"/>
            </w14:solidFill>
          </w14:textFill>
        </w:rPr>
        <w:t>联系和协助委托的第三方机构进行监测，并将监测结果汇报指挥部和相关部门。协助后续的污染环境恢复工作</w:t>
      </w:r>
      <w:r>
        <w:rPr>
          <w:color w:val="000000" w:themeColor="text1"/>
          <w14:textFill>
            <w14:solidFill>
              <w14:schemeClr w14:val="tx1"/>
            </w14:solidFill>
          </w14:textFill>
        </w:rPr>
        <w:t>。</w:t>
      </w:r>
    </w:p>
    <w:p w14:paraId="5C0F735A">
      <w:pPr>
        <w:pStyle w:val="45"/>
        <w:keepNext w:val="0"/>
        <w:keepLines w:val="0"/>
        <w:pageBreakBefore w:val="0"/>
        <w:widowControl w:val="0"/>
        <w:kinsoku/>
        <w:wordWrap/>
        <w:overflowPunct/>
        <w:topLinePunct w:val="0"/>
        <w:autoSpaceDE/>
        <w:autoSpaceDN/>
        <w:bidi w:val="0"/>
        <w:adjustRightInd/>
        <w:snapToGrid/>
        <w:ind w:firstLine="0" w:firstLineChars="0"/>
        <w:textAlignment w:val="auto"/>
        <w:outlineLvl w:val="2"/>
        <w:rPr>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5.3.3</w:t>
      </w:r>
      <w:r>
        <w:rPr>
          <w:b/>
          <w:color w:val="000000" w:themeColor="text1"/>
          <w14:textFill>
            <w14:solidFill>
              <w14:schemeClr w14:val="tx1"/>
            </w14:solidFill>
          </w14:textFill>
        </w:rPr>
        <w:t>预案分级</w:t>
      </w:r>
      <w:bookmarkStart w:id="128" w:name="Bookmark114"/>
      <w:r>
        <w:rPr>
          <w:b/>
          <w:color w:val="000000" w:themeColor="text1"/>
          <w14:textFill>
            <w14:solidFill>
              <w14:schemeClr w14:val="tx1"/>
            </w14:solidFill>
          </w14:textFill>
        </w:rPr>
        <w:t>响应</w:t>
      </w:r>
      <w:bookmarkEnd w:id="128"/>
      <w:r>
        <w:rPr>
          <w:rFonts w:hint="eastAsia"/>
          <w:b/>
          <w:color w:val="000000" w:themeColor="text1"/>
          <w14:textFill>
            <w14:solidFill>
              <w14:schemeClr w14:val="tx1"/>
            </w14:solidFill>
          </w14:textFill>
        </w:rPr>
        <w:t>程序</w:t>
      </w:r>
    </w:p>
    <w:p w14:paraId="57C926D3">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应急预案应根据公司突发环境事件的可控性、严重程度和影响范围等划分等级，按不同的环境事件等级对</w:t>
      </w:r>
      <w:r>
        <w:rPr>
          <w:rFonts w:hint="eastAsia"/>
          <w:color w:val="000000" w:themeColor="text1"/>
          <w14:textFill>
            <w14:solidFill>
              <w14:schemeClr w14:val="tx1"/>
            </w14:solidFill>
          </w14:textFill>
        </w:rPr>
        <w:t>应不同的</w:t>
      </w:r>
      <w:r>
        <w:rPr>
          <w:color w:val="000000" w:themeColor="text1"/>
          <w14:textFill>
            <w14:solidFill>
              <w14:schemeClr w14:val="tx1"/>
            </w14:solidFill>
          </w14:textFill>
        </w:rPr>
        <w:t>响应等级。当发生事故时，事故发现者应立即报警并拉响警报，同时按照公司事故等级分类报告程序将情况及时、准确</w:t>
      </w:r>
      <w:r>
        <w:rPr>
          <w:rFonts w:hint="eastAsia"/>
          <w:color w:val="000000" w:themeColor="text1"/>
          <w14:textFill>
            <w14:solidFill>
              <w14:schemeClr w14:val="tx1"/>
            </w14:solidFill>
          </w14:textFill>
        </w:rPr>
        <w:t>地</w:t>
      </w:r>
      <w:r>
        <w:rPr>
          <w:color w:val="000000" w:themeColor="text1"/>
          <w14:textFill>
            <w14:solidFill>
              <w14:schemeClr w14:val="tx1"/>
            </w14:solidFill>
          </w14:textFill>
        </w:rPr>
        <w:t>逐级报告给上级领导</w:t>
      </w:r>
      <w:r>
        <w:rPr>
          <w:rFonts w:hint="eastAsia"/>
          <w:color w:val="000000" w:themeColor="text1"/>
          <w14:textFill>
            <w14:solidFill>
              <w14:schemeClr w14:val="tx1"/>
            </w14:solidFill>
          </w14:textFill>
        </w:rPr>
        <w:t>，并启动相应的应急预案</w:t>
      </w:r>
      <w:r>
        <w:rPr>
          <w:color w:val="000000" w:themeColor="text1"/>
          <w14:textFill>
            <w14:solidFill>
              <w14:schemeClr w14:val="tx1"/>
            </w14:solidFill>
          </w14:textFill>
        </w:rPr>
        <w:t>。应急响应程序见图</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-4。</w:t>
      </w:r>
    </w:p>
    <w:p w14:paraId="5AE35267">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886325" cy="5648325"/>
            <wp:effectExtent l="0" t="0" r="9525" b="9525"/>
            <wp:docPr id="8"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5"/>
                    <pic:cNvPicPr>
                      <a:picLocks noChangeAspect="1"/>
                    </pic:cNvPicPr>
                  </pic:nvPicPr>
                  <pic:blipFill>
                    <a:blip r:embed="rId22"/>
                    <a:srcRect l="6779" r="8269" b="1030"/>
                    <a:stretch>
                      <a:fillRect/>
                    </a:stretch>
                  </pic:blipFill>
                  <pic:spPr>
                    <a:xfrm>
                      <a:off x="0" y="0"/>
                      <a:ext cx="4886325" cy="5648325"/>
                    </a:xfrm>
                    <a:prstGeom prst="rect">
                      <a:avLst/>
                    </a:prstGeom>
                    <a:noFill/>
                    <a:ln>
                      <a:noFill/>
                    </a:ln>
                  </pic:spPr>
                </pic:pic>
              </a:graphicData>
            </a:graphic>
          </wp:inline>
        </w:drawing>
      </w:r>
    </w:p>
    <w:p w14:paraId="5DDD2CE2">
      <w:pPr>
        <w:adjustRightInd w:val="0"/>
        <w:snapToGrid w:val="0"/>
        <w:jc w:val="center"/>
        <w:rPr>
          <w:color w:val="000000" w:themeColor="text1"/>
          <w:sz w:val="24"/>
          <w14:textFill>
            <w14:solidFill>
              <w14:schemeClr w14:val="tx1"/>
            </w14:solidFill>
          </w14:textFill>
        </w:rPr>
      </w:pPr>
      <w:r>
        <w:rPr>
          <w:b/>
          <w:bCs/>
          <w:color w:val="000000" w:themeColor="text1"/>
          <w:sz w:val="24"/>
          <w14:textFill>
            <w14:solidFill>
              <w14:schemeClr w14:val="tx1"/>
            </w14:solidFill>
          </w14:textFill>
        </w:rPr>
        <w:t>图5-4   应急响应程序图</w:t>
      </w:r>
    </w:p>
    <w:p w14:paraId="090FB06C">
      <w:pPr>
        <w:pStyle w:val="45"/>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（4）应急救援保障</w:t>
      </w:r>
    </w:p>
    <w:p w14:paraId="39EFDC4D">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资金保障：环境风险应急物资储备费用应列入年度费用计划，总经理负责事故应急救援必要的资金准备，确保事故应急处置装备的添置、更新及紧急</w:t>
      </w:r>
      <w:bookmarkStart w:id="129" w:name="Bookmark115"/>
      <w:r>
        <w:rPr>
          <w:color w:val="000000" w:themeColor="text1"/>
          <w14:textFill>
            <w14:solidFill>
              <w14:schemeClr w14:val="tx1"/>
            </w14:solidFill>
          </w14:textFill>
        </w:rPr>
        <w:t>购置</w:t>
      </w:r>
      <w:bookmarkEnd w:id="129"/>
      <w:r>
        <w:rPr>
          <w:color w:val="000000" w:themeColor="text1"/>
          <w14:textFill>
            <w14:solidFill>
              <w14:schemeClr w14:val="tx1"/>
            </w14:solidFill>
          </w14:textFill>
        </w:rPr>
        <w:t>的经费。</w:t>
      </w:r>
    </w:p>
    <w:p w14:paraId="41E3513C">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物资保障：根据环境风险事故应急抢险救援需要，应急总指挥部负责落实各类所需应急抢险装备器材、物资。物资保障由应急后勤小组组长负责保管以及日常储备</w:t>
      </w:r>
      <w:r>
        <w:rPr>
          <w:rFonts w:hint="eastAsia"/>
          <w:color w:val="000000" w:themeColor="text1"/>
          <w14:textFill>
            <w14:solidFill>
              <w14:schemeClr w14:val="tx1"/>
            </w14:solidFill>
          </w14:textFill>
        </w:rPr>
        <w:t>物资</w:t>
      </w:r>
      <w:r>
        <w:rPr>
          <w:color w:val="000000" w:themeColor="text1"/>
          <w14:textFill>
            <w14:solidFill>
              <w14:schemeClr w14:val="tx1"/>
            </w14:solidFill>
          </w14:textFill>
        </w:rPr>
        <w:t>的检查和核实。应急事件发生后，后勤保障组在第一时间迅速赶赴物资储备仓库，给应急处置人员紧急配发防护装备和应急物资。</w:t>
      </w:r>
    </w:p>
    <w:p w14:paraId="48B04DC7">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医疗卫生保障：企业应急指挥部负责落实与地方医疗卫生、职业病防治部门的应急医疗救援协议的签订，落实急救药箱药品，急救器材的配备与更新。相关协作单位定期组织现场应急人员</w:t>
      </w:r>
      <w:bookmarkStart w:id="130" w:name="Bookmark118"/>
      <w:r>
        <w:rPr>
          <w:color w:val="000000" w:themeColor="text1"/>
          <w14:textFill>
            <w14:solidFill>
              <w14:schemeClr w14:val="tx1"/>
            </w14:solidFill>
          </w14:textFill>
        </w:rPr>
        <w:t>定期</w:t>
      </w:r>
      <w:bookmarkEnd w:id="130"/>
      <w:r>
        <w:rPr>
          <w:color w:val="000000" w:themeColor="text1"/>
          <w14:textFill>
            <w14:solidFill>
              <w14:schemeClr w14:val="tx1"/>
            </w14:solidFill>
          </w14:textFill>
        </w:rPr>
        <w:t>的医疗急救知识与技术的培训。</w:t>
      </w:r>
    </w:p>
    <w:p w14:paraId="2EA4A31C">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交通运输保障：企业应配备应急救援车辆，车辆的日常管理由应急后勤小组组长负责。事故状态下，应急车辆由应急指挥部统一调配，由后勤小组组长负责管理。</w:t>
      </w:r>
    </w:p>
    <w:p w14:paraId="7D123E83">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通信与信息保障：应急救援后勤小组负责应急状态下的应急</w:t>
      </w:r>
      <w:bookmarkStart w:id="131" w:name="Bookmark119"/>
      <w:r>
        <w:rPr>
          <w:color w:val="000000" w:themeColor="text1"/>
          <w14:textFill>
            <w14:solidFill>
              <w14:schemeClr w14:val="tx1"/>
            </w14:solidFill>
          </w14:textFill>
        </w:rPr>
        <w:t>通讯保障</w:t>
      </w:r>
      <w:bookmarkEnd w:id="131"/>
      <w:r>
        <w:rPr>
          <w:color w:val="000000" w:themeColor="text1"/>
          <w14:textFill>
            <w14:solidFill>
              <w14:schemeClr w14:val="tx1"/>
            </w14:solidFill>
          </w14:textFill>
        </w:rPr>
        <w:t>和日常企业电信设施的配备维护，保障通讯畅通。各岗位人员负责维护配备使用的电话、无线对讲机，确保完好；应急总指挥和副总指挥手机保持24小时开机。</w:t>
      </w:r>
    </w:p>
    <w:p w14:paraId="3FF52386">
      <w:pPr>
        <w:pStyle w:val="4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外部</w:t>
      </w:r>
      <w:r>
        <w:rPr>
          <w:color w:val="000000" w:themeColor="text1"/>
          <w14:textFill>
            <w14:solidFill>
              <w14:schemeClr w14:val="tx1"/>
            </w14:solidFill>
          </w14:textFill>
        </w:rPr>
        <w:t>保障：依托</w:t>
      </w:r>
      <w:r>
        <w:rPr>
          <w:rFonts w:hint="eastAsia"/>
          <w:color w:val="000000" w:themeColor="text1"/>
          <w14:textFill>
            <w14:solidFill>
              <w14:schemeClr w14:val="tx1"/>
            </w14:solidFill>
          </w14:textFill>
        </w:rPr>
        <w:t>钦州</w:t>
      </w:r>
      <w:r>
        <w:rPr>
          <w:color w:val="000000" w:themeColor="text1"/>
          <w14:textFill>
            <w14:solidFill>
              <w14:schemeClr w14:val="tx1"/>
            </w14:solidFill>
          </w14:textFill>
        </w:rPr>
        <w:t>市</w:t>
      </w:r>
      <w:r>
        <w:rPr>
          <w:rFonts w:hint="eastAsia"/>
          <w:color w:val="000000" w:themeColor="text1"/>
          <w14:textFill>
            <w14:solidFill>
              <w14:schemeClr w14:val="tx1"/>
            </w14:solidFill>
          </w14:textFill>
        </w:rPr>
        <w:t>生态环境</w:t>
      </w:r>
      <w:r>
        <w:rPr>
          <w:color w:val="000000" w:themeColor="text1"/>
          <w14:textFill>
            <w14:solidFill>
              <w14:schemeClr w14:val="tx1"/>
            </w14:solidFill>
          </w14:textFill>
        </w:rPr>
        <w:t>局</w:t>
      </w:r>
      <w:r>
        <w:rPr>
          <w:rFonts w:hint="eastAsia"/>
          <w:color w:val="000000" w:themeColor="text1"/>
          <w14:textFill>
            <w14:solidFill>
              <w14:schemeClr w14:val="tx1"/>
            </w14:solidFill>
          </w14:textFill>
        </w:rPr>
        <w:t>、钦州市钦州港经济技术开发区生态环境局</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钦州</w:t>
      </w:r>
      <w:r>
        <w:rPr>
          <w:color w:val="000000" w:themeColor="text1"/>
          <w14:textFill>
            <w14:solidFill>
              <w14:schemeClr w14:val="tx1"/>
            </w14:solidFill>
          </w14:textFill>
        </w:rPr>
        <w:t>市突发环境事件应急专家库组建应急救援专家队伍，及时为应急处置行动提供专业指导意见。</w:t>
      </w:r>
    </w:p>
    <w:p w14:paraId="3A608FF1">
      <w:pPr>
        <w:pStyle w:val="4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保障：企业应配有平面布置图、人员疏散图、物料性质技术安全说明和应急救援指导手册等资料。</w:t>
      </w:r>
    </w:p>
    <w:p w14:paraId="257ED63C">
      <w:pPr>
        <w:pStyle w:val="45"/>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（5）报警、通讯联络方式</w:t>
      </w:r>
    </w:p>
    <w:p w14:paraId="0DED92CB">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规定应急状态下的报警通讯方式、通知方式和交通保障、管制。</w:t>
      </w:r>
    </w:p>
    <w:p w14:paraId="6E2524CC">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根据公司应急组织机构的设置给出应急组织机构各个成员的名单及联络方式，包括：应急指挥部、应急办公室、应急消防组、应急处置组、医疗救护组、治安警戒组、后勤保障组、通讯联络组、应急专家组、应急监测组的成员名单及联络方式；列出公司外部可用应急救援资源的名单及联络方式，包括：政府部门的名单及联络方式（</w:t>
      </w:r>
      <w:r>
        <w:rPr>
          <w:rFonts w:hint="eastAsia"/>
          <w:color w:val="000000" w:themeColor="text1"/>
          <w14:textFill>
            <w14:solidFill>
              <w14:schemeClr w14:val="tx1"/>
            </w14:solidFill>
          </w14:textFill>
        </w:rPr>
        <w:t>钦州</w:t>
      </w:r>
      <w:r>
        <w:rPr>
          <w:color w:val="000000" w:themeColor="text1"/>
          <w14:textFill>
            <w14:solidFill>
              <w14:schemeClr w14:val="tx1"/>
            </w14:solidFill>
          </w14:textFill>
        </w:rPr>
        <w:t>市人民政府应急管理科、</w:t>
      </w:r>
      <w:r>
        <w:rPr>
          <w:rFonts w:hint="eastAsia"/>
          <w:color w:val="000000" w:themeColor="text1"/>
          <w14:textFill>
            <w14:solidFill>
              <w14:schemeClr w14:val="tx1"/>
            </w14:solidFill>
          </w14:textFill>
        </w:rPr>
        <w:t>钦州保税港区委员会</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钦州</w:t>
      </w:r>
      <w:r>
        <w:rPr>
          <w:color w:val="000000" w:themeColor="text1"/>
          <w14:textFill>
            <w14:solidFill>
              <w14:schemeClr w14:val="tx1"/>
            </w14:solidFill>
          </w14:textFill>
        </w:rPr>
        <w:t>市</w:t>
      </w:r>
      <w:r>
        <w:rPr>
          <w:rFonts w:hint="eastAsia"/>
          <w:color w:val="000000" w:themeColor="text1"/>
          <w14:textFill>
            <w14:solidFill>
              <w14:schemeClr w14:val="tx1"/>
            </w14:solidFill>
          </w14:textFill>
        </w:rPr>
        <w:t>钦州港经济技术开发区</w:t>
      </w:r>
      <w:r>
        <w:rPr>
          <w:color w:val="000000" w:themeColor="text1"/>
          <w14:textFill>
            <w14:solidFill>
              <w14:schemeClr w14:val="tx1"/>
            </w14:solidFill>
          </w14:textFill>
        </w:rPr>
        <w:t>生态环境局、</w:t>
      </w:r>
      <w:r>
        <w:rPr>
          <w:rFonts w:hint="eastAsia"/>
          <w:color w:val="000000" w:themeColor="text1"/>
          <w14:textFill>
            <w14:solidFill>
              <w14:schemeClr w14:val="tx1"/>
            </w14:solidFill>
          </w14:textFill>
        </w:rPr>
        <w:t>钦州市生态环境监测中心</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钦州市</w:t>
      </w:r>
      <w:r>
        <w:rPr>
          <w:color w:val="000000" w:themeColor="text1"/>
          <w14:textFill>
            <w14:solidFill>
              <w14:schemeClr w14:val="tx1"/>
            </w14:solidFill>
          </w14:textFill>
        </w:rPr>
        <w:t>公安局</w:t>
      </w:r>
      <w:r>
        <w:rPr>
          <w:rFonts w:hint="eastAsia"/>
          <w:color w:val="000000" w:themeColor="text1"/>
          <w14:textFill>
            <w14:solidFill>
              <w14:schemeClr w14:val="tx1"/>
            </w14:solidFill>
          </w14:textFill>
        </w:rPr>
        <w:t>港区分局</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钦州市保税港区</w:t>
      </w:r>
      <w:r>
        <w:rPr>
          <w:color w:val="000000" w:themeColor="text1"/>
          <w14:textFill>
            <w14:solidFill>
              <w14:schemeClr w14:val="tx1"/>
            </w14:solidFill>
          </w14:textFill>
        </w:rPr>
        <w:t>消防</w:t>
      </w:r>
      <w:r>
        <w:rPr>
          <w:rFonts w:hint="eastAsia"/>
          <w:color w:val="000000" w:themeColor="text1"/>
          <w14:textFill>
            <w14:solidFill>
              <w14:schemeClr w14:val="tx1"/>
            </w14:solidFill>
          </w14:textFill>
        </w:rPr>
        <w:t>救援</w:t>
      </w:r>
      <w:r>
        <w:rPr>
          <w:color w:val="000000" w:themeColor="text1"/>
          <w14:textFill>
            <w14:solidFill>
              <w14:schemeClr w14:val="tx1"/>
            </w14:solidFill>
          </w14:textFill>
        </w:rPr>
        <w:t>大队等）、通用报警联络方式（突发环境事件1236（9）火灾报警11（9）急救报警120、治安报警110等）、外援专家库的名单及联络方式。</w:t>
      </w:r>
    </w:p>
    <w:p w14:paraId="2201A903">
      <w:pPr>
        <w:pStyle w:val="45"/>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（6）应急环境监测、抢险、救援及控制措施</w:t>
      </w:r>
    </w:p>
    <w:p w14:paraId="34BD9828">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由专业队伍负责对事故现场进行侦察监测，对事故性质、参数与后果进行评估，为指挥部门提供决策依据。</w:t>
      </w:r>
    </w:p>
    <w:p w14:paraId="6882F59E">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应急监测工作的具体方案根据事故发生的地点、事故等级、当时的天气状况以及周边环境敏感点的分布等情况进行确定。由于本企业暂不具备监测能力，发生突发环境事件时，企业应急监测组</w:t>
      </w:r>
      <w:r>
        <w:rPr>
          <w:rFonts w:hint="eastAsia"/>
          <w:color w:val="000000" w:themeColor="text1"/>
          <w14:textFill>
            <w14:solidFill>
              <w14:schemeClr w14:val="tx1"/>
            </w14:solidFill>
          </w14:textFill>
        </w:rPr>
        <w:t>立即联系第三方机构进行监测</w:t>
      </w:r>
      <w:r>
        <w:rPr>
          <w:color w:val="000000" w:themeColor="text1"/>
          <w14:textFill>
            <w14:solidFill>
              <w14:schemeClr w14:val="tx1"/>
            </w14:solidFill>
          </w14:textFill>
        </w:rPr>
        <w:t>。同时企业应将污水管网分布图、 周边敏感点位置分布图</w:t>
      </w:r>
      <w:r>
        <w:rPr>
          <w:rFonts w:hint="eastAsia"/>
          <w:color w:val="000000" w:themeColor="text1"/>
          <w14:textFill>
            <w14:solidFill>
              <w14:schemeClr w14:val="tx1"/>
            </w14:solidFill>
          </w14:textFill>
        </w:rPr>
        <w:t>告知监测人员</w:t>
      </w:r>
      <w:r>
        <w:rPr>
          <w:color w:val="000000" w:themeColor="text1"/>
          <w14:textFill>
            <w14:solidFill>
              <w14:schemeClr w14:val="tx1"/>
            </w14:solidFill>
          </w14:textFill>
        </w:rPr>
        <w:t>配合应急监测工作。</w:t>
      </w:r>
    </w:p>
    <w:p w14:paraId="0315AC5B">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突发环境事件发生后，应急指挥部需根据突发环境事件级别启动相应的环境风险应急预案，指挥应急救援队伍营救受害人员，做好现场人员疏散和公共秩序维护，控制危险源，采取措施，切断污染途径，防止次生、衍生灾害的发生和危害的扩大，尽量降低对周边环境的影响。</w:t>
      </w:r>
    </w:p>
    <w:p w14:paraId="7181DF7F">
      <w:pPr>
        <w:pStyle w:val="45"/>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（7）应急</w:t>
      </w:r>
      <w:r>
        <w:rPr>
          <w:rFonts w:hint="eastAsia"/>
          <w:b/>
          <w:color w:val="000000" w:themeColor="text1"/>
          <w:lang w:eastAsia="zh-CN"/>
          <w14:textFill>
            <w14:solidFill>
              <w14:schemeClr w14:val="tx1"/>
            </w14:solidFill>
          </w14:textFill>
        </w:rPr>
        <w:t>监测</w:t>
      </w:r>
      <w:r>
        <w:rPr>
          <w:b/>
          <w:color w:val="000000" w:themeColor="text1"/>
          <w14:textFill>
            <w14:solidFill>
              <w14:schemeClr w14:val="tx1"/>
            </w14:solidFill>
          </w14:textFill>
        </w:rPr>
        <w:t>、防护措施、清除泄漏措施和器材</w:t>
      </w:r>
    </w:p>
    <w:p w14:paraId="1E67ED13">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事故现场、</w:t>
      </w:r>
      <w:bookmarkStart w:id="132" w:name="Bookmark122"/>
      <w:r>
        <w:rPr>
          <w:color w:val="000000" w:themeColor="text1"/>
          <w14:textFill>
            <w14:solidFill>
              <w14:schemeClr w14:val="tx1"/>
            </w14:solidFill>
          </w14:textFill>
        </w:rPr>
        <w:t>邻近</w:t>
      </w:r>
      <w:bookmarkEnd w:id="132"/>
      <w:r>
        <w:rPr>
          <w:color w:val="000000" w:themeColor="text1"/>
          <w14:textFill>
            <w14:solidFill>
              <w14:schemeClr w14:val="tx1"/>
            </w14:solidFill>
          </w14:textFill>
        </w:rPr>
        <w:t>区域、</w:t>
      </w:r>
      <w:bookmarkStart w:id="133" w:name="Bookmark123"/>
      <w:r>
        <w:rPr>
          <w:color w:val="000000" w:themeColor="text1"/>
          <w14:textFill>
            <w14:solidFill>
              <w14:schemeClr w14:val="tx1"/>
            </w14:solidFill>
          </w14:textFill>
        </w:rPr>
        <w:t>控制防火</w:t>
      </w:r>
      <w:bookmarkEnd w:id="133"/>
      <w:r>
        <w:rPr>
          <w:color w:val="000000" w:themeColor="text1"/>
          <w14:textFill>
            <w14:solidFill>
              <w14:schemeClr w14:val="tx1"/>
            </w14:solidFill>
          </w14:textFill>
        </w:rPr>
        <w:t>区域，控制和清除污染措施及相应设备。</w:t>
      </w:r>
    </w:p>
    <w:p w14:paraId="13FEA588">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泄漏点堵漏：对一般的泄漏，泄漏量小，视情况对泄漏点进行堵漏，根据泄漏化学物质的性质选择堵塞材料修补泄漏口和吸附物质。</w:t>
      </w:r>
    </w:p>
    <w:p w14:paraId="2B210BA7">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急速泄漏处理：若泄漏速度过快，并且堵塞泄漏口有困难，应将泄漏的化学物质截流到围堰，并停</w:t>
      </w:r>
      <w:r>
        <w:rPr>
          <w:rFonts w:hint="eastAsia"/>
          <w:color w:val="000000" w:themeColor="text1"/>
          <w14:textFill>
            <w14:solidFill>
              <w14:schemeClr w14:val="tx1"/>
            </w14:solidFill>
          </w14:textFill>
        </w:rPr>
        <w:t>止</w:t>
      </w:r>
      <w:r>
        <w:rPr>
          <w:color w:val="000000" w:themeColor="text1"/>
          <w14:textFill>
            <w14:solidFill>
              <w14:schemeClr w14:val="tx1"/>
            </w14:solidFill>
          </w14:textFill>
        </w:rPr>
        <w:t>生产直到泄漏点恢复。</w:t>
      </w:r>
    </w:p>
    <w:p w14:paraId="2DC8D6D1">
      <w:pPr>
        <w:pStyle w:val="45"/>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（8）人员紧急撤离、疏散，应急剂量控制、撤离组织计划</w:t>
      </w:r>
    </w:p>
    <w:p w14:paraId="0CE5DEE7">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应急预案应明确紧急疏散的方法、程序、路线等，事故现场、工厂</w:t>
      </w:r>
      <w:bookmarkStart w:id="134" w:name="Bookmark126"/>
      <w:r>
        <w:rPr>
          <w:color w:val="000000" w:themeColor="text1"/>
          <w14:textFill>
            <w14:solidFill>
              <w14:schemeClr w14:val="tx1"/>
            </w14:solidFill>
          </w14:textFill>
        </w:rPr>
        <w:t>邻近</w:t>
      </w:r>
      <w:bookmarkEnd w:id="134"/>
      <w:r>
        <w:rPr>
          <w:color w:val="000000" w:themeColor="text1"/>
          <w14:textFill>
            <w14:solidFill>
              <w14:schemeClr w14:val="tx1"/>
            </w14:solidFill>
          </w14:textFill>
        </w:rPr>
        <w:t>区、受事故影响的区域人员及公众对毒物应急剂量控制规定，撤离组织计划及救护，医疗救护与公众健康。</w:t>
      </w:r>
    </w:p>
    <w:p w14:paraId="1911BEF5">
      <w:pPr>
        <w:pStyle w:val="45"/>
        <w:ind w:firstLine="480"/>
        <w:rPr>
          <w:color w:val="000000" w:themeColor="text1"/>
          <w:u w:val="single"/>
          <w14:textFill>
            <w14:solidFill>
              <w14:schemeClr w14:val="tx1"/>
            </w14:solidFill>
          </w14:textFill>
        </w:rPr>
      </w:pPr>
      <w:r>
        <w:rPr>
          <w:color w:val="000000" w:themeColor="text1"/>
          <w:u w:val="single"/>
          <w14:textFill>
            <w14:solidFill>
              <w14:schemeClr w14:val="tx1"/>
            </w14:solidFill>
          </w14:textFill>
        </w:rPr>
        <w:t>突发事件发生后，现场指挥人员保持镇静，现场救援本着“先控制、后处置，救人第一、减少损失”的原则，果断处理，积极抢救，指导现场人员离开危险区域，维护好现场秩序，组织有序疏散，防止惊慌造成挤伤、踩伤等事故。疏散较为困难时，保持沉着冷静，不采取莽撞措施</w:t>
      </w:r>
      <w:r>
        <w:rPr>
          <w:rFonts w:hint="eastAsia"/>
          <w:color w:val="000000" w:themeColor="text1"/>
          <w:u w:val="single"/>
          <w14:textFill>
            <w14:solidFill>
              <w14:schemeClr w14:val="tx1"/>
            </w14:solidFill>
          </w14:textFill>
        </w:rPr>
        <w:t>。将现场人员疏散至事故发生地上风向或侧风向</w:t>
      </w:r>
      <w:r>
        <w:rPr>
          <w:rFonts w:hint="eastAsia"/>
          <w:color w:val="000000" w:themeColor="text1"/>
          <w:u w:val="single"/>
          <w:lang w:eastAsia="zh-CN"/>
          <w14:textFill>
            <w14:solidFill>
              <w14:schemeClr w14:val="tx1"/>
            </w14:solidFill>
          </w14:textFill>
        </w:rPr>
        <w:t>（</w:t>
      </w:r>
      <w:r>
        <w:rPr>
          <w:rFonts w:hint="eastAsia"/>
          <w:color w:val="000000" w:themeColor="text1"/>
          <w:u w:val="single"/>
          <w:lang w:val="en-US" w:eastAsia="zh-CN"/>
          <w14:textFill>
            <w14:solidFill>
              <w14:schemeClr w14:val="tx1"/>
            </w14:solidFill>
          </w14:textFill>
        </w:rPr>
        <w:t>项目区域主导风向为偏南风</w:t>
      </w:r>
      <w:r>
        <w:rPr>
          <w:rFonts w:hint="eastAsia"/>
          <w:color w:val="000000" w:themeColor="text1"/>
          <w:u w:val="single"/>
          <w:lang w:eastAsia="zh-CN"/>
          <w14:textFill>
            <w14:solidFill>
              <w14:schemeClr w14:val="tx1"/>
            </w14:solidFill>
          </w14:textFill>
        </w:rPr>
        <w:t>）</w:t>
      </w:r>
      <w:r>
        <w:rPr>
          <w:rFonts w:hint="eastAsia"/>
          <w:color w:val="000000" w:themeColor="text1"/>
          <w:u w:val="single"/>
          <w14:textFill>
            <w14:solidFill>
              <w14:schemeClr w14:val="tx1"/>
            </w14:solidFill>
          </w14:textFill>
        </w:rPr>
        <w:t>的空地临时安置，避免二次伤害</w:t>
      </w:r>
      <w:r>
        <w:rPr>
          <w:rFonts w:hint="eastAsia"/>
          <w:color w:val="000000" w:themeColor="text1"/>
          <w:u w:val="single"/>
          <w:lang w:val="en-US" w:eastAsia="zh-CN"/>
          <w14:textFill>
            <w14:solidFill>
              <w14:schemeClr w14:val="tx1"/>
            </w14:solidFill>
          </w14:textFill>
        </w:rPr>
        <w:t>，</w:t>
      </w:r>
      <w:r>
        <w:rPr>
          <w:rFonts w:hint="eastAsia"/>
          <w:color w:val="000000" w:themeColor="text1"/>
          <w14:textFill>
            <w14:solidFill>
              <w14:schemeClr w14:val="tx1"/>
            </w14:solidFill>
          </w14:textFill>
        </w:rPr>
        <w:t>后续协助政府支援人员将现场人员疏散至政府提供的安置场所</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厂区应急疏散示意图、临时安置地见图5</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图5</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p>
    <w:p w14:paraId="53C21501">
      <w:pPr>
        <w:pStyle w:val="45"/>
        <w:adjustRightInd w:val="0"/>
        <w:snapToGrid w:val="0"/>
        <w:spacing w:line="240" w:lineRule="auto"/>
        <w:ind w:firstLine="0" w:firstLineChars="0"/>
        <w:jc w:val="center"/>
        <w:rPr>
          <w:color w:val="000000" w:themeColor="text1"/>
          <w14:textFill>
            <w14:solidFill>
              <w14:schemeClr w14:val="tx1"/>
            </w14:solidFill>
          </w14:textFill>
        </w:rPr>
      </w:pPr>
    </w:p>
    <w:p w14:paraId="6D778E1F">
      <w:pPr>
        <w:pStyle w:val="45"/>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438150</wp:posOffset>
                </wp:positionH>
                <wp:positionV relativeFrom="paragraph">
                  <wp:posOffset>2634615</wp:posOffset>
                </wp:positionV>
                <wp:extent cx="4661535" cy="465455"/>
                <wp:effectExtent l="0" t="0" r="0" b="0"/>
                <wp:wrapNone/>
                <wp:docPr id="22" name="文本框 22"/>
                <wp:cNvGraphicFramePr/>
                <a:graphic xmlns:a="http://schemas.openxmlformats.org/drawingml/2006/main">
                  <a:graphicData uri="http://schemas.microsoft.com/office/word/2010/wordprocessingShape">
                    <wps:wsp>
                      <wps:cNvSpPr txBox="1"/>
                      <wps:spPr>
                        <a:xfrm>
                          <a:off x="1359535" y="8853170"/>
                          <a:ext cx="4661535" cy="465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EB75FB">
                            <w:pPr>
                              <w:jc w:val="center"/>
                              <w:rPr>
                                <w:b/>
                                <w:bCs/>
                                <w:sz w:val="24"/>
                              </w:rPr>
                            </w:pPr>
                            <w:r>
                              <w:rPr>
                                <w:rFonts w:hint="eastAsia"/>
                                <w:b/>
                                <w:bCs/>
                                <w:sz w:val="24"/>
                              </w:rPr>
                              <w:t>图5-5 厂区应急疏散示意图（以原料库</w:t>
                            </w:r>
                            <w:r>
                              <w:rPr>
                                <w:rFonts w:hint="eastAsia"/>
                                <w:b/>
                                <w:bCs/>
                                <w:sz w:val="24"/>
                                <w:lang w:eastAsia="zh-CN"/>
                              </w:rPr>
                              <w:t>、</w:t>
                            </w:r>
                            <w:r>
                              <w:rPr>
                                <w:rFonts w:hint="eastAsia"/>
                                <w:b/>
                                <w:bCs/>
                                <w:sz w:val="24"/>
                                <w:lang w:val="en-US" w:eastAsia="zh-CN"/>
                              </w:rPr>
                              <w:t>生产车间</w:t>
                            </w:r>
                            <w:r>
                              <w:rPr>
                                <w:rFonts w:hint="eastAsia"/>
                                <w:b/>
                                <w:bCs/>
                                <w:sz w:val="24"/>
                              </w:rPr>
                              <w:t>发生火灾为例）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pt;margin-top:207.45pt;height:36.65pt;width:367.05pt;z-index:251659264;mso-width-relative:page;mso-height-relative:page;" filled="f" stroked="f" coordsize="21600,21600" o:gfxdata="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Jfs07bAAAACgEAAA8AAAAAAAAA&#10;AQAgAAAAIgAAAGRycy9kb3ducmV2LnhtbFBLAQIUABQAAAAIAIdO4kAz4qQTRwIAAHQEAAAOAAAA&#10;AAAAAAEAIAAAACoBAABkcnMvZTJvRG9jLnhtbFBLBQYAAAAABgAGAFkBAADjBQAAAAA=&#10;">
                <v:fill on="f" focussize="0,0"/>
                <v:stroke on="f" weight="0.5pt"/>
                <v:imagedata o:title=""/>
                <o:lock v:ext="edit" aspectratio="f"/>
                <v:textbox>
                  <w:txbxContent>
                    <w:p w14:paraId="2DEB75FB">
                      <w:pPr>
                        <w:jc w:val="center"/>
                        <w:rPr>
                          <w:b/>
                          <w:bCs/>
                          <w:sz w:val="24"/>
                        </w:rPr>
                      </w:pPr>
                      <w:r>
                        <w:rPr>
                          <w:rFonts w:hint="eastAsia"/>
                          <w:b/>
                          <w:bCs/>
                          <w:sz w:val="24"/>
                        </w:rPr>
                        <w:t>图5-5 厂区应急疏散示意图（以原料库</w:t>
                      </w:r>
                      <w:r>
                        <w:rPr>
                          <w:rFonts w:hint="eastAsia"/>
                          <w:b/>
                          <w:bCs/>
                          <w:sz w:val="24"/>
                          <w:lang w:eastAsia="zh-CN"/>
                        </w:rPr>
                        <w:t>、</w:t>
                      </w:r>
                      <w:r>
                        <w:rPr>
                          <w:rFonts w:hint="eastAsia"/>
                          <w:b/>
                          <w:bCs/>
                          <w:sz w:val="24"/>
                          <w:lang w:val="en-US" w:eastAsia="zh-CN"/>
                        </w:rPr>
                        <w:t>生产车间</w:t>
                      </w:r>
                      <w:r>
                        <w:rPr>
                          <w:rFonts w:hint="eastAsia"/>
                          <w:b/>
                          <w:bCs/>
                          <w:sz w:val="24"/>
                        </w:rPr>
                        <w:t>发生火灾为例）</w:t>
                      </w:r>
                    </w:p>
                  </w:txbxContent>
                </v:textbox>
              </v:shape>
            </w:pict>
          </mc:Fallback>
        </mc:AlternateContent>
      </w:r>
      <w:r>
        <w:rPr>
          <w:color w:val="000000" w:themeColor="text1"/>
          <w14:textFill>
            <w14:solidFill>
              <w14:schemeClr w14:val="tx1"/>
            </w14:solidFill>
          </w14:textFill>
        </w:rPr>
        <w:drawing>
          <wp:inline distT="0" distB="0" distL="114300" distR="114300">
            <wp:extent cx="5039360" cy="2618105"/>
            <wp:effectExtent l="0" t="0" r="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3"/>
                    <a:srcRect b="5327"/>
                    <a:stretch>
                      <a:fillRect/>
                    </a:stretch>
                  </pic:blipFill>
                  <pic:spPr>
                    <a:xfrm>
                      <a:off x="0" y="0"/>
                      <a:ext cx="5039360" cy="2618105"/>
                    </a:xfrm>
                    <a:prstGeom prst="rect">
                      <a:avLst/>
                    </a:prstGeom>
                    <a:noFill/>
                    <a:ln>
                      <a:noFill/>
                    </a:ln>
                  </pic:spPr>
                </pic:pic>
              </a:graphicData>
            </a:graphic>
          </wp:inline>
        </w:drawing>
      </w:r>
    </w:p>
    <w:p w14:paraId="2893F1D2">
      <w:pPr>
        <w:pStyle w:val="45"/>
        <w:adjustRightInd w:val="0"/>
        <w:snapToGrid w:val="0"/>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10810" cy="3934460"/>
            <wp:effectExtent l="0" t="0" r="8890" b="889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4"/>
                    <a:stretch>
                      <a:fillRect/>
                    </a:stretch>
                  </pic:blipFill>
                  <pic:spPr>
                    <a:xfrm>
                      <a:off x="0" y="0"/>
                      <a:ext cx="5210810" cy="3934460"/>
                    </a:xfrm>
                    <a:prstGeom prst="rect">
                      <a:avLst/>
                    </a:prstGeom>
                    <a:noFill/>
                    <a:ln>
                      <a:noFill/>
                    </a:ln>
                  </pic:spPr>
                </pic:pic>
              </a:graphicData>
            </a:graphic>
          </wp:inline>
        </w:drawing>
      </w:r>
    </w:p>
    <w:p w14:paraId="6C318634">
      <w:pPr>
        <w:pStyle w:val="45"/>
        <w:ind w:firstLine="482"/>
        <w:jc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图5</w:t>
      </w:r>
      <w:r>
        <w:rPr>
          <w:b/>
          <w:bCs/>
          <w:color w:val="000000" w:themeColor="text1"/>
          <w14:textFill>
            <w14:solidFill>
              <w14:schemeClr w14:val="tx1"/>
            </w14:solidFill>
          </w14:textFill>
        </w:rPr>
        <w:t>-6</w:t>
      </w:r>
      <w:r>
        <w:rPr>
          <w:rFonts w:hint="eastAsia"/>
          <w:b/>
          <w:bCs/>
          <w:color w:val="000000" w:themeColor="text1"/>
          <w14:textFill>
            <w14:solidFill>
              <w14:schemeClr w14:val="tx1"/>
            </w14:solidFill>
          </w14:textFill>
        </w:rPr>
        <w:t>临时安置地与事故发生地位置关系示意图</w:t>
      </w:r>
    </w:p>
    <w:p w14:paraId="7B48D19D">
      <w:pPr>
        <w:pStyle w:val="45"/>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（9）事故应急救援关闭程序与恢复措施</w:t>
      </w:r>
    </w:p>
    <w:p w14:paraId="339E7F07">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规定应急状态终止程序、事故现场善后处理及恢复措施、邻近区域解除事故警戒及善后恢复措施。</w:t>
      </w:r>
    </w:p>
    <w:p w14:paraId="627C0748">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事故现场先期处置，处置后事态得到控制，则可终止预警或者预警降级。当引起预警的条件降级，对应的预警级别自动降级；当突发环境事件得到有效处置，引起预警的条件消除和各类隐患排除后，达到预警解除条件时，由应急指挥部宣布解除预警。</w:t>
      </w:r>
    </w:p>
    <w:p w14:paraId="387CB6CD">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6" o:spt="75" type="#_x0000_t75" style="height:115.8pt;width:322.8pt;" o:ole="t" filled="f" o:preferrelative="t" stroked="f" coordsize="21600,21600">
            <v:path/>
            <v:fill on="f" focussize="0,0"/>
            <v:stroke on="f" joinstyle="miter"/>
            <v:imagedata r:id="rId26" cropleft="5719f" croptop="7346f" cropright="10637f" cropbottom="28032f" o:title=""/>
            <o:lock v:ext="edit" aspectratio="t"/>
            <w10:wrap type="none"/>
            <w10:anchorlock/>
          </v:shape>
          <o:OLEObject Type="Embed" ProgID="Visio.Drawing.11" ShapeID="_x0000_i1026" DrawAspect="Content" ObjectID="_1468075726" r:id="rId25">
            <o:LockedField>false</o:LockedField>
          </o:OLEObject>
        </w:object>
      </w:r>
    </w:p>
    <w:p w14:paraId="4B3049E5">
      <w:pPr>
        <w:pStyle w:val="23"/>
        <w:ind w:firstLine="420"/>
        <w:rPr>
          <w:color w:val="000000" w:themeColor="text1"/>
          <w14:textFill>
            <w14:solidFill>
              <w14:schemeClr w14:val="tx1"/>
            </w14:solidFill>
          </w14:textFill>
        </w:rPr>
      </w:pPr>
    </w:p>
    <w:p w14:paraId="168FAFE2">
      <w:pPr>
        <w:adjustRightInd w:val="0"/>
        <w:snapToGrid w:val="0"/>
        <w:jc w:val="center"/>
        <w:rPr>
          <w:color w:val="000000" w:themeColor="text1"/>
          <w:sz w:val="24"/>
          <w14:textFill>
            <w14:solidFill>
              <w14:schemeClr w14:val="tx1"/>
            </w14:solidFill>
          </w14:textFill>
        </w:rPr>
      </w:pPr>
      <w:r>
        <w:rPr>
          <w:b/>
          <w:bCs/>
          <w:color w:val="000000" w:themeColor="text1"/>
          <w:sz w:val="24"/>
          <w14:textFill>
            <w14:solidFill>
              <w14:schemeClr w14:val="tx1"/>
            </w14:solidFill>
          </w14:textFill>
        </w:rPr>
        <w:t>图5-7   预警解除程序图</w:t>
      </w:r>
    </w:p>
    <w:p w14:paraId="4306D760">
      <w:pPr>
        <w:pStyle w:val="45"/>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（10）应急培训计划</w:t>
      </w:r>
    </w:p>
    <w:p w14:paraId="78814B59">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生产区操作人员：针对应急救援的基本要求，系统培训厂区操作人员，发生各级危险货物事故时报警、紧急处置、逃生、个体防护、急救、紧急疏散等程序的基本要求。</w:t>
      </w:r>
    </w:p>
    <w:p w14:paraId="13348E7F">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应急救援队伍：对厂区应急救援队伍的队员进行应急救援专业培训，内容主要为事故应急处置过程中应完成的抢险、救援、灭火、防护、抢救伤员等。</w:t>
      </w:r>
    </w:p>
    <w:p w14:paraId="624B46AC">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应急指挥机构：邀请国内外应急救援专家，就厂区事故的指挥、决策、各部门配合等内容进行培训。</w:t>
      </w:r>
    </w:p>
    <w:p w14:paraId="7CE31896">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周边群众的宣传：针对疏散、个体防护等内容，向周边群众进行宣传，使事故</w:t>
      </w:r>
      <w:r>
        <w:rPr>
          <w:rFonts w:hint="eastAsia"/>
          <w:color w:val="000000" w:themeColor="text1"/>
          <w:lang w:eastAsia="zh-CN"/>
          <w14:textFill>
            <w14:solidFill>
              <w14:schemeClr w14:val="tx1"/>
            </w14:solidFill>
          </w14:textFill>
        </w:rPr>
        <w:t>波及</w:t>
      </w:r>
      <w:r>
        <w:rPr>
          <w:color w:val="000000" w:themeColor="text1"/>
          <w14:textFill>
            <w14:solidFill>
              <w14:schemeClr w14:val="tx1"/>
            </w14:solidFill>
          </w14:textFill>
        </w:rPr>
        <w:t>的区域都能对危险货物事故应急救援的基本程序、应该采取的措施等内容有全面了解。</w:t>
      </w:r>
    </w:p>
    <w:p w14:paraId="2F33261C">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建设单位需按照制定的培训计划定期开展教育和培训演练，并根据方案多方位分类培训。</w:t>
      </w:r>
    </w:p>
    <w:p w14:paraId="5849BE23">
      <w:pPr>
        <w:pStyle w:val="45"/>
        <w:ind w:firstLine="0" w:firstLineChars="0"/>
        <w:rPr>
          <w:b/>
          <w:color w:val="000000" w:themeColor="text1"/>
          <w14:textFill>
            <w14:solidFill>
              <w14:schemeClr w14:val="tx1"/>
            </w14:solidFill>
          </w14:textFill>
        </w:rPr>
      </w:pPr>
      <w:bookmarkStart w:id="135" w:name="Bookmark130"/>
      <w:r>
        <w:rPr>
          <w:b/>
          <w:color w:val="000000" w:themeColor="text1"/>
          <w14:textFill>
            <w14:solidFill>
              <w14:schemeClr w14:val="tx1"/>
            </w14:solidFill>
          </w14:textFill>
        </w:rPr>
        <w:t>1（1）</w:t>
      </w:r>
      <w:bookmarkEnd w:id="135"/>
      <w:r>
        <w:rPr>
          <w:b/>
          <w:color w:val="000000" w:themeColor="text1"/>
          <w14:textFill>
            <w14:solidFill>
              <w14:schemeClr w14:val="tx1"/>
            </w14:solidFill>
          </w14:textFill>
        </w:rPr>
        <w:t>公众教育和信息</w:t>
      </w:r>
    </w:p>
    <w:p w14:paraId="201026E0">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建设单位将负责对工厂邻近地区开展公众教育、培训和发布本企业有关安全生产的基本信息，加强与周边公众的交流，如发生事故，可以</w:t>
      </w:r>
      <w:r>
        <w:rPr>
          <w:rFonts w:hint="eastAsia"/>
          <w:color w:val="000000" w:themeColor="text1"/>
          <w14:textFill>
            <w14:solidFill>
              <w14:schemeClr w14:val="tx1"/>
            </w14:solidFill>
          </w14:textFill>
        </w:rPr>
        <w:t>更好地</w:t>
      </w:r>
      <w:r>
        <w:rPr>
          <w:color w:val="000000" w:themeColor="text1"/>
          <w14:textFill>
            <w14:solidFill>
              <w14:schemeClr w14:val="tx1"/>
            </w14:solidFill>
          </w14:textFill>
        </w:rPr>
        <w:t>疏散、防护污染。</w:t>
      </w:r>
    </w:p>
    <w:p w14:paraId="3A09FBC8">
      <w:pPr>
        <w:pStyle w:val="45"/>
        <w:ind w:firstLine="0" w:firstLineChars="0"/>
        <w:rPr>
          <w:b/>
          <w:bCs/>
          <w:color w:val="000000" w:themeColor="text1"/>
          <w14:textFill>
            <w14:solidFill>
              <w14:schemeClr w14:val="tx1"/>
            </w14:solidFill>
          </w14:textFill>
        </w:rPr>
      </w:pPr>
      <w:bookmarkStart w:id="136" w:name="Bookmark132"/>
      <w:r>
        <w:rPr>
          <w:b/>
          <w:bCs/>
          <w:color w:val="000000" w:themeColor="text1"/>
          <w14:textFill>
            <w14:solidFill>
              <w14:schemeClr w14:val="tx1"/>
            </w14:solidFill>
          </w14:textFill>
        </w:rPr>
        <w:t>1（2）</w:t>
      </w:r>
      <w:bookmarkEnd w:id="136"/>
      <w:r>
        <w:rPr>
          <w:b/>
          <w:bCs/>
          <w:color w:val="000000" w:themeColor="text1"/>
          <w14:textFill>
            <w14:solidFill>
              <w14:schemeClr w14:val="tx1"/>
            </w14:solidFill>
          </w14:textFill>
        </w:rPr>
        <w:t>区域联动</w:t>
      </w:r>
    </w:p>
    <w:p w14:paraId="4B854A3B">
      <w:pPr>
        <w:pStyle w:val="45"/>
        <w:ind w:firstLine="480"/>
        <w:rPr>
          <w:color w:val="000000" w:themeColor="text1"/>
          <w14:textFill>
            <w14:solidFill>
              <w14:schemeClr w14:val="tx1"/>
            </w14:solidFill>
          </w14:textFill>
        </w:rPr>
      </w:pPr>
      <w:r>
        <w:rPr>
          <w:color w:val="000000" w:themeColor="text1"/>
          <w14:textFill>
            <w14:solidFill>
              <w14:schemeClr w14:val="tx1"/>
            </w14:solidFill>
          </w14:textFill>
        </w:rPr>
        <w:t>企业建立的应急预案应与</w:t>
      </w:r>
      <w:r>
        <w:rPr>
          <w:rFonts w:hint="eastAsia"/>
          <w:color w:val="000000" w:themeColor="text1"/>
          <w14:textFill>
            <w14:solidFill>
              <w14:schemeClr w14:val="tx1"/>
            </w14:solidFill>
          </w14:textFill>
        </w:rPr>
        <w:t>中国（广西）自由贸易区钦州港片区突发事件总体应急预案、钦州</w:t>
      </w:r>
      <w:r>
        <w:rPr>
          <w:color w:val="000000" w:themeColor="text1"/>
          <w14:textFill>
            <w14:solidFill>
              <w14:schemeClr w14:val="tx1"/>
            </w14:solidFill>
          </w14:textFill>
        </w:rPr>
        <w:t>市事故应急预案相衔接</w:t>
      </w:r>
      <w:r>
        <w:rPr>
          <w:rFonts w:hint="eastAsia"/>
          <w:color w:val="000000" w:themeColor="text1"/>
          <w14:textFill>
            <w14:solidFill>
              <w14:schemeClr w14:val="tx1"/>
            </w14:solidFill>
          </w14:textFill>
        </w:rPr>
        <w:t>，并报当地应急局备案。</w:t>
      </w:r>
      <w:r>
        <w:rPr>
          <w:color w:val="000000" w:themeColor="text1"/>
          <w14:textFill>
            <w14:solidFill>
              <w14:schemeClr w14:val="tx1"/>
            </w14:solidFill>
          </w14:textFill>
        </w:rPr>
        <w:t>积极配合</w:t>
      </w:r>
      <w:r>
        <w:rPr>
          <w:rFonts w:hint="eastAsia"/>
          <w:color w:val="000000" w:themeColor="text1"/>
          <w14:textFill>
            <w14:solidFill>
              <w14:schemeClr w14:val="tx1"/>
            </w14:solidFill>
          </w14:textFill>
        </w:rPr>
        <w:t>园区建设、</w:t>
      </w:r>
      <w:r>
        <w:rPr>
          <w:color w:val="000000" w:themeColor="text1"/>
          <w14:textFill>
            <w14:solidFill>
              <w14:schemeClr w14:val="tx1"/>
            </w14:solidFill>
          </w14:textFill>
        </w:rPr>
        <w:t>当地政府建设和完善环境风险预警体系、环境风险防控工程、环境应急保障体系，并建立本建设项目与周边企业、村镇、政府等之间的应急联动机制，做好企业突发环境事件应急预案与区域相关部门的应急预案相衔接</w:t>
      </w:r>
      <w:r>
        <w:rPr>
          <w:rFonts w:hint="eastAsia"/>
          <w:color w:val="000000" w:themeColor="text1"/>
          <w14:textFill>
            <w14:solidFill>
              <w14:schemeClr w14:val="tx1"/>
            </w14:solidFill>
          </w14:textFill>
        </w:rPr>
        <w:t>。积极配合园区和当地政府进行应急培训、应急演练等相关工作。</w:t>
      </w:r>
      <w:r>
        <w:rPr>
          <w:color w:val="000000" w:themeColor="text1"/>
          <w14:textFill>
            <w14:solidFill>
              <w14:schemeClr w14:val="tx1"/>
            </w14:solidFill>
          </w14:textFill>
        </w:rPr>
        <w:t>并加强区域应急物资调配管理，构建区域环境风险联控机制。</w:t>
      </w:r>
    </w:p>
    <w:p w14:paraId="2B7839ED">
      <w:pPr>
        <w:pStyle w:val="45"/>
        <w:ind w:firstLine="480"/>
        <w:rPr>
          <w:color w:val="000000" w:themeColor="text1"/>
          <w14:textFill>
            <w14:solidFill>
              <w14:schemeClr w14:val="tx1"/>
            </w14:solidFill>
          </w14:textFill>
        </w:rPr>
        <w:sectPr>
          <w:pgSz w:w="11906" w:h="16838"/>
          <w:pgMar w:top="1440" w:right="1588" w:bottom="1440" w:left="1588" w:header="851" w:footer="992" w:gutter="0"/>
          <w:pgNumType w:fmt="decimal"/>
          <w:cols w:space="720" w:num="1"/>
          <w:docGrid w:type="lines" w:linePitch="312" w:charSpace="0"/>
        </w:sectPr>
      </w:pPr>
      <w:r>
        <w:rPr>
          <w:color w:val="000000" w:themeColor="text1"/>
          <w14:textFill>
            <w14:solidFill>
              <w14:schemeClr w14:val="tx1"/>
            </w14:solidFill>
          </w14:textFill>
        </w:rPr>
        <w:t>本项目生产事故发生后，</w:t>
      </w:r>
      <w:r>
        <w:rPr>
          <w:rFonts w:hint="eastAsia"/>
          <w:color w:val="000000" w:themeColor="text1"/>
          <w14:textFill>
            <w14:solidFill>
              <w14:schemeClr w14:val="tx1"/>
            </w14:solidFill>
          </w14:textFill>
        </w:rPr>
        <w:t>立即启动</w:t>
      </w:r>
      <w:r>
        <w:rPr>
          <w:color w:val="000000" w:themeColor="text1"/>
          <w14:textFill>
            <w14:solidFill>
              <w14:schemeClr w14:val="tx1"/>
            </w14:solidFill>
          </w14:textFill>
        </w:rPr>
        <w:t>环境风险应急预案，并根据风险事故的类型和等级，充分发挥与区域有关部门的分级响应联动机制。而对于超出本预案规定的适用范围的其他事故，或者事故扩大升级，超出公司的应对能力时，建设单位应立即通知</w:t>
      </w:r>
      <w:r>
        <w:rPr>
          <w:rFonts w:hint="eastAsia"/>
          <w:color w:val="000000" w:themeColor="text1"/>
          <w14:textFill>
            <w14:solidFill>
              <w14:schemeClr w14:val="tx1"/>
            </w14:solidFill>
          </w14:textFill>
        </w:rPr>
        <w:t>钦州保税港区管理委员会、当地</w:t>
      </w:r>
      <w:r>
        <w:rPr>
          <w:color w:val="000000" w:themeColor="text1"/>
          <w14:textFill>
            <w14:solidFill>
              <w14:schemeClr w14:val="tx1"/>
            </w14:solidFill>
          </w14:textFill>
        </w:rPr>
        <w:t>政府及其他相关管理部门，降低环境风险影响。</w:t>
      </w:r>
    </w:p>
    <w:p w14:paraId="1245C497">
      <w:pPr>
        <w:pStyle w:val="2"/>
        <w:rPr>
          <w:color w:val="000000" w:themeColor="text1"/>
          <w14:textFill>
            <w14:solidFill>
              <w14:schemeClr w14:val="tx1"/>
            </w14:solidFill>
          </w14:textFill>
        </w:rPr>
      </w:pPr>
      <w:bookmarkStart w:id="137" w:name="_Toc12380"/>
      <w:r>
        <w:rPr>
          <w:rFonts w:hint="eastAsia"/>
          <w:color w:val="000000" w:themeColor="text1"/>
          <w14:textFill>
            <w14:solidFill>
              <w14:schemeClr w14:val="tx1"/>
            </w14:solidFill>
          </w14:textFill>
        </w:rPr>
        <w:t>6</w:t>
      </w:r>
      <w:r>
        <w:rPr>
          <w:color w:val="000000" w:themeColor="text1"/>
          <w14:textFill>
            <w14:solidFill>
              <w14:schemeClr w14:val="tx1"/>
            </w14:solidFill>
          </w14:textFill>
        </w:rPr>
        <w:t>环境风险评价结论</w:t>
      </w:r>
      <w:bookmarkEnd w:id="137"/>
    </w:p>
    <w:p w14:paraId="19938915">
      <w:pPr>
        <w:pStyle w:val="3"/>
        <w:spacing w:before="0" w:after="0" w:line="360" w:lineRule="auto"/>
        <w:rPr>
          <w:rFonts w:ascii="Times New Roman" w:hAnsi="Times New Roman" w:eastAsia="宋体"/>
          <w:color w:val="000000" w:themeColor="text1"/>
          <w:sz w:val="28"/>
          <w:szCs w:val="28"/>
          <w14:textFill>
            <w14:solidFill>
              <w14:schemeClr w14:val="tx1"/>
            </w14:solidFill>
          </w14:textFill>
        </w:rPr>
      </w:pPr>
      <w:bookmarkStart w:id="138" w:name="_Toc169"/>
      <w:r>
        <w:rPr>
          <w:rFonts w:hint="eastAsia" w:ascii="Times New Roman" w:hAnsi="Times New Roman" w:eastAsia="宋体"/>
          <w:color w:val="000000" w:themeColor="text1"/>
          <w:sz w:val="28"/>
          <w:szCs w:val="28"/>
          <w14:textFill>
            <w14:solidFill>
              <w14:schemeClr w14:val="tx1"/>
            </w14:solidFill>
          </w14:textFill>
        </w:rPr>
        <w:t>6</w:t>
      </w:r>
      <w:r>
        <w:rPr>
          <w:rFonts w:ascii="Times New Roman" w:hAnsi="Times New Roman" w:eastAsia="宋体"/>
          <w:color w:val="000000" w:themeColor="text1"/>
          <w:sz w:val="28"/>
          <w:szCs w:val="28"/>
          <w14:textFill>
            <w14:solidFill>
              <w14:schemeClr w14:val="tx1"/>
            </w14:solidFill>
          </w14:textFill>
        </w:rPr>
        <w:t>.1项目危险因素</w:t>
      </w:r>
      <w:bookmarkEnd w:id="138"/>
    </w:p>
    <w:p w14:paraId="4BFEB542">
      <w:pPr>
        <w:pStyle w:val="45"/>
        <w:adjustRightInd w:val="0"/>
        <w:snapToGrid w:val="0"/>
        <w:ind w:firstLine="480"/>
        <w:rPr>
          <w:bCs/>
          <w:color w:val="000000" w:themeColor="text1"/>
          <w14:textFill>
            <w14:solidFill>
              <w14:schemeClr w14:val="tx1"/>
            </w14:solidFill>
          </w14:textFill>
        </w:rPr>
      </w:pPr>
      <w:r>
        <w:rPr>
          <w:color w:val="000000" w:themeColor="text1"/>
          <w14:textFill>
            <w14:solidFill>
              <w14:schemeClr w14:val="tx1"/>
            </w14:solidFill>
          </w14:textFill>
        </w:rPr>
        <w:t>本项目涉及的危险物质主要为</w:t>
      </w:r>
      <w:r>
        <w:rPr>
          <w:rFonts w:hint="eastAsia"/>
          <w:color w:val="000000" w:themeColor="text1"/>
          <w14:textFill>
            <w14:solidFill>
              <w14:schemeClr w14:val="tx1"/>
            </w14:solidFill>
          </w14:textFill>
        </w:rPr>
        <w:t>硫酸铵和</w:t>
      </w:r>
      <w:r>
        <w:rPr>
          <w:color w:val="000000" w:themeColor="text1"/>
          <w14:textFill>
            <w14:solidFill>
              <w14:schemeClr w14:val="tx1"/>
            </w14:solidFill>
          </w14:textFill>
        </w:rPr>
        <w:t>废机油，危险单元为</w:t>
      </w:r>
      <w:r>
        <w:rPr>
          <w:rFonts w:hint="eastAsia"/>
          <w:color w:val="000000" w:themeColor="text1"/>
          <w14:textFill>
            <w14:solidFill>
              <w14:schemeClr w14:val="tx1"/>
            </w14:solidFill>
          </w14:textFill>
        </w:rPr>
        <w:t>原料库、成品库、生产车间</w:t>
      </w:r>
      <w:r>
        <w:rPr>
          <w:color w:val="000000" w:themeColor="text1"/>
          <w14:textFill>
            <w14:solidFill>
              <w14:schemeClr w14:val="tx1"/>
            </w14:solidFill>
          </w14:textFill>
        </w:rPr>
        <w:t>，危险因素为</w:t>
      </w:r>
      <w:r>
        <w:rPr>
          <w:rFonts w:hint="eastAsia"/>
          <w:color w:val="000000" w:themeColor="text1"/>
          <w14:textFill>
            <w14:solidFill>
              <w14:schemeClr w14:val="tx1"/>
            </w14:solidFill>
          </w14:textFill>
        </w:rPr>
        <w:t>硫酸铵和废机油</w:t>
      </w:r>
      <w:r>
        <w:rPr>
          <w:color w:val="000000" w:themeColor="text1"/>
          <w14:textFill>
            <w14:solidFill>
              <w14:schemeClr w14:val="tx1"/>
            </w14:solidFill>
          </w14:textFill>
        </w:rPr>
        <w:t>泄漏、火灾。</w:t>
      </w:r>
      <w:r>
        <w:rPr>
          <w:bCs/>
          <w:color w:val="000000" w:themeColor="text1"/>
          <w14:textFill>
            <w14:solidFill>
              <w14:schemeClr w14:val="tx1"/>
            </w14:solidFill>
          </w14:textFill>
        </w:rPr>
        <w:t>本项目环境风险类型为危险物质泄漏、</w:t>
      </w:r>
      <w:r>
        <w:rPr>
          <w:color w:val="000000" w:themeColor="text1"/>
          <w:kern w:val="0"/>
          <w14:textFill>
            <w14:solidFill>
              <w14:schemeClr w14:val="tx1"/>
            </w14:solidFill>
          </w14:textFill>
        </w:rPr>
        <w:t>火灾爆炸等引发的伴生/次生污染物排放、废气事故排放。</w:t>
      </w:r>
    </w:p>
    <w:p w14:paraId="057C7B86">
      <w:pPr>
        <w:pStyle w:val="45"/>
        <w:adjustRightInd w:val="0"/>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生产区和生活区划分</w:t>
      </w:r>
      <w:r>
        <w:rPr>
          <w:color w:val="000000" w:themeColor="text1"/>
          <w14:textFill>
            <w14:solidFill>
              <w14:schemeClr w14:val="tx1"/>
            </w14:solidFill>
          </w14:textFill>
        </w:rPr>
        <w:t>的总体布局基本合理，符合</w:t>
      </w:r>
      <w:bookmarkStart w:id="139" w:name="Bookmark133"/>
      <w:r>
        <w:rPr>
          <w:bCs/>
          <w:color w:val="000000" w:themeColor="text1"/>
          <w14:textFill>
            <w14:solidFill>
              <w14:schemeClr w14:val="tx1"/>
            </w14:solidFill>
          </w14:textFill>
        </w:rPr>
        <w:t>《危险化学品安全管理条例</w:t>
      </w:r>
      <w:r>
        <w:rPr>
          <w:rFonts w:hint="eastAsia"/>
          <w:bCs/>
          <w:color w:val="000000" w:themeColor="text1"/>
          <w14:textFill>
            <w14:solidFill>
              <w14:schemeClr w14:val="tx1"/>
            </w14:solidFill>
          </w14:textFill>
        </w:rPr>
        <w:t>》《</w:t>
      </w:r>
      <w:r>
        <w:rPr>
          <w:color w:val="000000" w:themeColor="text1"/>
          <w14:textFill>
            <w14:solidFill>
              <w14:schemeClr w14:val="tx1"/>
            </w14:solidFill>
          </w14:textFill>
        </w:rPr>
        <w:t>建筑设计防火规范》</w:t>
      </w:r>
      <w:bookmarkEnd w:id="139"/>
      <w:r>
        <w:rPr>
          <w:color w:val="000000" w:themeColor="text1"/>
          <w14:textFill>
            <w14:solidFill>
              <w14:schemeClr w14:val="tx1"/>
            </w14:solidFill>
          </w14:textFill>
        </w:rPr>
        <w:t>等要求。</w:t>
      </w:r>
    </w:p>
    <w:p w14:paraId="139B6F4A">
      <w:pPr>
        <w:pStyle w:val="3"/>
        <w:spacing w:before="0" w:after="0" w:line="360" w:lineRule="auto"/>
        <w:rPr>
          <w:rFonts w:ascii="Times New Roman" w:hAnsi="Times New Roman" w:eastAsia="宋体"/>
          <w:color w:val="000000" w:themeColor="text1"/>
          <w:sz w:val="28"/>
          <w:szCs w:val="28"/>
          <w14:textFill>
            <w14:solidFill>
              <w14:schemeClr w14:val="tx1"/>
            </w14:solidFill>
          </w14:textFill>
        </w:rPr>
      </w:pPr>
      <w:bookmarkStart w:id="140" w:name="_Toc32437"/>
      <w:r>
        <w:rPr>
          <w:rFonts w:hint="eastAsia" w:ascii="Times New Roman" w:hAnsi="Times New Roman" w:eastAsia="宋体"/>
          <w:color w:val="000000" w:themeColor="text1"/>
          <w:sz w:val="28"/>
          <w:szCs w:val="28"/>
          <w14:textFill>
            <w14:solidFill>
              <w14:schemeClr w14:val="tx1"/>
            </w14:solidFill>
          </w14:textFill>
        </w:rPr>
        <w:t>6</w:t>
      </w:r>
      <w:r>
        <w:rPr>
          <w:rFonts w:ascii="Times New Roman" w:hAnsi="Times New Roman" w:eastAsia="宋体"/>
          <w:color w:val="000000" w:themeColor="text1"/>
          <w:sz w:val="28"/>
          <w:szCs w:val="28"/>
          <w14:textFill>
            <w14:solidFill>
              <w14:schemeClr w14:val="tx1"/>
            </w14:solidFill>
          </w14:textFill>
        </w:rPr>
        <w:t>.2环境敏感性及事故环境影响</w:t>
      </w:r>
      <w:bookmarkEnd w:id="140"/>
    </w:p>
    <w:p w14:paraId="4D0938C8">
      <w:pPr>
        <w:pStyle w:val="45"/>
        <w:adjustRightInd w:val="0"/>
        <w:snapToGrid w:val="0"/>
        <w:ind w:firstLine="480"/>
        <w:rPr>
          <w:color w:val="000000" w:themeColor="text1"/>
          <w:kern w:val="0"/>
          <w14:textFill>
            <w14:solidFill>
              <w14:schemeClr w14:val="tx1"/>
            </w14:solidFill>
          </w14:textFill>
        </w:rPr>
      </w:pPr>
      <w:r>
        <w:rPr>
          <w:bCs/>
          <w:color w:val="000000" w:themeColor="text1"/>
          <w14:textFill>
            <w14:solidFill>
              <w14:schemeClr w14:val="tx1"/>
            </w14:solidFill>
          </w14:textFill>
        </w:rPr>
        <w:t>本项目环境风险类型为危险物质泄漏、</w:t>
      </w:r>
      <w:r>
        <w:rPr>
          <w:color w:val="000000" w:themeColor="text1"/>
          <w:kern w:val="0"/>
          <w14:textFill>
            <w14:solidFill>
              <w14:schemeClr w14:val="tx1"/>
            </w14:solidFill>
          </w14:textFill>
        </w:rPr>
        <w:t>火灾爆炸等引发的</w:t>
      </w:r>
      <w:bookmarkStart w:id="141" w:name="Bookmark134"/>
      <w:r>
        <w:rPr>
          <w:color w:val="000000" w:themeColor="text1"/>
          <w:kern w:val="0"/>
          <w14:textFill>
            <w14:solidFill>
              <w14:schemeClr w14:val="tx1"/>
            </w14:solidFill>
          </w14:textFill>
        </w:rPr>
        <w:t>伴生</w:t>
      </w:r>
      <w:bookmarkEnd w:id="141"/>
      <w:r>
        <w:rPr>
          <w:color w:val="000000" w:themeColor="text1"/>
          <w:kern w:val="0"/>
          <w14:textFill>
            <w14:solidFill>
              <w14:schemeClr w14:val="tx1"/>
            </w14:solidFill>
          </w14:textFill>
        </w:rPr>
        <w:t>/次生污染物排放、废气</w:t>
      </w:r>
      <w:bookmarkStart w:id="142" w:name="Bookmark135"/>
      <w:r>
        <w:rPr>
          <w:color w:val="000000" w:themeColor="text1"/>
          <w:kern w:val="0"/>
          <w14:textFill>
            <w14:solidFill>
              <w14:schemeClr w14:val="tx1"/>
            </w14:solidFill>
          </w14:textFill>
        </w:rPr>
        <w:t>事故排放</w:t>
      </w:r>
      <w:bookmarkEnd w:id="142"/>
      <w:r>
        <w:rPr>
          <w:color w:val="000000" w:themeColor="text1"/>
          <w:kern w:val="0"/>
          <w14:textFill>
            <w14:solidFill>
              <w14:schemeClr w14:val="tx1"/>
            </w14:solidFill>
          </w14:textFill>
        </w:rPr>
        <w:t>。</w:t>
      </w:r>
    </w:p>
    <w:p w14:paraId="0F0B10D6">
      <w:pPr>
        <w:pStyle w:val="45"/>
        <w:adjustRightInd w:val="0"/>
        <w:snapToGrid w:val="0"/>
        <w:ind w:firstLine="480"/>
        <w:rPr>
          <w:color w:val="000000" w:themeColor="text1"/>
          <w14:textFill>
            <w14:solidFill>
              <w14:schemeClr w14:val="tx1"/>
            </w14:solidFill>
          </w14:textFill>
        </w:rPr>
      </w:pPr>
      <w:r>
        <w:rPr>
          <w:color w:val="000000" w:themeColor="text1"/>
          <w:kern w:val="0"/>
          <w14:textFill>
            <w14:solidFill>
              <w14:schemeClr w14:val="tx1"/>
            </w14:solidFill>
          </w14:textFill>
        </w:rPr>
        <w:t>事故状态下，</w:t>
      </w:r>
      <w:r>
        <w:rPr>
          <w:rFonts w:hint="eastAsia"/>
          <w:color w:val="000000" w:themeColor="text1"/>
          <w:kern w:val="0"/>
          <w14:textFill>
            <w14:solidFill>
              <w14:schemeClr w14:val="tx1"/>
            </w14:solidFill>
          </w14:textFill>
        </w:rPr>
        <w:t>硫酸铵、废机油</w:t>
      </w:r>
      <w:r>
        <w:rPr>
          <w:color w:val="000000" w:themeColor="text1"/>
          <w:kern w:val="0"/>
          <w14:textFill>
            <w14:solidFill>
              <w14:schemeClr w14:val="tx1"/>
            </w14:solidFill>
          </w14:textFill>
        </w:rPr>
        <w:t>等危险物质大量泄漏，</w:t>
      </w:r>
      <w:r>
        <w:rPr>
          <w:rFonts w:hint="eastAsia"/>
          <w:color w:val="000000" w:themeColor="text1"/>
          <w:kern w:val="0"/>
          <w14:textFill>
            <w14:solidFill>
              <w14:schemeClr w14:val="tx1"/>
            </w14:solidFill>
          </w14:textFill>
        </w:rPr>
        <w:t>事故废液经厂内三级防控措施处理后，可避免进入外环境；硫酸铵受热分解生成氨、二氧化硫等有害气体</w:t>
      </w:r>
      <w:r>
        <w:rPr>
          <w:color w:val="000000" w:themeColor="text1"/>
          <w:kern w:val="0"/>
          <w14:textFill>
            <w14:solidFill>
              <w14:schemeClr w14:val="tx1"/>
            </w14:solidFill>
          </w14:textFill>
        </w:rPr>
        <w:t>3</w:t>
      </w:r>
      <w:r>
        <w:rPr>
          <w:rFonts w:hint="eastAsia"/>
          <w:color w:val="000000" w:themeColor="text1"/>
          <w:kern w:val="0"/>
          <w14:textFill>
            <w14:solidFill>
              <w14:schemeClr w14:val="tx1"/>
            </w14:solidFill>
          </w14:textFill>
        </w:rPr>
        <w:t>0min后，</w:t>
      </w:r>
      <w:r>
        <w:rPr>
          <w:color w:val="000000" w:themeColor="text1"/>
          <w:kern w:val="0"/>
          <w14:textFill>
            <w14:solidFill>
              <w14:schemeClr w14:val="tx1"/>
            </w14:solidFill>
          </w14:textFill>
        </w:rPr>
        <w:t>在</w:t>
      </w:r>
      <w:r>
        <w:rPr>
          <w:color w:val="000000" w:themeColor="text1"/>
          <w14:textFill>
            <w14:solidFill>
              <w14:schemeClr w14:val="tx1"/>
            </w14:solidFill>
          </w14:textFill>
        </w:rPr>
        <w:t>最不利气象条件下</w:t>
      </w:r>
      <w:r>
        <w:rPr>
          <w:rFonts w:hint="eastAsia"/>
          <w:color w:val="000000" w:themeColor="text1"/>
          <w14:textFill>
            <w14:solidFill>
              <w14:schemeClr w14:val="tx1"/>
            </w14:solidFill>
          </w14:textFill>
        </w:rPr>
        <w:t>：氨</w:t>
      </w:r>
      <w:r>
        <w:rPr>
          <w:color w:val="000000" w:themeColor="text1"/>
          <w14:textFill>
            <w14:solidFill>
              <w14:schemeClr w14:val="tx1"/>
            </w14:solidFill>
          </w14:textFill>
        </w:rPr>
        <w:t>毒性终点浓度值-1（</w:t>
      </w:r>
      <w:r>
        <w:rPr>
          <w:rFonts w:hint="eastAsia"/>
          <w:color w:val="000000" w:themeColor="text1"/>
          <w14:textFill>
            <w14:solidFill>
              <w14:schemeClr w14:val="tx1"/>
            </w14:solidFill>
          </w14:textFill>
        </w:rPr>
        <w:t>770</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未出现，</w:t>
      </w:r>
      <w:r>
        <w:rPr>
          <w:color w:val="000000" w:themeColor="text1"/>
          <w14:textFill>
            <w14:solidFill>
              <w14:schemeClr w14:val="tx1"/>
            </w14:solidFill>
          </w14:textFill>
        </w:rPr>
        <w:t>毒性终点浓度值-2（</w:t>
      </w:r>
      <w:r>
        <w:rPr>
          <w:rFonts w:hint="eastAsia"/>
          <w:color w:val="000000" w:themeColor="text1"/>
          <w14:textFill>
            <w14:solidFill>
              <w14:schemeClr w14:val="tx1"/>
            </w14:solidFill>
          </w14:textFill>
        </w:rPr>
        <w:t>110</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）出现距离为</w:t>
      </w:r>
      <w:r>
        <w:rPr>
          <w:rFonts w:hint="eastAsia"/>
          <w:color w:val="000000" w:themeColor="text1"/>
          <w14:textFill>
            <w14:solidFill>
              <w14:schemeClr w14:val="tx1"/>
            </w14:solidFill>
          </w14:textFill>
        </w:rPr>
        <w:t>195.4</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；二氧化硫</w:t>
      </w:r>
      <w:r>
        <w:rPr>
          <w:color w:val="000000" w:themeColor="text1"/>
          <w14:textFill>
            <w14:solidFill>
              <w14:schemeClr w14:val="tx1"/>
            </w14:solidFill>
          </w14:textFill>
        </w:rPr>
        <w:t>毒性终点浓度值-1（</w:t>
      </w:r>
      <w:r>
        <w:rPr>
          <w:rFonts w:hint="eastAsia"/>
          <w:color w:val="000000" w:themeColor="text1"/>
          <w14:textFill>
            <w14:solidFill>
              <w14:schemeClr w14:val="tx1"/>
            </w14:solidFill>
          </w14:textFill>
        </w:rPr>
        <w:t>79</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未出现，</w:t>
      </w:r>
      <w:r>
        <w:rPr>
          <w:color w:val="000000" w:themeColor="text1"/>
          <w14:textFill>
            <w14:solidFill>
              <w14:schemeClr w14:val="tx1"/>
            </w14:solidFill>
          </w14:textFill>
        </w:rPr>
        <w:t>毒性终点浓度值-2（</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）出现距离为</w:t>
      </w:r>
      <w:r>
        <w:rPr>
          <w:rFonts w:hint="eastAsia"/>
          <w:color w:val="000000" w:themeColor="text1"/>
          <w14:textFill>
            <w14:solidFill>
              <w14:schemeClr w14:val="tx1"/>
            </w14:solidFill>
          </w14:textFill>
        </w:rPr>
        <w:t>172.9</w:t>
      </w:r>
      <w:r>
        <w:rPr>
          <w:color w:val="000000" w:themeColor="text1"/>
          <w14:textFill>
            <w14:solidFill>
              <w14:schemeClr w14:val="tx1"/>
            </w14:solidFill>
          </w14:textFill>
        </w:rPr>
        <w:t>m。在大气环境敏感点处的最大落地浓度均未超出</w:t>
      </w:r>
      <w:r>
        <w:rPr>
          <w:rFonts w:hint="eastAsia"/>
          <w:color w:val="000000" w:themeColor="text1"/>
          <w14:textFill>
            <w14:solidFill>
              <w14:schemeClr w14:val="tx1"/>
            </w14:solidFill>
          </w14:textFill>
        </w:rPr>
        <w:t>氨、二氧化硫</w:t>
      </w:r>
      <w:r>
        <w:rPr>
          <w:color w:val="000000" w:themeColor="text1"/>
          <w14:textFill>
            <w14:solidFill>
              <w14:schemeClr w14:val="tx1"/>
            </w14:solidFill>
          </w14:textFill>
        </w:rPr>
        <w:t>毒性终点浓度值。</w:t>
      </w:r>
    </w:p>
    <w:p w14:paraId="75D434C2">
      <w:pPr>
        <w:pStyle w:val="45"/>
        <w:adjustRightInd w:val="0"/>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因此，发生</w:t>
      </w:r>
      <w:r>
        <w:rPr>
          <w:rFonts w:hint="eastAsia"/>
          <w:color w:val="000000" w:themeColor="text1"/>
          <w14:textFill>
            <w14:solidFill>
              <w14:schemeClr w14:val="tx1"/>
            </w14:solidFill>
          </w14:textFill>
        </w:rPr>
        <w:t>硫酸铵（水解、受热分解）、废机油</w:t>
      </w:r>
      <w:r>
        <w:rPr>
          <w:color w:val="000000" w:themeColor="text1"/>
          <w14:textFill>
            <w14:solidFill>
              <w14:schemeClr w14:val="tx1"/>
            </w14:solidFill>
          </w14:textFill>
        </w:rPr>
        <w:t>等危险物质泄漏时，建设单位应立即启动《突发环境事件应急预案》，调集应急物资与装备，采取有效措施，切断或控制污染源，防止污染扩散，紧急疏散受影响区域人群和采取相应的防护措施，</w:t>
      </w:r>
      <w:r>
        <w:rPr>
          <w:bCs/>
          <w:color w:val="000000" w:themeColor="text1"/>
          <w14:textFill>
            <w14:solidFill>
              <w14:schemeClr w14:val="tx1"/>
            </w14:solidFill>
          </w14:textFill>
        </w:rPr>
        <w:t>开展应急监测/监控，有序开展应急处置，最大限度降低环境影响。</w:t>
      </w:r>
      <w:r>
        <w:rPr>
          <w:color w:val="000000" w:themeColor="text1"/>
          <w14:textFill>
            <w14:solidFill>
              <w14:schemeClr w14:val="tx1"/>
            </w14:solidFill>
          </w14:textFill>
        </w:rPr>
        <w:t xml:space="preserve"> </w:t>
      </w:r>
    </w:p>
    <w:p w14:paraId="68F8EA17">
      <w:pPr>
        <w:pStyle w:val="45"/>
        <w:adjustRightInd w:val="0"/>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发生火灾后，其影响范围主</w:t>
      </w:r>
      <w:r>
        <w:rPr>
          <w:rFonts w:hint="eastAsia"/>
          <w:color w:val="000000" w:themeColor="text1"/>
          <w14:textFill>
            <w14:solidFill>
              <w14:schemeClr w14:val="tx1"/>
            </w14:solidFill>
          </w14:textFill>
        </w:rPr>
        <w:t>要在</w:t>
      </w:r>
      <w:r>
        <w:rPr>
          <w:color w:val="000000" w:themeColor="text1"/>
          <w14:textFill>
            <w14:solidFill>
              <w14:schemeClr w14:val="tx1"/>
            </w14:solidFill>
          </w14:textFill>
        </w:rPr>
        <w:t>厂内及周边区域。</w:t>
      </w:r>
      <w:r>
        <w:rPr>
          <w:color w:val="000000" w:themeColor="text1"/>
          <w:szCs w:val="20"/>
          <w14:textFill>
            <w14:solidFill>
              <w14:schemeClr w14:val="tx1"/>
            </w14:solidFill>
          </w14:textFill>
        </w:rPr>
        <w:t>当发生</w:t>
      </w:r>
      <w:r>
        <w:rPr>
          <w:bCs/>
          <w:color w:val="000000" w:themeColor="text1"/>
          <w:szCs w:val="20"/>
          <w14:textFill>
            <w14:solidFill>
              <w14:schemeClr w14:val="tx1"/>
            </w14:solidFill>
          </w14:textFill>
        </w:rPr>
        <w:t>火灾事故时，立即</w:t>
      </w:r>
      <w:r>
        <w:rPr>
          <w:bCs/>
          <w:color w:val="000000" w:themeColor="text1"/>
          <w14:textFill>
            <w14:solidFill>
              <w14:schemeClr w14:val="tx1"/>
            </w14:solidFill>
          </w14:textFill>
        </w:rPr>
        <w:t>启动</w:t>
      </w:r>
      <w:r>
        <w:rPr>
          <w:color w:val="000000" w:themeColor="text1"/>
          <w14:textFill>
            <w14:solidFill>
              <w14:schemeClr w14:val="tx1"/>
            </w14:solidFill>
          </w14:textFill>
        </w:rPr>
        <w:t>《生产安全事故应急预案》和《突发环境事件应急预案》等相关应急预案，调集应急物资与装备，</w:t>
      </w:r>
      <w:r>
        <w:rPr>
          <w:color w:val="000000" w:themeColor="text1"/>
          <w:kern w:val="0"/>
          <w14:textFill>
            <w14:solidFill>
              <w14:schemeClr w14:val="tx1"/>
            </w14:solidFill>
          </w14:textFill>
        </w:rPr>
        <w:t>选择科学、合理的应急救援方式，紧急疏散受影响区域人群和</w:t>
      </w:r>
      <w:r>
        <w:rPr>
          <w:rFonts w:hint="eastAsia"/>
          <w:color w:val="000000" w:themeColor="text1"/>
          <w:kern w:val="0"/>
          <w14:textFill>
            <w14:solidFill>
              <w14:schemeClr w14:val="tx1"/>
            </w14:solidFill>
          </w14:textFill>
        </w:rPr>
        <w:t>采取相应</w:t>
      </w:r>
      <w:r>
        <w:rPr>
          <w:color w:val="000000" w:themeColor="text1"/>
          <w:kern w:val="0"/>
          <w14:textFill>
            <w14:solidFill>
              <w14:schemeClr w14:val="tx1"/>
            </w14:solidFill>
          </w14:textFill>
        </w:rPr>
        <w:t>的防护措施</w:t>
      </w:r>
      <w:r>
        <w:rPr>
          <w:color w:val="000000" w:themeColor="text1"/>
          <w14:textFill>
            <w14:solidFill>
              <w14:schemeClr w14:val="tx1"/>
            </w14:solidFill>
          </w14:textFill>
        </w:rPr>
        <w:t>，采取有效措施，防止消防废水、事故废液进入外部环境。</w:t>
      </w:r>
    </w:p>
    <w:p w14:paraId="303958B0">
      <w:pPr>
        <w:pStyle w:val="45"/>
        <w:adjustRightInd w:val="0"/>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事故排放下，事故废气对周边环境敏感点影响不大。一旦出现废气事故排放，立即排查原因，根据事故实际情况，采取关</w:t>
      </w:r>
      <w:bookmarkStart w:id="143" w:name="Bookmark136"/>
      <w:r>
        <w:rPr>
          <w:color w:val="000000" w:themeColor="text1"/>
          <w14:textFill>
            <w14:solidFill>
              <w14:schemeClr w14:val="tx1"/>
            </w14:solidFill>
          </w14:textFill>
        </w:rPr>
        <w:t>阀</w:t>
      </w:r>
      <w:bookmarkEnd w:id="143"/>
      <w:r>
        <w:rPr>
          <w:color w:val="000000" w:themeColor="text1"/>
          <w14:textFill>
            <w14:solidFill>
              <w14:schemeClr w14:val="tx1"/>
            </w14:solidFill>
          </w14:textFill>
        </w:rPr>
        <w:t>、停止运行生产设备设施、及时维修废气处理设施等措施，防止事故进一步扩大。</w:t>
      </w:r>
    </w:p>
    <w:p w14:paraId="230C13BB">
      <w:pPr>
        <w:pStyle w:val="3"/>
        <w:spacing w:before="0" w:after="0" w:line="360" w:lineRule="auto"/>
        <w:rPr>
          <w:rFonts w:ascii="Times New Roman" w:hAnsi="Times New Roman" w:eastAsia="宋体"/>
          <w:color w:val="000000" w:themeColor="text1"/>
          <w:sz w:val="28"/>
          <w:szCs w:val="28"/>
          <w14:textFill>
            <w14:solidFill>
              <w14:schemeClr w14:val="tx1"/>
            </w14:solidFill>
          </w14:textFill>
        </w:rPr>
      </w:pPr>
      <w:bookmarkStart w:id="144" w:name="_Toc18022"/>
      <w:r>
        <w:rPr>
          <w:rFonts w:hint="eastAsia" w:ascii="Times New Roman" w:hAnsi="Times New Roman" w:eastAsia="宋体"/>
          <w:color w:val="000000" w:themeColor="text1"/>
          <w:sz w:val="28"/>
          <w:szCs w:val="28"/>
          <w14:textFill>
            <w14:solidFill>
              <w14:schemeClr w14:val="tx1"/>
            </w14:solidFill>
          </w14:textFill>
        </w:rPr>
        <w:t>6</w:t>
      </w:r>
      <w:r>
        <w:rPr>
          <w:rFonts w:ascii="Times New Roman" w:hAnsi="Times New Roman" w:eastAsia="宋体"/>
          <w:color w:val="000000" w:themeColor="text1"/>
          <w:sz w:val="28"/>
          <w:szCs w:val="28"/>
          <w14:textFill>
            <w14:solidFill>
              <w14:schemeClr w14:val="tx1"/>
            </w14:solidFill>
          </w14:textFill>
        </w:rPr>
        <w:t>.3环境风险防范措施和应急预案</w:t>
      </w:r>
      <w:bookmarkEnd w:id="144"/>
    </w:p>
    <w:p w14:paraId="215DC4D4">
      <w:pPr>
        <w:pStyle w:val="45"/>
        <w:adjustRightInd w:val="0"/>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为了预防环境风险，本项目</w:t>
      </w:r>
      <w:r>
        <w:rPr>
          <w:rFonts w:hint="eastAsia"/>
          <w:color w:val="000000" w:themeColor="text1"/>
          <w14:textFill>
            <w14:solidFill>
              <w14:schemeClr w14:val="tx1"/>
            </w14:solidFill>
          </w14:textFill>
        </w:rPr>
        <w:t>原料库、成品库、生产车间设置集水沟，危废暂存间内设置围堰</w:t>
      </w:r>
      <w:r>
        <w:rPr>
          <w:color w:val="000000" w:themeColor="text1"/>
          <w14:textFill>
            <w14:solidFill>
              <w14:schemeClr w14:val="tx1"/>
            </w14:solidFill>
          </w14:textFill>
        </w:rPr>
        <w:t>，厂区设置事故应急池（</w:t>
      </w:r>
      <w:r>
        <w:rPr>
          <w:rFonts w:hint="eastAsia"/>
          <w:color w:val="000000" w:themeColor="text1"/>
          <w14:textFill>
            <w14:solidFill>
              <w14:schemeClr w14:val="tx1"/>
            </w14:solidFill>
          </w14:textFill>
        </w:rPr>
        <w:t>35</w:t>
      </w:r>
      <w:r>
        <w:rPr>
          <w:color w:val="000000" w:themeColor="text1"/>
          <w14:textFill>
            <w14:solidFill>
              <w14:schemeClr w14:val="tx1"/>
            </w14:solidFill>
          </w14:textFill>
        </w:rPr>
        <w:t>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雨水、废水排口设置闸阀（切换阀）</w:t>
      </w:r>
      <w:r>
        <w:rPr>
          <w:rFonts w:hint="eastAsia"/>
          <w:color w:val="000000" w:themeColor="text1"/>
          <w14:textFill>
            <w14:solidFill>
              <w14:schemeClr w14:val="tx1"/>
            </w14:solidFill>
          </w14:textFill>
        </w:rPr>
        <w:t>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落实以上建设内容，可</w:t>
      </w:r>
      <w:r>
        <w:rPr>
          <w:color w:val="000000" w:themeColor="text1"/>
          <w14:textFill>
            <w14:solidFill>
              <w14:schemeClr w14:val="tx1"/>
            </w14:solidFill>
          </w14:textFill>
        </w:rPr>
        <w:t>有效防止事故废水进入外部环境；</w:t>
      </w:r>
      <w:r>
        <w:rPr>
          <w:rFonts w:hint="eastAsia"/>
          <w:color w:val="000000" w:themeColor="text1"/>
          <w14:textFill>
            <w14:solidFill>
              <w14:schemeClr w14:val="tx1"/>
            </w14:solidFill>
          </w14:textFill>
        </w:rPr>
        <w:t>原料库、成品库、生产车间</w:t>
      </w:r>
      <w:r>
        <w:rPr>
          <w:color w:val="000000" w:themeColor="text1"/>
          <w14:textFill>
            <w14:solidFill>
              <w14:schemeClr w14:val="tx1"/>
            </w14:solidFill>
          </w14:textFill>
        </w:rPr>
        <w:t>采取源头控制和分区</w:t>
      </w:r>
      <w:bookmarkStart w:id="145" w:name="Bookmark138"/>
      <w:r>
        <w:rPr>
          <w:color w:val="000000" w:themeColor="text1"/>
          <w14:textFill>
            <w14:solidFill>
              <w14:schemeClr w14:val="tx1"/>
            </w14:solidFill>
          </w14:textFill>
        </w:rPr>
        <w:t>防渗</w:t>
      </w:r>
      <w:bookmarkEnd w:id="145"/>
      <w:r>
        <w:rPr>
          <w:color w:val="000000" w:themeColor="text1"/>
          <w14:textFill>
            <w14:solidFill>
              <w14:schemeClr w14:val="tx1"/>
            </w14:solidFill>
          </w14:textFill>
        </w:rPr>
        <w:t>措施，防止事故废水污染地下水环境；加强环境风险管理，</w:t>
      </w:r>
      <w:r>
        <w:rPr>
          <w:bCs/>
          <w:color w:val="000000" w:themeColor="text1"/>
          <w14:textFill>
            <w14:solidFill>
              <w14:schemeClr w14:val="tx1"/>
            </w14:solidFill>
          </w14:textFill>
        </w:rPr>
        <w:t>设立环境风险监控及应急监测系统，储备环境应急资源，设置应急疏散通道及应急安置场所，</w:t>
      </w:r>
      <w:r>
        <w:rPr>
          <w:rFonts w:hint="eastAsia"/>
          <w:bCs/>
          <w:color w:val="000000" w:themeColor="text1"/>
          <w14:textFill>
            <w14:solidFill>
              <w14:schemeClr w14:val="tx1"/>
            </w14:solidFill>
          </w14:textFill>
        </w:rPr>
        <w:t>建立本项目与周边企业（园区）、政府等之间的应急联动机制，构建区域环境风险联控机制，</w:t>
      </w:r>
      <w:r>
        <w:rPr>
          <w:color w:val="000000" w:themeColor="text1"/>
          <w14:textFill>
            <w14:solidFill>
              <w14:schemeClr w14:val="tx1"/>
            </w14:solidFill>
          </w14:textFill>
        </w:rPr>
        <w:t>建立健全了项目环境风险防控体系</w:t>
      </w:r>
      <w:r>
        <w:rPr>
          <w:rFonts w:hint="eastAsia"/>
          <w:color w:val="000000" w:themeColor="text1"/>
          <w14:textFill>
            <w14:solidFill>
              <w14:schemeClr w14:val="tx1"/>
            </w14:solidFill>
          </w14:textFill>
        </w:rPr>
        <w:t>等</w:t>
      </w:r>
      <w:r>
        <w:rPr>
          <w:color w:val="000000" w:themeColor="text1"/>
          <w14:textFill>
            <w14:solidFill>
              <w14:schemeClr w14:val="tx1"/>
            </w14:solidFill>
          </w14:textFill>
        </w:rPr>
        <w:t>。</w:t>
      </w:r>
    </w:p>
    <w:p w14:paraId="2554AEF7">
      <w:pPr>
        <w:pStyle w:val="45"/>
        <w:adjustRightInd w:val="0"/>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建设单位应确保环境风险防范措施与主体工程同时设计、同时施工、同时投入使用。针对本项目特点及环境风险类型，建设单位应编制本项目环境应急预案，企业突发环境事件应急预案应体现分级响应、区域联动的原则，与地方政府突发环境事件应急预案相衔接，明确分级响应程序。环境风险防范措施、环境应急资源和应急预案应纳入项目竣工环境保护验收核查内容。</w:t>
      </w:r>
    </w:p>
    <w:p w14:paraId="3CC90B2E">
      <w:pPr>
        <w:pStyle w:val="3"/>
        <w:adjustRightInd w:val="0"/>
        <w:snapToGrid w:val="0"/>
        <w:spacing w:before="0" w:after="0" w:line="360" w:lineRule="auto"/>
        <w:rPr>
          <w:rFonts w:ascii="Times New Roman" w:hAnsi="Times New Roman" w:eastAsia="宋体"/>
          <w:color w:val="000000" w:themeColor="text1"/>
          <w:sz w:val="28"/>
          <w:szCs w:val="28"/>
          <w14:textFill>
            <w14:solidFill>
              <w14:schemeClr w14:val="tx1"/>
            </w14:solidFill>
          </w14:textFill>
        </w:rPr>
      </w:pPr>
      <w:bookmarkStart w:id="146" w:name="_Toc15813"/>
      <w:r>
        <w:rPr>
          <w:rFonts w:hint="eastAsia" w:ascii="Times New Roman" w:hAnsi="Times New Roman" w:eastAsia="宋体"/>
          <w:color w:val="000000" w:themeColor="text1"/>
          <w:sz w:val="28"/>
          <w:szCs w:val="28"/>
          <w14:textFill>
            <w14:solidFill>
              <w14:schemeClr w14:val="tx1"/>
            </w14:solidFill>
          </w14:textFill>
        </w:rPr>
        <w:t>6</w:t>
      </w:r>
      <w:r>
        <w:rPr>
          <w:rFonts w:ascii="Times New Roman" w:hAnsi="Times New Roman" w:eastAsia="宋体"/>
          <w:color w:val="000000" w:themeColor="text1"/>
          <w:sz w:val="28"/>
          <w:szCs w:val="28"/>
          <w14:textFill>
            <w14:solidFill>
              <w14:schemeClr w14:val="tx1"/>
            </w14:solidFill>
          </w14:textFill>
        </w:rPr>
        <w:t>.4环境风险评价结论与建议</w:t>
      </w:r>
      <w:bookmarkEnd w:id="146"/>
    </w:p>
    <w:p w14:paraId="07BEA833">
      <w:pPr>
        <w:pStyle w:val="45"/>
        <w:adjustRightInd w:val="0"/>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（1）结论</w:t>
      </w:r>
    </w:p>
    <w:p w14:paraId="384760C1">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在建设及运营过程中，需严格落实环评报告提出的大气环境风险防范措施、事故废水环境风险防范措施等、设立风险监控及应急监测系统、储备应急资源、编制突发环境事件应急预案，同时按照应急管理、消防等有关要求切实落实安全生产、火灾防范措施。通过加强管理、采取风险防范措施、应急救援措施等环境管理措施后，本项目环境风险可防控。</w:t>
      </w:r>
    </w:p>
    <w:p w14:paraId="255796BE">
      <w:pPr>
        <w:pStyle w:val="45"/>
        <w:adjustRightInd w:val="0"/>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（2）建议</w:t>
      </w:r>
    </w:p>
    <w:p w14:paraId="2C3ECD91">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（1）项目在设计、建设和运营过程中，严格按照国家、行业和地方法律法规和相关标准、规范的要求，建立、完善、落实环境风险防范措施。</w:t>
      </w:r>
    </w:p>
    <w:p w14:paraId="006105A7">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（2）根据</w:t>
      </w:r>
      <w:bookmarkStart w:id="147" w:name="Bookmark141"/>
      <w:r>
        <w:rPr>
          <w:color w:val="000000" w:themeColor="text1"/>
          <w:sz w:val="24"/>
          <w14:textFill>
            <w14:solidFill>
              <w14:schemeClr w14:val="tx1"/>
            </w14:solidFill>
          </w14:textFill>
        </w:rPr>
        <w:t>《企业事业单位突发环境事件应急预案备案管理办法（试行）</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企业突发环境事件风险评估指南（试行）</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企业突发环境事件风险分级办法》</w:t>
      </w:r>
      <w:bookmarkEnd w:id="147"/>
      <w:r>
        <w:rPr>
          <w:color w:val="000000" w:themeColor="text1"/>
          <w:sz w:val="24"/>
          <w14:textFill>
            <w14:solidFill>
              <w14:schemeClr w14:val="tx1"/>
            </w14:solidFill>
          </w14:textFill>
        </w:rPr>
        <w:t>等国家法律、法规、规章、技术规范等有关文件的要求，开展环境风险评估，储备环境应急资源，编制突发环境事件应急预案。</w:t>
      </w:r>
    </w:p>
    <w:p w14:paraId="25228035">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（3）建立健全环境风险防控和应急措施制度，建立健全定期巡检和维护责任制度，明确环境风险防控重点岗位责任机构。</w:t>
      </w:r>
    </w:p>
    <w:p w14:paraId="379D2EFF">
      <w:pPr>
        <w:pStyle w:val="45"/>
        <w:adjustRightInd w:val="0"/>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（4）加强管理，定期开展环境风险和环境应急管理宣传培训和应急演练。</w:t>
      </w:r>
    </w:p>
    <w:p w14:paraId="572691D6">
      <w:pPr>
        <w:pStyle w:val="45"/>
        <w:ind w:firstLine="480"/>
        <w:rPr>
          <w:color w:val="000000" w:themeColor="text1"/>
          <w14:textFill>
            <w14:solidFill>
              <w14:schemeClr w14:val="tx1"/>
            </w14:solidFill>
          </w14:textFill>
        </w:rPr>
        <w:sectPr>
          <w:pgSz w:w="11906" w:h="16838"/>
          <w:pgMar w:top="1440" w:right="1588" w:bottom="1440" w:left="1588" w:header="851" w:footer="992" w:gutter="0"/>
          <w:pgNumType w:fmt="decimal"/>
          <w:cols w:space="720" w:num="1"/>
          <w:docGrid w:type="lines" w:linePitch="312" w:charSpace="0"/>
        </w:sectPr>
      </w:pPr>
    </w:p>
    <w:tbl>
      <w:tblPr>
        <w:tblStyle w:val="24"/>
        <w:tblW w:w="0" w:type="auto"/>
        <w:tblInd w:w="0" w:type="dxa"/>
        <w:tblLayout w:type="fixed"/>
        <w:tblCellMar>
          <w:top w:w="0" w:type="dxa"/>
          <w:left w:w="0" w:type="dxa"/>
          <w:bottom w:w="0" w:type="dxa"/>
          <w:right w:w="0" w:type="dxa"/>
        </w:tblCellMar>
      </w:tblPr>
      <w:tblGrid>
        <w:gridCol w:w="911"/>
        <w:gridCol w:w="1089"/>
        <w:gridCol w:w="1012"/>
        <w:gridCol w:w="25"/>
        <w:gridCol w:w="1037"/>
        <w:gridCol w:w="834"/>
        <w:gridCol w:w="977"/>
        <w:gridCol w:w="707"/>
        <w:gridCol w:w="911"/>
        <w:gridCol w:w="911"/>
        <w:gridCol w:w="911"/>
        <w:gridCol w:w="911"/>
      </w:tblGrid>
      <w:tr w14:paraId="33B8620A">
        <w:tblPrEx>
          <w:tblCellMar>
            <w:top w:w="0" w:type="dxa"/>
            <w:left w:w="0" w:type="dxa"/>
            <w:bottom w:w="0" w:type="dxa"/>
            <w:right w:w="0" w:type="dxa"/>
          </w:tblCellMar>
        </w:tblPrEx>
        <w:trPr>
          <w:trHeight w:val="425" w:hRule="atLeast"/>
        </w:trPr>
        <w:tc>
          <w:tcPr>
            <w:tcW w:w="10236" w:type="dxa"/>
            <w:gridSpan w:val="12"/>
            <w:tcBorders>
              <w:top w:val="nil"/>
              <w:left w:val="nil"/>
              <w:bottom w:val="nil"/>
              <w:right w:val="nil"/>
            </w:tcBorders>
            <w:tcMar>
              <w:top w:w="15" w:type="dxa"/>
              <w:left w:w="15" w:type="dxa"/>
              <w:right w:w="15" w:type="dxa"/>
            </w:tcMar>
            <w:vAlign w:val="bottom"/>
          </w:tcPr>
          <w:p w14:paraId="18B004E4">
            <w:pPr>
              <w:widowControl/>
              <w:snapToGrid w:val="0"/>
              <w:spacing w:line="240" w:lineRule="atLeast"/>
              <w:jc w:val="center"/>
              <w:textAlignment w:val="bottom"/>
              <w:rPr>
                <w:b/>
                <w:color w:val="000000" w:themeColor="text1"/>
                <w:szCs w:val="21"/>
                <w14:textFill>
                  <w14:solidFill>
                    <w14:schemeClr w14:val="tx1"/>
                  </w14:solidFill>
                </w14:textFill>
              </w:rPr>
            </w:pPr>
            <w:r>
              <w:rPr>
                <w:b/>
                <w:color w:val="000000" w:themeColor="text1"/>
                <w:kern w:val="0"/>
                <w:sz w:val="24"/>
                <w:lang w:bidi="ar"/>
                <w14:textFill>
                  <w14:solidFill>
                    <w14:schemeClr w14:val="tx1"/>
                  </w14:solidFill>
                </w14:textFill>
              </w:rPr>
              <w:t>建设项目环境风险评价自查表</w:t>
            </w:r>
          </w:p>
        </w:tc>
      </w:tr>
      <w:tr w14:paraId="0BF791B5">
        <w:tblPrEx>
          <w:tblCellMar>
            <w:top w:w="0" w:type="dxa"/>
            <w:left w:w="0" w:type="dxa"/>
            <w:bottom w:w="0" w:type="dxa"/>
            <w:right w:w="0" w:type="dxa"/>
          </w:tblCellMar>
        </w:tblPrEx>
        <w:trPr>
          <w:trHeight w:val="425" w:hRule="atLeast"/>
        </w:trPr>
        <w:tc>
          <w:tcPr>
            <w:tcW w:w="200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95F0D9">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工作内容</w:t>
            </w:r>
          </w:p>
        </w:tc>
        <w:tc>
          <w:tcPr>
            <w:tcW w:w="8236" w:type="dxa"/>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459F27">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完成情况</w:t>
            </w:r>
          </w:p>
        </w:tc>
      </w:tr>
      <w:tr w14:paraId="04EB33FE">
        <w:tblPrEx>
          <w:tblCellMar>
            <w:top w:w="0" w:type="dxa"/>
            <w:left w:w="0" w:type="dxa"/>
            <w:bottom w:w="0" w:type="dxa"/>
            <w:right w:w="0" w:type="dxa"/>
          </w:tblCellMar>
        </w:tblPrEx>
        <w:trPr>
          <w:trHeight w:val="425" w:hRule="atLeast"/>
        </w:trPr>
        <w:tc>
          <w:tcPr>
            <w:tcW w:w="91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9D8DDE">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风险调查</w:t>
            </w:r>
          </w:p>
        </w:tc>
        <w:tc>
          <w:tcPr>
            <w:tcW w:w="108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585192">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危险物质</w:t>
            </w:r>
          </w:p>
        </w:tc>
        <w:tc>
          <w:tcPr>
            <w:tcW w:w="10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3E124C">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名称</w:t>
            </w:r>
          </w:p>
        </w:tc>
        <w:tc>
          <w:tcPr>
            <w:tcW w:w="106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50D9A8">
            <w:pPr>
              <w:widowControl/>
              <w:snapToGrid w:val="0"/>
              <w:spacing w:line="240" w:lineRule="atLeast"/>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硫酸铵</w:t>
            </w:r>
          </w:p>
        </w:tc>
        <w:tc>
          <w:tcPr>
            <w:tcW w:w="8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BAD907">
            <w:pPr>
              <w:widowControl/>
              <w:snapToGrid w:val="0"/>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w:t>
            </w:r>
          </w:p>
        </w:tc>
        <w:tc>
          <w:tcPr>
            <w:tcW w:w="9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249098">
            <w:pPr>
              <w:widowControl/>
              <w:snapToGrid w:val="0"/>
              <w:spacing w:line="240" w:lineRule="atLeast"/>
              <w:jc w:val="center"/>
              <w:rPr>
                <w:color w:val="000000" w:themeColor="text1"/>
                <w:szCs w:val="21"/>
                <w14:textFill>
                  <w14:solidFill>
                    <w14:schemeClr w14:val="tx1"/>
                  </w14:solidFill>
                </w14:textFill>
              </w:rPr>
            </w:pPr>
          </w:p>
        </w:tc>
        <w:tc>
          <w:tcPr>
            <w:tcW w:w="7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CC1A1E">
            <w:pPr>
              <w:widowControl/>
              <w:snapToGrid w:val="0"/>
              <w:spacing w:line="240" w:lineRule="atLeast"/>
              <w:rPr>
                <w:color w:val="000000" w:themeColor="text1"/>
                <w:szCs w:val="21"/>
                <w14:textFill>
                  <w14:solidFill>
                    <w14:schemeClr w14:val="tx1"/>
                  </w14:solidFill>
                </w14:textFill>
              </w:rPr>
            </w:pPr>
          </w:p>
        </w:tc>
        <w:tc>
          <w:tcPr>
            <w:tcW w:w="9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12D754">
            <w:pPr>
              <w:widowControl/>
              <w:snapToGrid w:val="0"/>
              <w:spacing w:line="240" w:lineRule="atLeast"/>
              <w:rPr>
                <w:color w:val="000000" w:themeColor="text1"/>
                <w:szCs w:val="21"/>
                <w14:textFill>
                  <w14:solidFill>
                    <w14:schemeClr w14:val="tx1"/>
                  </w14:solidFill>
                </w14:textFill>
              </w:rPr>
            </w:pPr>
          </w:p>
        </w:tc>
        <w:tc>
          <w:tcPr>
            <w:tcW w:w="9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DB709B">
            <w:pPr>
              <w:widowControl/>
              <w:snapToGrid w:val="0"/>
              <w:spacing w:line="240" w:lineRule="atLeast"/>
              <w:rPr>
                <w:color w:val="000000" w:themeColor="text1"/>
                <w:szCs w:val="21"/>
                <w14:textFill>
                  <w14:solidFill>
                    <w14:schemeClr w14:val="tx1"/>
                  </w14:solidFill>
                </w14:textFill>
              </w:rPr>
            </w:pPr>
          </w:p>
        </w:tc>
        <w:tc>
          <w:tcPr>
            <w:tcW w:w="9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7BC1E7">
            <w:pPr>
              <w:widowControl/>
              <w:snapToGrid w:val="0"/>
              <w:spacing w:line="240" w:lineRule="atLeast"/>
              <w:rPr>
                <w:color w:val="000000" w:themeColor="text1"/>
                <w:szCs w:val="21"/>
                <w14:textFill>
                  <w14:solidFill>
                    <w14:schemeClr w14:val="tx1"/>
                  </w14:solidFill>
                </w14:textFill>
              </w:rPr>
            </w:pPr>
          </w:p>
        </w:tc>
        <w:tc>
          <w:tcPr>
            <w:tcW w:w="9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CA7B5B">
            <w:pPr>
              <w:widowControl/>
              <w:snapToGrid w:val="0"/>
              <w:spacing w:line="240" w:lineRule="atLeast"/>
              <w:rPr>
                <w:color w:val="000000" w:themeColor="text1"/>
                <w:szCs w:val="21"/>
                <w14:textFill>
                  <w14:solidFill>
                    <w14:schemeClr w14:val="tx1"/>
                  </w14:solidFill>
                </w14:textFill>
              </w:rPr>
            </w:pPr>
          </w:p>
        </w:tc>
      </w:tr>
      <w:tr w14:paraId="00DC61C8">
        <w:tblPrEx>
          <w:tblCellMar>
            <w:top w:w="0" w:type="dxa"/>
            <w:left w:w="0" w:type="dxa"/>
            <w:bottom w:w="0" w:type="dxa"/>
            <w:right w:w="0" w:type="dxa"/>
          </w:tblCellMar>
        </w:tblPrEx>
        <w:trPr>
          <w:trHeight w:val="425" w:hRule="atLeast"/>
        </w:trPr>
        <w:tc>
          <w:tcPr>
            <w:tcW w:w="9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365A42">
            <w:pPr>
              <w:widowControl/>
              <w:snapToGrid w:val="0"/>
              <w:spacing w:line="240" w:lineRule="atLeast"/>
              <w:jc w:val="center"/>
              <w:rPr>
                <w:color w:val="000000" w:themeColor="text1"/>
                <w:szCs w:val="21"/>
                <w14:textFill>
                  <w14:solidFill>
                    <w14:schemeClr w14:val="tx1"/>
                  </w14:solidFill>
                </w14:textFill>
              </w:rPr>
            </w:pPr>
          </w:p>
        </w:tc>
        <w:tc>
          <w:tcPr>
            <w:tcW w:w="108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317EA7">
            <w:pPr>
              <w:widowControl/>
              <w:snapToGrid w:val="0"/>
              <w:spacing w:line="240" w:lineRule="atLeast"/>
              <w:jc w:val="center"/>
              <w:rPr>
                <w:color w:val="000000" w:themeColor="text1"/>
                <w:szCs w:val="21"/>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D49CFF">
            <w:pPr>
              <w:widowControl/>
              <w:snapToGrid w:val="0"/>
              <w:spacing w:line="240" w:lineRule="atLeast"/>
              <w:jc w:val="left"/>
              <w:textAlignment w:val="center"/>
              <w:rPr>
                <w:color w:val="000000" w:themeColor="text1"/>
                <w:szCs w:val="21"/>
                <w:u w:val="single"/>
                <w14:textFill>
                  <w14:solidFill>
                    <w14:schemeClr w14:val="tx1"/>
                  </w14:solidFill>
                </w14:textFill>
              </w:rPr>
            </w:pPr>
            <w:r>
              <w:rPr>
                <w:color w:val="000000" w:themeColor="text1"/>
                <w:kern w:val="0"/>
                <w:szCs w:val="21"/>
                <w:u w:val="single"/>
                <w:lang w:bidi="ar"/>
                <w14:textFill>
                  <w14:solidFill>
                    <w14:schemeClr w14:val="tx1"/>
                  </w14:solidFill>
                </w14:textFill>
              </w:rPr>
              <w:t>存在总量/t</w:t>
            </w:r>
          </w:p>
        </w:tc>
        <w:tc>
          <w:tcPr>
            <w:tcW w:w="106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978B53">
            <w:pPr>
              <w:widowControl/>
              <w:snapToGrid w:val="0"/>
              <w:spacing w:line="240" w:lineRule="atLeast"/>
              <w:jc w:val="center"/>
              <w:textAlignment w:val="center"/>
              <w:rPr>
                <w:rFonts w:hint="default" w:eastAsia="宋体"/>
                <w:color w:val="000000" w:themeColor="text1"/>
                <w:szCs w:val="21"/>
                <w:u w:val="single"/>
                <w:lang w:val="en-US" w:eastAsia="zh-CN"/>
                <w14:textFill>
                  <w14:solidFill>
                    <w14:schemeClr w14:val="tx1"/>
                  </w14:solidFill>
                </w14:textFill>
              </w:rPr>
            </w:pPr>
            <w:r>
              <w:rPr>
                <w:rFonts w:hint="eastAsia"/>
                <w:color w:val="000000" w:themeColor="text1"/>
                <w:szCs w:val="21"/>
                <w:u w:val="single"/>
                <w14:textFill>
                  <w14:solidFill>
                    <w14:schemeClr w14:val="tx1"/>
                  </w14:solidFill>
                </w14:textFill>
              </w:rPr>
              <w:t>1</w:t>
            </w:r>
            <w:r>
              <w:rPr>
                <w:rFonts w:hint="eastAsia"/>
                <w:color w:val="000000" w:themeColor="text1"/>
                <w:szCs w:val="21"/>
                <w:u w:val="single"/>
                <w:lang w:val="en-US" w:eastAsia="zh-CN"/>
                <w14:textFill>
                  <w14:solidFill>
                    <w14:schemeClr w14:val="tx1"/>
                  </w14:solidFill>
                </w14:textFill>
              </w:rPr>
              <w:t>0</w:t>
            </w:r>
            <w:r>
              <w:rPr>
                <w:rFonts w:hint="eastAsia"/>
                <w:color w:val="000000" w:themeColor="text1"/>
                <w:szCs w:val="21"/>
                <w:u w:val="single"/>
                <w14:textFill>
                  <w14:solidFill>
                    <w14:schemeClr w14:val="tx1"/>
                  </w14:solidFill>
                </w14:textFill>
              </w:rPr>
              <w:t>000</w:t>
            </w:r>
            <w:r>
              <w:rPr>
                <w:rFonts w:hint="eastAsia"/>
                <w:color w:val="000000" w:themeColor="text1"/>
                <w:szCs w:val="21"/>
                <w:u w:val="single"/>
                <w:lang w:val="en-US" w:eastAsia="zh-CN"/>
                <w14:textFill>
                  <w14:solidFill>
                    <w14:schemeClr w14:val="tx1"/>
                  </w14:solidFill>
                </w14:textFill>
              </w:rPr>
              <w:t>.2</w:t>
            </w:r>
          </w:p>
        </w:tc>
        <w:tc>
          <w:tcPr>
            <w:tcW w:w="8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C8BAD4">
            <w:pPr>
              <w:widowControl/>
              <w:snapToGrid w:val="0"/>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.2</w:t>
            </w:r>
          </w:p>
        </w:tc>
        <w:tc>
          <w:tcPr>
            <w:tcW w:w="9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B44263">
            <w:pPr>
              <w:widowControl/>
              <w:snapToGrid w:val="0"/>
              <w:spacing w:line="240" w:lineRule="atLeast"/>
              <w:jc w:val="center"/>
              <w:rPr>
                <w:color w:val="000000" w:themeColor="text1"/>
                <w:szCs w:val="21"/>
                <w14:textFill>
                  <w14:solidFill>
                    <w14:schemeClr w14:val="tx1"/>
                  </w14:solidFill>
                </w14:textFill>
              </w:rPr>
            </w:pPr>
          </w:p>
        </w:tc>
        <w:tc>
          <w:tcPr>
            <w:tcW w:w="7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63B4F8">
            <w:pPr>
              <w:widowControl/>
              <w:snapToGrid w:val="0"/>
              <w:spacing w:line="240" w:lineRule="atLeast"/>
              <w:rPr>
                <w:color w:val="000000" w:themeColor="text1"/>
                <w:szCs w:val="21"/>
                <w14:textFill>
                  <w14:solidFill>
                    <w14:schemeClr w14:val="tx1"/>
                  </w14:solidFill>
                </w14:textFill>
              </w:rPr>
            </w:pPr>
          </w:p>
        </w:tc>
        <w:tc>
          <w:tcPr>
            <w:tcW w:w="9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22623D">
            <w:pPr>
              <w:widowControl/>
              <w:snapToGrid w:val="0"/>
              <w:spacing w:line="240" w:lineRule="atLeast"/>
              <w:rPr>
                <w:color w:val="000000" w:themeColor="text1"/>
                <w:szCs w:val="21"/>
                <w14:textFill>
                  <w14:solidFill>
                    <w14:schemeClr w14:val="tx1"/>
                  </w14:solidFill>
                </w14:textFill>
              </w:rPr>
            </w:pPr>
          </w:p>
        </w:tc>
        <w:tc>
          <w:tcPr>
            <w:tcW w:w="9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1F9753">
            <w:pPr>
              <w:widowControl/>
              <w:snapToGrid w:val="0"/>
              <w:spacing w:line="240" w:lineRule="atLeast"/>
              <w:rPr>
                <w:color w:val="000000" w:themeColor="text1"/>
                <w:szCs w:val="21"/>
                <w14:textFill>
                  <w14:solidFill>
                    <w14:schemeClr w14:val="tx1"/>
                  </w14:solidFill>
                </w14:textFill>
              </w:rPr>
            </w:pPr>
          </w:p>
        </w:tc>
        <w:tc>
          <w:tcPr>
            <w:tcW w:w="9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FD2AD7">
            <w:pPr>
              <w:widowControl/>
              <w:snapToGrid w:val="0"/>
              <w:spacing w:line="240" w:lineRule="atLeast"/>
              <w:rPr>
                <w:color w:val="000000" w:themeColor="text1"/>
                <w:szCs w:val="21"/>
                <w14:textFill>
                  <w14:solidFill>
                    <w14:schemeClr w14:val="tx1"/>
                  </w14:solidFill>
                </w14:textFill>
              </w:rPr>
            </w:pPr>
          </w:p>
        </w:tc>
        <w:tc>
          <w:tcPr>
            <w:tcW w:w="9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612BDB">
            <w:pPr>
              <w:widowControl/>
              <w:snapToGrid w:val="0"/>
              <w:spacing w:line="240" w:lineRule="atLeast"/>
              <w:rPr>
                <w:color w:val="000000" w:themeColor="text1"/>
                <w:szCs w:val="21"/>
                <w14:textFill>
                  <w14:solidFill>
                    <w14:schemeClr w14:val="tx1"/>
                  </w14:solidFill>
                </w14:textFill>
              </w:rPr>
            </w:pPr>
          </w:p>
        </w:tc>
      </w:tr>
      <w:tr w14:paraId="68537385">
        <w:tblPrEx>
          <w:tblCellMar>
            <w:top w:w="0" w:type="dxa"/>
            <w:left w:w="0" w:type="dxa"/>
            <w:bottom w:w="0" w:type="dxa"/>
            <w:right w:w="0" w:type="dxa"/>
          </w:tblCellMar>
        </w:tblPrEx>
        <w:trPr>
          <w:trHeight w:val="425" w:hRule="atLeast"/>
        </w:trPr>
        <w:tc>
          <w:tcPr>
            <w:tcW w:w="9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FD461">
            <w:pPr>
              <w:widowControl/>
              <w:snapToGrid w:val="0"/>
              <w:spacing w:line="240" w:lineRule="atLeast"/>
              <w:jc w:val="center"/>
              <w:rPr>
                <w:color w:val="000000" w:themeColor="text1"/>
                <w:szCs w:val="21"/>
                <w14:textFill>
                  <w14:solidFill>
                    <w14:schemeClr w14:val="tx1"/>
                  </w14:solidFill>
                </w14:textFill>
              </w:rPr>
            </w:pPr>
          </w:p>
        </w:tc>
        <w:tc>
          <w:tcPr>
            <w:tcW w:w="108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A352DA">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环境敏感性</w:t>
            </w:r>
          </w:p>
        </w:tc>
        <w:tc>
          <w:tcPr>
            <w:tcW w:w="101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AE2A5C">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大气</w:t>
            </w:r>
          </w:p>
        </w:tc>
        <w:tc>
          <w:tcPr>
            <w:tcW w:w="358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9BCD40">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500m范围内人口数</w:t>
            </w:r>
            <w:r>
              <w:rPr>
                <w:rFonts w:hint="eastAsia"/>
                <w:color w:val="000000" w:themeColor="text1"/>
                <w:kern w:val="0"/>
                <w:szCs w:val="21"/>
                <w:lang w:val="en-US" w:eastAsia="zh-CN" w:bidi="ar"/>
                <w14:textFill>
                  <w14:solidFill>
                    <w14:schemeClr w14:val="tx1"/>
                  </w14:solidFill>
                </w14:textFill>
              </w:rPr>
              <w:t>450</w:t>
            </w:r>
            <w:r>
              <w:rPr>
                <w:color w:val="000000" w:themeColor="text1"/>
                <w:kern w:val="0"/>
                <w:szCs w:val="21"/>
                <w:lang w:bidi="ar"/>
                <w14:textFill>
                  <w14:solidFill>
                    <w14:schemeClr w14:val="tx1"/>
                  </w14:solidFill>
                </w14:textFill>
              </w:rPr>
              <w:t>人</w:t>
            </w:r>
          </w:p>
        </w:tc>
        <w:tc>
          <w:tcPr>
            <w:tcW w:w="364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1DC676">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5km范围内人口数</w:t>
            </w:r>
            <w:r>
              <w:rPr>
                <w:rStyle w:val="43"/>
                <w:rFonts w:hint="eastAsia" w:cs="Times New Roman"/>
                <w:color w:val="000000" w:themeColor="text1"/>
                <w:sz w:val="21"/>
                <w:szCs w:val="21"/>
                <w:u w:val="none"/>
                <w:lang w:val="en-US" w:eastAsia="zh-CN" w:bidi="ar"/>
                <w14:textFill>
                  <w14:solidFill>
                    <w14:schemeClr w14:val="tx1"/>
                  </w14:solidFill>
                </w14:textFill>
              </w:rPr>
              <w:t>13513</w:t>
            </w:r>
            <w:r>
              <w:rPr>
                <w:rStyle w:val="39"/>
                <w:rFonts w:hint="default" w:ascii="Times New Roman" w:hAnsi="Times New Roman" w:cs="Times New Roman"/>
                <w:color w:val="000000" w:themeColor="text1"/>
                <w:sz w:val="21"/>
                <w:szCs w:val="21"/>
                <w:lang w:bidi="ar"/>
                <w14:textFill>
                  <w14:solidFill>
                    <w14:schemeClr w14:val="tx1"/>
                  </w14:solidFill>
                </w14:textFill>
              </w:rPr>
              <w:t>人</w:t>
            </w:r>
          </w:p>
        </w:tc>
      </w:tr>
      <w:tr w14:paraId="49B6EACF">
        <w:tblPrEx>
          <w:tblCellMar>
            <w:top w:w="0" w:type="dxa"/>
            <w:left w:w="0" w:type="dxa"/>
            <w:bottom w:w="0" w:type="dxa"/>
            <w:right w:w="0" w:type="dxa"/>
          </w:tblCellMar>
        </w:tblPrEx>
        <w:trPr>
          <w:trHeight w:val="425" w:hRule="atLeast"/>
        </w:trPr>
        <w:tc>
          <w:tcPr>
            <w:tcW w:w="9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83A4F5">
            <w:pPr>
              <w:widowControl/>
              <w:snapToGrid w:val="0"/>
              <w:spacing w:line="240" w:lineRule="atLeast"/>
              <w:jc w:val="center"/>
              <w:rPr>
                <w:color w:val="000000" w:themeColor="text1"/>
                <w:szCs w:val="21"/>
                <w14:textFill>
                  <w14:solidFill>
                    <w14:schemeClr w14:val="tx1"/>
                  </w14:solidFill>
                </w14:textFill>
              </w:rPr>
            </w:pPr>
          </w:p>
        </w:tc>
        <w:tc>
          <w:tcPr>
            <w:tcW w:w="108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5C3D92">
            <w:pPr>
              <w:widowControl/>
              <w:snapToGrid w:val="0"/>
              <w:spacing w:line="240" w:lineRule="atLeast"/>
              <w:jc w:val="center"/>
              <w:rPr>
                <w:color w:val="000000" w:themeColor="text1"/>
                <w:szCs w:val="21"/>
                <w14:textFill>
                  <w14:solidFill>
                    <w14:schemeClr w14:val="tx1"/>
                  </w14:solidFill>
                </w14:textFill>
              </w:rPr>
            </w:pPr>
          </w:p>
        </w:tc>
        <w:tc>
          <w:tcPr>
            <w:tcW w:w="101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B2D976">
            <w:pPr>
              <w:widowControl/>
              <w:snapToGrid w:val="0"/>
              <w:spacing w:line="240" w:lineRule="atLeast"/>
              <w:jc w:val="center"/>
              <w:rPr>
                <w:color w:val="000000" w:themeColor="text1"/>
                <w:szCs w:val="21"/>
                <w14:textFill>
                  <w14:solidFill>
                    <w14:schemeClr w14:val="tx1"/>
                  </w14:solidFill>
                </w14:textFill>
              </w:rPr>
            </w:pPr>
          </w:p>
        </w:tc>
        <w:tc>
          <w:tcPr>
            <w:tcW w:w="5402" w:type="dxa"/>
            <w:gridSpan w:val="7"/>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4D7263">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每公里管段周边200m范围内人口数（最大）</w:t>
            </w:r>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2A16BB">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   </w:t>
            </w:r>
            <w:r>
              <w:rPr>
                <w:rStyle w:val="39"/>
                <w:rFonts w:hint="default" w:ascii="Times New Roman" w:hAnsi="Times New Roman" w:cs="Times New Roman"/>
                <w:color w:val="000000" w:themeColor="text1"/>
                <w:sz w:val="21"/>
                <w:szCs w:val="21"/>
                <w:lang w:bidi="ar"/>
                <w14:textFill>
                  <w14:solidFill>
                    <w14:schemeClr w14:val="tx1"/>
                  </w14:solidFill>
                </w14:textFill>
              </w:rPr>
              <w:t>人</w:t>
            </w:r>
          </w:p>
        </w:tc>
      </w:tr>
      <w:tr w14:paraId="375A0E33">
        <w:tblPrEx>
          <w:tblCellMar>
            <w:top w:w="0" w:type="dxa"/>
            <w:left w:w="0" w:type="dxa"/>
            <w:bottom w:w="0" w:type="dxa"/>
            <w:right w:w="0" w:type="dxa"/>
          </w:tblCellMar>
        </w:tblPrEx>
        <w:trPr>
          <w:trHeight w:val="425" w:hRule="atLeast"/>
        </w:trPr>
        <w:tc>
          <w:tcPr>
            <w:tcW w:w="9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5AF01A">
            <w:pPr>
              <w:widowControl/>
              <w:snapToGrid w:val="0"/>
              <w:spacing w:line="240" w:lineRule="atLeast"/>
              <w:jc w:val="center"/>
              <w:rPr>
                <w:color w:val="000000" w:themeColor="text1"/>
                <w:szCs w:val="21"/>
                <w14:textFill>
                  <w14:solidFill>
                    <w14:schemeClr w14:val="tx1"/>
                  </w14:solidFill>
                </w14:textFill>
              </w:rPr>
            </w:pPr>
          </w:p>
        </w:tc>
        <w:tc>
          <w:tcPr>
            <w:tcW w:w="108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B9D450">
            <w:pPr>
              <w:widowControl/>
              <w:snapToGrid w:val="0"/>
              <w:spacing w:line="240" w:lineRule="atLeast"/>
              <w:jc w:val="center"/>
              <w:rPr>
                <w:color w:val="000000" w:themeColor="text1"/>
                <w:szCs w:val="21"/>
                <w14:textFill>
                  <w14:solidFill>
                    <w14:schemeClr w14:val="tx1"/>
                  </w14:solidFill>
                </w14:textFill>
              </w:rPr>
            </w:pPr>
          </w:p>
        </w:tc>
        <w:tc>
          <w:tcPr>
            <w:tcW w:w="101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12C3BF">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地表水</w:t>
            </w:r>
          </w:p>
        </w:tc>
        <w:tc>
          <w:tcPr>
            <w:tcW w:w="189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EC698E">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地表水功能敏感性</w:t>
            </w:r>
          </w:p>
        </w:tc>
        <w:tc>
          <w:tcPr>
            <w:tcW w:w="16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9A32A5">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F1</w:t>
            </w:r>
            <w:bookmarkStart w:id="148" w:name="Bookmark147"/>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A3"/>
            </w:r>
            <w:bookmarkEnd w:id="148"/>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95B76A">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F2</w:t>
            </w:r>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A3"/>
            </w:r>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AA1E52">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F3</w:t>
            </w:r>
            <w:bookmarkStart w:id="149" w:name="Bookmark143"/>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52"/>
            </w:r>
            <w:bookmarkEnd w:id="149"/>
          </w:p>
        </w:tc>
      </w:tr>
      <w:tr w14:paraId="5BE66C58">
        <w:tblPrEx>
          <w:tblCellMar>
            <w:top w:w="0" w:type="dxa"/>
            <w:left w:w="0" w:type="dxa"/>
            <w:bottom w:w="0" w:type="dxa"/>
            <w:right w:w="0" w:type="dxa"/>
          </w:tblCellMar>
        </w:tblPrEx>
        <w:trPr>
          <w:trHeight w:val="425" w:hRule="atLeast"/>
        </w:trPr>
        <w:tc>
          <w:tcPr>
            <w:tcW w:w="9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DF8F46">
            <w:pPr>
              <w:widowControl/>
              <w:snapToGrid w:val="0"/>
              <w:spacing w:line="240" w:lineRule="atLeast"/>
              <w:jc w:val="center"/>
              <w:rPr>
                <w:color w:val="000000" w:themeColor="text1"/>
                <w:szCs w:val="21"/>
                <w14:textFill>
                  <w14:solidFill>
                    <w14:schemeClr w14:val="tx1"/>
                  </w14:solidFill>
                </w14:textFill>
              </w:rPr>
            </w:pPr>
          </w:p>
        </w:tc>
        <w:tc>
          <w:tcPr>
            <w:tcW w:w="108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88349D">
            <w:pPr>
              <w:widowControl/>
              <w:snapToGrid w:val="0"/>
              <w:spacing w:line="240" w:lineRule="atLeast"/>
              <w:jc w:val="center"/>
              <w:rPr>
                <w:color w:val="000000" w:themeColor="text1"/>
                <w:szCs w:val="21"/>
                <w14:textFill>
                  <w14:solidFill>
                    <w14:schemeClr w14:val="tx1"/>
                  </w14:solidFill>
                </w14:textFill>
              </w:rPr>
            </w:pPr>
          </w:p>
        </w:tc>
        <w:tc>
          <w:tcPr>
            <w:tcW w:w="101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7501E">
            <w:pPr>
              <w:widowControl/>
              <w:snapToGrid w:val="0"/>
              <w:spacing w:line="240" w:lineRule="atLeast"/>
              <w:jc w:val="center"/>
              <w:rPr>
                <w:color w:val="000000" w:themeColor="text1"/>
                <w:szCs w:val="21"/>
                <w14:textFill>
                  <w14:solidFill>
                    <w14:schemeClr w14:val="tx1"/>
                  </w14:solidFill>
                </w14:textFill>
              </w:rPr>
            </w:pPr>
          </w:p>
        </w:tc>
        <w:tc>
          <w:tcPr>
            <w:tcW w:w="189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A943A6">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环境敏感目标分级</w:t>
            </w:r>
          </w:p>
        </w:tc>
        <w:tc>
          <w:tcPr>
            <w:tcW w:w="16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950C59">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S1</w:t>
            </w:r>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52"/>
            </w:r>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079264">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S2</w:t>
            </w:r>
            <w:bookmarkStart w:id="150" w:name="Bookmark146"/>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A3"/>
            </w:r>
            <w:bookmarkEnd w:id="150"/>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87DAED">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S3</w:t>
            </w:r>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A3"/>
            </w:r>
          </w:p>
        </w:tc>
      </w:tr>
      <w:tr w14:paraId="298F6865">
        <w:tblPrEx>
          <w:tblCellMar>
            <w:top w:w="0" w:type="dxa"/>
            <w:left w:w="0" w:type="dxa"/>
            <w:bottom w:w="0" w:type="dxa"/>
            <w:right w:w="0" w:type="dxa"/>
          </w:tblCellMar>
        </w:tblPrEx>
        <w:trPr>
          <w:trHeight w:val="425" w:hRule="atLeast"/>
        </w:trPr>
        <w:tc>
          <w:tcPr>
            <w:tcW w:w="9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D7594A">
            <w:pPr>
              <w:widowControl/>
              <w:snapToGrid w:val="0"/>
              <w:spacing w:line="240" w:lineRule="atLeast"/>
              <w:jc w:val="center"/>
              <w:rPr>
                <w:color w:val="000000" w:themeColor="text1"/>
                <w:szCs w:val="21"/>
                <w14:textFill>
                  <w14:solidFill>
                    <w14:schemeClr w14:val="tx1"/>
                  </w14:solidFill>
                </w14:textFill>
              </w:rPr>
            </w:pPr>
          </w:p>
        </w:tc>
        <w:tc>
          <w:tcPr>
            <w:tcW w:w="108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89463F">
            <w:pPr>
              <w:widowControl/>
              <w:snapToGrid w:val="0"/>
              <w:spacing w:line="240" w:lineRule="atLeast"/>
              <w:jc w:val="center"/>
              <w:rPr>
                <w:color w:val="000000" w:themeColor="text1"/>
                <w:szCs w:val="21"/>
                <w14:textFill>
                  <w14:solidFill>
                    <w14:schemeClr w14:val="tx1"/>
                  </w14:solidFill>
                </w14:textFill>
              </w:rPr>
            </w:pPr>
          </w:p>
        </w:tc>
        <w:tc>
          <w:tcPr>
            <w:tcW w:w="101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58BAFA">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地下水</w:t>
            </w:r>
          </w:p>
        </w:tc>
        <w:tc>
          <w:tcPr>
            <w:tcW w:w="189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09C55E">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地下水功能敏感性</w:t>
            </w:r>
          </w:p>
        </w:tc>
        <w:tc>
          <w:tcPr>
            <w:tcW w:w="16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E551A2">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G1</w:t>
            </w:r>
            <w:bookmarkStart w:id="151" w:name="Bookmark145"/>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A3"/>
            </w:r>
            <w:bookmarkEnd w:id="151"/>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798D51">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G2</w:t>
            </w:r>
            <w:bookmarkStart w:id="152" w:name="Bookmark150"/>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A3"/>
            </w:r>
            <w:bookmarkEnd w:id="152"/>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F319F">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G3</w:t>
            </w:r>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52"/>
            </w:r>
          </w:p>
        </w:tc>
      </w:tr>
      <w:tr w14:paraId="56E13437">
        <w:tblPrEx>
          <w:tblCellMar>
            <w:top w:w="0" w:type="dxa"/>
            <w:left w:w="0" w:type="dxa"/>
            <w:bottom w:w="0" w:type="dxa"/>
            <w:right w:w="0" w:type="dxa"/>
          </w:tblCellMar>
        </w:tblPrEx>
        <w:trPr>
          <w:trHeight w:val="425" w:hRule="atLeast"/>
        </w:trPr>
        <w:tc>
          <w:tcPr>
            <w:tcW w:w="9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A4B70A">
            <w:pPr>
              <w:widowControl/>
              <w:snapToGrid w:val="0"/>
              <w:spacing w:line="240" w:lineRule="atLeast"/>
              <w:jc w:val="center"/>
              <w:rPr>
                <w:color w:val="000000" w:themeColor="text1"/>
                <w:szCs w:val="21"/>
                <w14:textFill>
                  <w14:solidFill>
                    <w14:schemeClr w14:val="tx1"/>
                  </w14:solidFill>
                </w14:textFill>
              </w:rPr>
            </w:pPr>
          </w:p>
        </w:tc>
        <w:tc>
          <w:tcPr>
            <w:tcW w:w="108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EFE5C">
            <w:pPr>
              <w:widowControl/>
              <w:snapToGrid w:val="0"/>
              <w:spacing w:line="240" w:lineRule="atLeast"/>
              <w:jc w:val="center"/>
              <w:rPr>
                <w:color w:val="000000" w:themeColor="text1"/>
                <w:szCs w:val="21"/>
                <w14:textFill>
                  <w14:solidFill>
                    <w14:schemeClr w14:val="tx1"/>
                  </w14:solidFill>
                </w14:textFill>
              </w:rPr>
            </w:pPr>
          </w:p>
        </w:tc>
        <w:tc>
          <w:tcPr>
            <w:tcW w:w="101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40CF7C">
            <w:pPr>
              <w:widowControl/>
              <w:snapToGrid w:val="0"/>
              <w:spacing w:line="240" w:lineRule="atLeast"/>
              <w:jc w:val="center"/>
              <w:rPr>
                <w:color w:val="000000" w:themeColor="text1"/>
                <w:szCs w:val="21"/>
                <w14:textFill>
                  <w14:solidFill>
                    <w14:schemeClr w14:val="tx1"/>
                  </w14:solidFill>
                </w14:textFill>
              </w:rPr>
            </w:pPr>
          </w:p>
        </w:tc>
        <w:tc>
          <w:tcPr>
            <w:tcW w:w="189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4AD81">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包气带防污性能</w:t>
            </w:r>
          </w:p>
        </w:tc>
        <w:tc>
          <w:tcPr>
            <w:tcW w:w="16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60DF17">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D1</w:t>
            </w:r>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52"/>
            </w:r>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5B5C28">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D2</w:t>
            </w:r>
            <w:bookmarkStart w:id="153" w:name="Bookmark155"/>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A3"/>
            </w:r>
            <w:bookmarkEnd w:id="153"/>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EB4C76">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D3</w:t>
            </w:r>
            <w:bookmarkStart w:id="154" w:name="Bookmark152"/>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A3"/>
            </w:r>
            <w:bookmarkEnd w:id="154"/>
          </w:p>
        </w:tc>
      </w:tr>
      <w:tr w14:paraId="7DE8DE55">
        <w:tblPrEx>
          <w:tblCellMar>
            <w:top w:w="0" w:type="dxa"/>
            <w:left w:w="0" w:type="dxa"/>
            <w:bottom w:w="0" w:type="dxa"/>
            <w:right w:w="0" w:type="dxa"/>
          </w:tblCellMar>
        </w:tblPrEx>
        <w:trPr>
          <w:trHeight w:val="425" w:hRule="atLeast"/>
        </w:trPr>
        <w:tc>
          <w:tcPr>
            <w:tcW w:w="2000"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9D0AA8">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物质及工艺系统危险性</w:t>
            </w:r>
          </w:p>
        </w:tc>
        <w:tc>
          <w:tcPr>
            <w:tcW w:w="10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E9F5A">
            <w:pPr>
              <w:widowControl/>
              <w:snapToGrid w:val="0"/>
              <w:spacing w:line="240" w:lineRule="atLeast"/>
              <w:jc w:val="lef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Q值</w:t>
            </w:r>
          </w:p>
        </w:tc>
        <w:tc>
          <w:tcPr>
            <w:tcW w:w="189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24351B">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Q</w:t>
            </w:r>
            <w:r>
              <w:rPr>
                <w:rStyle w:val="42"/>
                <w:color w:val="000000" w:themeColor="text1"/>
                <w:sz w:val="21"/>
                <w:szCs w:val="21"/>
                <w:lang w:bidi="ar"/>
                <w14:textFill>
                  <w14:solidFill>
                    <w14:schemeClr w14:val="tx1"/>
                  </w14:solidFill>
                </w14:textFill>
              </w:rPr>
              <w:t>&lt;</w:t>
            </w:r>
            <w:r>
              <w:rPr>
                <w:rStyle w:val="39"/>
                <w:rFonts w:hint="default" w:ascii="Times New Roman" w:hAnsi="Times New Roman" w:cs="Times New Roman"/>
                <w:color w:val="000000" w:themeColor="text1"/>
                <w:sz w:val="21"/>
                <w:szCs w:val="21"/>
                <w:lang w:bidi="ar"/>
                <w14:textFill>
                  <w14:solidFill>
                    <w14:schemeClr w14:val="tx1"/>
                  </w14:solidFill>
                </w14:textFill>
              </w:rPr>
              <w:t>1</w:t>
            </w:r>
            <w:bookmarkStart w:id="155" w:name="Bookmark153"/>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A3"/>
            </w:r>
            <w:bookmarkEnd w:id="155"/>
          </w:p>
        </w:tc>
        <w:tc>
          <w:tcPr>
            <w:tcW w:w="16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63ED9">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Style w:val="40"/>
                <w:rFonts w:ascii="Times New Roman" w:hAnsi="Times New Roman" w:cs="Times New Roman"/>
                <w:color w:val="000000" w:themeColor="text1"/>
                <w:sz w:val="21"/>
                <w:szCs w:val="21"/>
                <w:lang w:bidi="ar"/>
                <w14:textFill>
                  <w14:solidFill>
                    <w14:schemeClr w14:val="tx1"/>
                  </w14:solidFill>
                </w14:textFill>
              </w:rPr>
              <w:t>≤</w:t>
            </w:r>
            <w:r>
              <w:rPr>
                <w:rStyle w:val="39"/>
                <w:rFonts w:hint="default" w:ascii="Times New Roman" w:hAnsi="Times New Roman" w:cs="Times New Roman"/>
                <w:color w:val="000000" w:themeColor="text1"/>
                <w:sz w:val="21"/>
                <w:szCs w:val="21"/>
                <w:lang w:bidi="ar"/>
                <w14:textFill>
                  <w14:solidFill>
                    <w14:schemeClr w14:val="tx1"/>
                  </w14:solidFill>
                </w14:textFill>
              </w:rPr>
              <w:t>Q</w:t>
            </w:r>
            <w:r>
              <w:rPr>
                <w:rStyle w:val="42"/>
                <w:color w:val="000000" w:themeColor="text1"/>
                <w:sz w:val="21"/>
                <w:szCs w:val="21"/>
                <w:lang w:bidi="ar"/>
                <w14:textFill>
                  <w14:solidFill>
                    <w14:schemeClr w14:val="tx1"/>
                  </w14:solidFill>
                </w14:textFill>
              </w:rPr>
              <w:t>&lt;</w:t>
            </w:r>
            <w:r>
              <w:rPr>
                <w:rStyle w:val="39"/>
                <w:rFonts w:hint="default" w:ascii="Times New Roman" w:hAnsi="Times New Roman" w:cs="Times New Roman"/>
                <w:color w:val="000000" w:themeColor="text1"/>
                <w:sz w:val="21"/>
                <w:szCs w:val="21"/>
                <w:lang w:bidi="ar"/>
                <w14:textFill>
                  <w14:solidFill>
                    <w14:schemeClr w14:val="tx1"/>
                  </w14:solidFill>
                </w14:textFill>
              </w:rPr>
              <w:t>10</w:t>
            </w:r>
            <w:bookmarkStart w:id="156" w:name="Bookmark156"/>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A3"/>
            </w:r>
            <w:bookmarkEnd w:id="156"/>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75F635">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r>
              <w:rPr>
                <w:rStyle w:val="40"/>
                <w:rFonts w:ascii="Times New Roman" w:hAnsi="Times New Roman" w:cs="Times New Roman"/>
                <w:color w:val="000000" w:themeColor="text1"/>
                <w:sz w:val="21"/>
                <w:szCs w:val="21"/>
                <w:lang w:bidi="ar"/>
                <w14:textFill>
                  <w14:solidFill>
                    <w14:schemeClr w14:val="tx1"/>
                  </w14:solidFill>
                </w14:textFill>
              </w:rPr>
              <w:t>≤</w:t>
            </w:r>
            <w:r>
              <w:rPr>
                <w:rStyle w:val="39"/>
                <w:rFonts w:hint="default" w:ascii="Times New Roman" w:hAnsi="Times New Roman" w:cs="Times New Roman"/>
                <w:color w:val="000000" w:themeColor="text1"/>
                <w:sz w:val="21"/>
                <w:szCs w:val="21"/>
                <w:lang w:bidi="ar"/>
                <w14:textFill>
                  <w14:solidFill>
                    <w14:schemeClr w14:val="tx1"/>
                  </w14:solidFill>
                </w14:textFill>
              </w:rPr>
              <w:t>Q</w:t>
            </w:r>
            <w:r>
              <w:rPr>
                <w:rStyle w:val="42"/>
                <w:color w:val="000000" w:themeColor="text1"/>
                <w:sz w:val="21"/>
                <w:szCs w:val="21"/>
                <w:lang w:bidi="ar"/>
                <w14:textFill>
                  <w14:solidFill>
                    <w14:schemeClr w14:val="tx1"/>
                  </w14:solidFill>
                </w14:textFill>
              </w:rPr>
              <w:t>&lt;</w:t>
            </w:r>
            <w:r>
              <w:rPr>
                <w:rStyle w:val="39"/>
                <w:rFonts w:hint="default" w:ascii="Times New Roman" w:hAnsi="Times New Roman" w:cs="Times New Roman"/>
                <w:color w:val="000000" w:themeColor="text1"/>
                <w:sz w:val="21"/>
                <w:szCs w:val="21"/>
                <w:lang w:bidi="ar"/>
                <w14:textFill>
                  <w14:solidFill>
                    <w14:schemeClr w14:val="tx1"/>
                  </w14:solidFill>
                </w14:textFill>
              </w:rPr>
              <w:t>100</w:t>
            </w:r>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A3"/>
            </w:r>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730DE4">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Q</w:t>
            </w:r>
            <w:r>
              <w:rPr>
                <w:rStyle w:val="42"/>
                <w:color w:val="000000" w:themeColor="text1"/>
                <w:sz w:val="21"/>
                <w:szCs w:val="21"/>
                <w:lang w:bidi="ar"/>
                <w14:textFill>
                  <w14:solidFill>
                    <w14:schemeClr w14:val="tx1"/>
                  </w14:solidFill>
                </w14:textFill>
              </w:rPr>
              <w:t>&gt;</w:t>
            </w:r>
            <w:r>
              <w:rPr>
                <w:rStyle w:val="39"/>
                <w:rFonts w:hint="default" w:ascii="Times New Roman" w:hAnsi="Times New Roman" w:cs="Times New Roman"/>
                <w:color w:val="000000" w:themeColor="text1"/>
                <w:sz w:val="21"/>
                <w:szCs w:val="21"/>
                <w:lang w:bidi="ar"/>
                <w14:textFill>
                  <w14:solidFill>
                    <w14:schemeClr w14:val="tx1"/>
                  </w14:solidFill>
                </w14:textFill>
              </w:rPr>
              <w:t>100</w:t>
            </w:r>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52"/>
            </w:r>
          </w:p>
        </w:tc>
      </w:tr>
      <w:tr w14:paraId="208E89B9">
        <w:tblPrEx>
          <w:tblCellMar>
            <w:top w:w="0" w:type="dxa"/>
            <w:left w:w="0" w:type="dxa"/>
            <w:bottom w:w="0" w:type="dxa"/>
            <w:right w:w="0" w:type="dxa"/>
          </w:tblCellMar>
        </w:tblPrEx>
        <w:trPr>
          <w:trHeight w:val="425" w:hRule="atLeast"/>
        </w:trPr>
        <w:tc>
          <w:tcPr>
            <w:tcW w:w="200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A66268">
            <w:pPr>
              <w:widowControl/>
              <w:snapToGrid w:val="0"/>
              <w:spacing w:line="240" w:lineRule="atLeast"/>
              <w:jc w:val="center"/>
              <w:rPr>
                <w:color w:val="000000" w:themeColor="text1"/>
                <w:szCs w:val="21"/>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1A0F9E">
            <w:pPr>
              <w:widowControl/>
              <w:snapToGrid w:val="0"/>
              <w:spacing w:line="240" w:lineRule="atLeast"/>
              <w:jc w:val="lef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M值</w:t>
            </w:r>
          </w:p>
        </w:tc>
        <w:tc>
          <w:tcPr>
            <w:tcW w:w="189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D5E017">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M1</w:t>
            </w:r>
            <w:bookmarkStart w:id="157" w:name="Bookmark157"/>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A3"/>
            </w:r>
            <w:bookmarkEnd w:id="157"/>
          </w:p>
        </w:tc>
        <w:tc>
          <w:tcPr>
            <w:tcW w:w="16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0294F7">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M2</w:t>
            </w:r>
            <w:bookmarkStart w:id="158" w:name="Bookmark159"/>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52"/>
            </w:r>
            <w:bookmarkEnd w:id="158"/>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19B3EE">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M3</w:t>
            </w:r>
            <w:bookmarkStart w:id="159" w:name="Bookmark161"/>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A3"/>
            </w:r>
            <w:bookmarkEnd w:id="159"/>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187008">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M4</w:t>
            </w:r>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52"/>
            </w:r>
          </w:p>
        </w:tc>
      </w:tr>
      <w:tr w14:paraId="02771B67">
        <w:tblPrEx>
          <w:tblCellMar>
            <w:top w:w="0" w:type="dxa"/>
            <w:left w:w="0" w:type="dxa"/>
            <w:bottom w:w="0" w:type="dxa"/>
            <w:right w:w="0" w:type="dxa"/>
          </w:tblCellMar>
        </w:tblPrEx>
        <w:trPr>
          <w:trHeight w:val="425" w:hRule="atLeast"/>
        </w:trPr>
        <w:tc>
          <w:tcPr>
            <w:tcW w:w="200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464C20">
            <w:pPr>
              <w:widowControl/>
              <w:snapToGrid w:val="0"/>
              <w:spacing w:line="240" w:lineRule="atLeast"/>
              <w:jc w:val="center"/>
              <w:rPr>
                <w:color w:val="000000" w:themeColor="text1"/>
                <w:szCs w:val="21"/>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E32E9E">
            <w:pPr>
              <w:widowControl/>
              <w:snapToGrid w:val="0"/>
              <w:spacing w:line="240" w:lineRule="atLeast"/>
              <w:jc w:val="lef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P值</w:t>
            </w:r>
          </w:p>
        </w:tc>
        <w:tc>
          <w:tcPr>
            <w:tcW w:w="189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80546D">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P1</w:t>
            </w:r>
            <w:bookmarkStart w:id="160" w:name="Bookmark167"/>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A3"/>
            </w:r>
            <w:bookmarkEnd w:id="160"/>
          </w:p>
        </w:tc>
        <w:tc>
          <w:tcPr>
            <w:tcW w:w="16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33C6EC">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P2</w:t>
            </w:r>
            <w:bookmarkStart w:id="161" w:name="Bookmark165"/>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52"/>
            </w:r>
            <w:bookmarkEnd w:id="161"/>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62FFCF">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P3</w:t>
            </w:r>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52"/>
            </w:r>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FC8B41">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P4</w:t>
            </w:r>
            <w:bookmarkStart w:id="162" w:name="Bookmark160"/>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A3"/>
            </w:r>
            <w:bookmarkEnd w:id="162"/>
          </w:p>
        </w:tc>
      </w:tr>
      <w:tr w14:paraId="688FAC20">
        <w:tblPrEx>
          <w:tblCellMar>
            <w:top w:w="0" w:type="dxa"/>
            <w:left w:w="0" w:type="dxa"/>
            <w:bottom w:w="0" w:type="dxa"/>
            <w:right w:w="0" w:type="dxa"/>
          </w:tblCellMar>
        </w:tblPrEx>
        <w:trPr>
          <w:trHeight w:val="425" w:hRule="atLeast"/>
        </w:trPr>
        <w:tc>
          <w:tcPr>
            <w:tcW w:w="2000"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62E947">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环境敏感程度</w:t>
            </w:r>
          </w:p>
        </w:tc>
        <w:tc>
          <w:tcPr>
            <w:tcW w:w="10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9C1EBD">
            <w:pPr>
              <w:widowControl/>
              <w:snapToGrid w:val="0"/>
              <w:spacing w:line="240" w:lineRule="atLeast"/>
              <w:jc w:val="lef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大气</w:t>
            </w:r>
          </w:p>
        </w:tc>
        <w:tc>
          <w:tcPr>
            <w:tcW w:w="189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541041">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E1</w:t>
            </w:r>
            <w:bookmarkStart w:id="163" w:name="Bookmark169"/>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A3"/>
            </w:r>
            <w:bookmarkEnd w:id="163"/>
          </w:p>
        </w:tc>
        <w:tc>
          <w:tcPr>
            <w:tcW w:w="16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004E0E">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E2</w:t>
            </w:r>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52"/>
            </w:r>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BF2AA8">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E3</w:t>
            </w:r>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A3"/>
            </w:r>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D43204">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r>
      <w:tr w14:paraId="70F6B87C">
        <w:tblPrEx>
          <w:tblCellMar>
            <w:top w:w="0" w:type="dxa"/>
            <w:left w:w="0" w:type="dxa"/>
            <w:bottom w:w="0" w:type="dxa"/>
            <w:right w:w="0" w:type="dxa"/>
          </w:tblCellMar>
        </w:tblPrEx>
        <w:trPr>
          <w:trHeight w:val="425" w:hRule="atLeast"/>
        </w:trPr>
        <w:tc>
          <w:tcPr>
            <w:tcW w:w="200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CB3E62">
            <w:pPr>
              <w:widowControl/>
              <w:snapToGrid w:val="0"/>
              <w:spacing w:line="240" w:lineRule="atLeast"/>
              <w:jc w:val="center"/>
              <w:rPr>
                <w:color w:val="000000" w:themeColor="text1"/>
                <w:szCs w:val="21"/>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2531FC">
            <w:pPr>
              <w:widowControl/>
              <w:snapToGrid w:val="0"/>
              <w:spacing w:line="240" w:lineRule="atLeast"/>
              <w:jc w:val="lef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地表水</w:t>
            </w:r>
          </w:p>
        </w:tc>
        <w:tc>
          <w:tcPr>
            <w:tcW w:w="189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FB581B">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E1</w:t>
            </w:r>
            <w:bookmarkStart w:id="164" w:name="Bookmark166"/>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A3"/>
            </w:r>
            <w:bookmarkEnd w:id="164"/>
          </w:p>
        </w:tc>
        <w:tc>
          <w:tcPr>
            <w:tcW w:w="16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6FC931">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E2</w:t>
            </w:r>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52"/>
            </w:r>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863E49">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E3</w:t>
            </w:r>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A3"/>
            </w:r>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103610">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r>
      <w:tr w14:paraId="01846110">
        <w:tblPrEx>
          <w:tblCellMar>
            <w:top w:w="0" w:type="dxa"/>
            <w:left w:w="0" w:type="dxa"/>
            <w:bottom w:w="0" w:type="dxa"/>
            <w:right w:w="0" w:type="dxa"/>
          </w:tblCellMar>
        </w:tblPrEx>
        <w:trPr>
          <w:trHeight w:val="425" w:hRule="atLeast"/>
        </w:trPr>
        <w:tc>
          <w:tcPr>
            <w:tcW w:w="2000"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0617C">
            <w:pPr>
              <w:widowControl/>
              <w:snapToGrid w:val="0"/>
              <w:spacing w:line="240" w:lineRule="atLeast"/>
              <w:jc w:val="center"/>
              <w:rPr>
                <w:color w:val="000000" w:themeColor="text1"/>
                <w:szCs w:val="21"/>
                <w14:textFill>
                  <w14:solidFill>
                    <w14:schemeClr w14:val="tx1"/>
                  </w14:solidFill>
                </w14:textFill>
              </w:rPr>
            </w:pPr>
          </w:p>
        </w:tc>
        <w:tc>
          <w:tcPr>
            <w:tcW w:w="10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78B660">
            <w:pPr>
              <w:widowControl/>
              <w:snapToGrid w:val="0"/>
              <w:spacing w:line="240" w:lineRule="atLeast"/>
              <w:jc w:val="lef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地下水</w:t>
            </w:r>
          </w:p>
        </w:tc>
        <w:tc>
          <w:tcPr>
            <w:tcW w:w="189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F96309">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E1</w:t>
            </w:r>
            <w:bookmarkStart w:id="165" w:name="Bookmark173"/>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A3"/>
            </w:r>
            <w:bookmarkEnd w:id="165"/>
          </w:p>
        </w:tc>
        <w:tc>
          <w:tcPr>
            <w:tcW w:w="16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5901CC">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E2</w:t>
            </w:r>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52"/>
            </w:r>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A6CB6D">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E3</w:t>
            </w:r>
            <w:bookmarkStart w:id="166" w:name="Bookmark172"/>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A3"/>
            </w:r>
            <w:bookmarkEnd w:id="166"/>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D6BFAF">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p>
        </w:tc>
      </w:tr>
      <w:tr w14:paraId="6F05CE78">
        <w:tblPrEx>
          <w:tblCellMar>
            <w:top w:w="0" w:type="dxa"/>
            <w:left w:w="0" w:type="dxa"/>
            <w:bottom w:w="0" w:type="dxa"/>
            <w:right w:w="0" w:type="dxa"/>
          </w:tblCellMar>
        </w:tblPrEx>
        <w:trPr>
          <w:trHeight w:val="425" w:hRule="atLeast"/>
        </w:trPr>
        <w:tc>
          <w:tcPr>
            <w:tcW w:w="200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8C5709">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环境风险潜势</w:t>
            </w:r>
          </w:p>
        </w:tc>
        <w:tc>
          <w:tcPr>
            <w:tcW w:w="10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F3E542">
            <w:pPr>
              <w:widowControl/>
              <w:snapToGrid w:val="0"/>
              <w:spacing w:line="240" w:lineRule="atLeast"/>
              <w:jc w:val="lef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Ⅳ+</w:t>
            </w:r>
            <w:r>
              <w:rPr>
                <w:rStyle w:val="39"/>
                <w:rFonts w:hint="default" w:ascii="Times New Roman" w:hAnsi="Times New Roman" w:cs="Times New Roman"/>
                <w:color w:val="000000" w:themeColor="text1"/>
                <w:sz w:val="21"/>
                <w:szCs w:val="21"/>
                <w:lang w:bidi="ar"/>
                <w14:textFill>
                  <w14:solidFill>
                    <w14:schemeClr w14:val="tx1"/>
                  </w14:solidFill>
                </w14:textFill>
              </w:rPr>
              <w:t>□</w:t>
            </w:r>
          </w:p>
        </w:tc>
        <w:tc>
          <w:tcPr>
            <w:tcW w:w="189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AF1D59">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Ⅳ</w:t>
            </w:r>
            <w:bookmarkStart w:id="167" w:name="Bookmark188"/>
            <w:r>
              <w:rPr>
                <w:color w:val="000000" w:themeColor="text1"/>
                <w:kern w:val="0"/>
                <w:szCs w:val="21"/>
                <w:lang w:bidi="ar"/>
                <w14:textFill>
                  <w14:solidFill>
                    <w14:schemeClr w14:val="tx1"/>
                  </w14:solidFill>
                </w14:textFill>
              </w:rPr>
              <w:sym w:font="Wingdings 2" w:char="00A3"/>
            </w:r>
            <w:bookmarkEnd w:id="167"/>
          </w:p>
        </w:tc>
        <w:tc>
          <w:tcPr>
            <w:tcW w:w="16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05A949">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Ⅲ</w:t>
            </w:r>
            <w:bookmarkStart w:id="168" w:name="Bookmark180"/>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52"/>
            </w:r>
            <w:bookmarkEnd w:id="168"/>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C3A13">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Ⅱ</w:t>
            </w:r>
            <w:bookmarkStart w:id="169" w:name="Bookmark174"/>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A3"/>
            </w:r>
            <w:bookmarkEnd w:id="169"/>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8CBB99">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Ⅰ</w:t>
            </w:r>
            <w:bookmarkStart w:id="170" w:name="Bookmark194"/>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A3"/>
            </w:r>
            <w:bookmarkEnd w:id="170"/>
          </w:p>
        </w:tc>
      </w:tr>
      <w:tr w14:paraId="595B61BE">
        <w:tblPrEx>
          <w:tblCellMar>
            <w:top w:w="0" w:type="dxa"/>
            <w:left w:w="0" w:type="dxa"/>
            <w:bottom w:w="0" w:type="dxa"/>
            <w:right w:w="0" w:type="dxa"/>
          </w:tblCellMar>
        </w:tblPrEx>
        <w:trPr>
          <w:trHeight w:val="425" w:hRule="atLeast"/>
        </w:trPr>
        <w:tc>
          <w:tcPr>
            <w:tcW w:w="200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CED564">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评价等级</w:t>
            </w:r>
          </w:p>
        </w:tc>
        <w:tc>
          <w:tcPr>
            <w:tcW w:w="2908"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DD4AA6">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一级</w:t>
            </w:r>
            <w:bookmarkStart w:id="171" w:name="Bookmark190"/>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A3"/>
            </w:r>
            <w:bookmarkEnd w:id="171"/>
          </w:p>
        </w:tc>
        <w:tc>
          <w:tcPr>
            <w:tcW w:w="168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859CAC">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二级</w:t>
            </w:r>
            <w:bookmarkStart w:id="172" w:name="Bookmark183"/>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52"/>
            </w:r>
            <w:bookmarkEnd w:id="172"/>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82835">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三级</w:t>
            </w:r>
            <w:bookmarkStart w:id="173" w:name="Bookmark171"/>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A3"/>
            </w:r>
            <w:bookmarkEnd w:id="173"/>
          </w:p>
        </w:tc>
        <w:tc>
          <w:tcPr>
            <w:tcW w:w="182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8B5C2A">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简单分析</w:t>
            </w:r>
            <w:bookmarkStart w:id="174" w:name="Bookmark177"/>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A3"/>
            </w:r>
            <w:bookmarkEnd w:id="174"/>
          </w:p>
        </w:tc>
      </w:tr>
      <w:tr w14:paraId="11387848">
        <w:tblPrEx>
          <w:tblCellMar>
            <w:top w:w="0" w:type="dxa"/>
            <w:left w:w="0" w:type="dxa"/>
            <w:bottom w:w="0" w:type="dxa"/>
            <w:right w:w="0" w:type="dxa"/>
          </w:tblCellMar>
        </w:tblPrEx>
        <w:trPr>
          <w:trHeight w:val="425" w:hRule="atLeast"/>
        </w:trPr>
        <w:tc>
          <w:tcPr>
            <w:tcW w:w="91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18F7D">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风险识别</w:t>
            </w:r>
          </w:p>
        </w:tc>
        <w:tc>
          <w:tcPr>
            <w:tcW w:w="10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AA839B">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物质危险性</w:t>
            </w:r>
          </w:p>
        </w:tc>
        <w:tc>
          <w:tcPr>
            <w:tcW w:w="3885"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8798F1">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有毒有害</w:t>
            </w:r>
            <w:bookmarkStart w:id="175" w:name="Bookmark195"/>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52"/>
            </w:r>
            <w:bookmarkEnd w:id="175"/>
          </w:p>
        </w:tc>
        <w:tc>
          <w:tcPr>
            <w:tcW w:w="4351"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0321E8">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易燃易爆</w:t>
            </w:r>
            <w:bookmarkStart w:id="176" w:name="Bookmark181"/>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52"/>
            </w:r>
            <w:bookmarkEnd w:id="176"/>
          </w:p>
        </w:tc>
      </w:tr>
      <w:tr w14:paraId="2D00CD36">
        <w:tblPrEx>
          <w:tblCellMar>
            <w:top w:w="0" w:type="dxa"/>
            <w:left w:w="0" w:type="dxa"/>
            <w:bottom w:w="0" w:type="dxa"/>
            <w:right w:w="0" w:type="dxa"/>
          </w:tblCellMar>
        </w:tblPrEx>
        <w:trPr>
          <w:trHeight w:val="425" w:hRule="atLeast"/>
        </w:trPr>
        <w:tc>
          <w:tcPr>
            <w:tcW w:w="9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6B2212">
            <w:pPr>
              <w:widowControl/>
              <w:snapToGrid w:val="0"/>
              <w:spacing w:line="240" w:lineRule="atLeast"/>
              <w:jc w:val="center"/>
              <w:rPr>
                <w:color w:val="000000" w:themeColor="text1"/>
                <w:szCs w:val="21"/>
                <w14:textFill>
                  <w14:solidFill>
                    <w14:schemeClr w14:val="tx1"/>
                  </w14:solidFill>
                </w14:textFill>
              </w:rPr>
            </w:pPr>
          </w:p>
        </w:tc>
        <w:tc>
          <w:tcPr>
            <w:tcW w:w="10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06E40F">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环境风险类型</w:t>
            </w:r>
          </w:p>
        </w:tc>
        <w:tc>
          <w:tcPr>
            <w:tcW w:w="3885"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67CCEC">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泄漏</w:t>
            </w:r>
            <w:bookmarkStart w:id="177" w:name="Bookmark176"/>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52"/>
            </w:r>
            <w:bookmarkEnd w:id="177"/>
          </w:p>
        </w:tc>
        <w:tc>
          <w:tcPr>
            <w:tcW w:w="4351"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2D396C">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火灾、爆炸引发</w:t>
            </w:r>
            <w:bookmarkStart w:id="178" w:name="Bookmark178"/>
            <w:r>
              <w:rPr>
                <w:color w:val="000000" w:themeColor="text1"/>
                <w:kern w:val="0"/>
                <w:szCs w:val="21"/>
                <w:lang w:bidi="ar"/>
                <w14:textFill>
                  <w14:solidFill>
                    <w14:schemeClr w14:val="tx1"/>
                  </w14:solidFill>
                </w14:textFill>
              </w:rPr>
              <w:t>伴生</w:t>
            </w:r>
            <w:bookmarkEnd w:id="178"/>
            <w:r>
              <w:rPr>
                <w:color w:val="000000" w:themeColor="text1"/>
                <w:kern w:val="0"/>
                <w:szCs w:val="21"/>
                <w:lang w:bidi="ar"/>
                <w14:textFill>
                  <w14:solidFill>
                    <w14:schemeClr w14:val="tx1"/>
                  </w14:solidFill>
                </w14:textFill>
              </w:rPr>
              <w:t>/次生污染物排放</w:t>
            </w:r>
            <w:bookmarkStart w:id="179" w:name="Bookmark179"/>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52"/>
            </w:r>
            <w:bookmarkEnd w:id="179"/>
          </w:p>
        </w:tc>
      </w:tr>
      <w:tr w14:paraId="2D968740">
        <w:tblPrEx>
          <w:tblCellMar>
            <w:top w:w="0" w:type="dxa"/>
            <w:left w:w="0" w:type="dxa"/>
            <w:bottom w:w="0" w:type="dxa"/>
            <w:right w:w="0" w:type="dxa"/>
          </w:tblCellMar>
        </w:tblPrEx>
        <w:trPr>
          <w:trHeight w:val="425" w:hRule="atLeast"/>
        </w:trPr>
        <w:tc>
          <w:tcPr>
            <w:tcW w:w="9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CD5674">
            <w:pPr>
              <w:widowControl/>
              <w:snapToGrid w:val="0"/>
              <w:spacing w:line="240" w:lineRule="atLeast"/>
              <w:jc w:val="center"/>
              <w:rPr>
                <w:color w:val="000000" w:themeColor="text1"/>
                <w:szCs w:val="21"/>
                <w14:textFill>
                  <w14:solidFill>
                    <w14:schemeClr w14:val="tx1"/>
                  </w14:solidFill>
                </w14:textFill>
              </w:rPr>
            </w:pPr>
          </w:p>
        </w:tc>
        <w:tc>
          <w:tcPr>
            <w:tcW w:w="10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7A5EB4">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影响途径</w:t>
            </w:r>
          </w:p>
        </w:tc>
        <w:tc>
          <w:tcPr>
            <w:tcW w:w="2908"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012ED">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大气</w:t>
            </w:r>
            <w:bookmarkStart w:id="180" w:name="Bookmark182"/>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52"/>
            </w:r>
            <w:bookmarkEnd w:id="180"/>
          </w:p>
        </w:tc>
        <w:tc>
          <w:tcPr>
            <w:tcW w:w="259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3311BE">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地表水</w:t>
            </w:r>
            <w:bookmarkStart w:id="181" w:name="Bookmark191"/>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52"/>
            </w:r>
            <w:bookmarkEnd w:id="181"/>
          </w:p>
        </w:tc>
        <w:tc>
          <w:tcPr>
            <w:tcW w:w="273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3CABC5">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地下水</w:t>
            </w:r>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52"/>
            </w:r>
          </w:p>
        </w:tc>
      </w:tr>
      <w:tr w14:paraId="6C436F0F">
        <w:tblPrEx>
          <w:tblCellMar>
            <w:top w:w="0" w:type="dxa"/>
            <w:left w:w="0" w:type="dxa"/>
            <w:bottom w:w="0" w:type="dxa"/>
            <w:right w:w="0" w:type="dxa"/>
          </w:tblCellMar>
        </w:tblPrEx>
        <w:trPr>
          <w:trHeight w:val="425" w:hRule="atLeast"/>
        </w:trPr>
        <w:tc>
          <w:tcPr>
            <w:tcW w:w="200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F5E32">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事故情形分析</w:t>
            </w:r>
          </w:p>
        </w:tc>
        <w:tc>
          <w:tcPr>
            <w:tcW w:w="207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5D63A0">
            <w:pPr>
              <w:widowControl/>
              <w:snapToGrid w:val="0"/>
              <w:spacing w:line="240" w:lineRule="atLeast"/>
              <w:jc w:val="center"/>
              <w:textAlignment w:val="center"/>
              <w:rPr>
                <w:color w:val="000000" w:themeColor="text1"/>
                <w:szCs w:val="21"/>
                <w14:textFill>
                  <w14:solidFill>
                    <w14:schemeClr w14:val="tx1"/>
                  </w14:solidFill>
                </w14:textFill>
              </w:rPr>
            </w:pPr>
            <w:bookmarkStart w:id="182" w:name="Bookmark187"/>
            <w:r>
              <w:rPr>
                <w:color w:val="000000" w:themeColor="text1"/>
                <w:kern w:val="0"/>
                <w:szCs w:val="21"/>
                <w:lang w:bidi="ar"/>
                <w14:textFill>
                  <w14:solidFill>
                    <w14:schemeClr w14:val="tx1"/>
                  </w14:solidFill>
                </w14:textFill>
              </w:rPr>
              <w:t>源</w:t>
            </w:r>
            <w:bookmarkEnd w:id="182"/>
            <w:r>
              <w:rPr>
                <w:color w:val="000000" w:themeColor="text1"/>
                <w:kern w:val="0"/>
                <w:szCs w:val="21"/>
                <w:lang w:bidi="ar"/>
                <w14:textFill>
                  <w14:solidFill>
                    <w14:schemeClr w14:val="tx1"/>
                  </w14:solidFill>
                </w14:textFill>
              </w:rPr>
              <w:t>强设定方法</w:t>
            </w:r>
          </w:p>
        </w:tc>
        <w:tc>
          <w:tcPr>
            <w:tcW w:w="181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C3EB8F">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计算方法</w:t>
            </w:r>
            <w:bookmarkStart w:id="183" w:name="Bookmark184"/>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52"/>
            </w:r>
            <w:bookmarkEnd w:id="183"/>
          </w:p>
        </w:tc>
        <w:tc>
          <w:tcPr>
            <w:tcW w:w="161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30B626">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经验估算方法</w:t>
            </w:r>
            <w:r>
              <w:rPr>
                <w:rStyle w:val="39"/>
                <w:rFonts w:hint="default" w:ascii="Times New Roman" w:hAnsi="Times New Roman" w:cs="Times New Roman"/>
                <w:color w:val="000000" w:themeColor="text1"/>
                <w:sz w:val="21"/>
                <w:szCs w:val="21"/>
                <w:lang w:bidi="ar"/>
                <w14:textFill>
                  <w14:solidFill>
                    <w14:schemeClr w14:val="tx1"/>
                  </w14:solidFill>
                </w14:textFill>
              </w:rPr>
              <w:t>□</w:t>
            </w:r>
          </w:p>
        </w:tc>
        <w:tc>
          <w:tcPr>
            <w:tcW w:w="273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C8AA8B">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其他估算方法</w:t>
            </w:r>
            <w:bookmarkStart w:id="184" w:name="Bookmark189"/>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A3"/>
            </w:r>
            <w:bookmarkEnd w:id="184"/>
          </w:p>
        </w:tc>
      </w:tr>
      <w:tr w14:paraId="4F1F8D31">
        <w:tblPrEx>
          <w:tblCellMar>
            <w:top w:w="0" w:type="dxa"/>
            <w:left w:w="0" w:type="dxa"/>
            <w:bottom w:w="0" w:type="dxa"/>
            <w:right w:w="0" w:type="dxa"/>
          </w:tblCellMar>
        </w:tblPrEx>
        <w:trPr>
          <w:trHeight w:val="425" w:hRule="atLeast"/>
        </w:trPr>
        <w:tc>
          <w:tcPr>
            <w:tcW w:w="91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08871C">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风险预测与评价</w:t>
            </w:r>
          </w:p>
        </w:tc>
        <w:tc>
          <w:tcPr>
            <w:tcW w:w="108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343655">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大气</w:t>
            </w:r>
          </w:p>
        </w:tc>
        <w:tc>
          <w:tcPr>
            <w:tcW w:w="207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1529C8">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预测模型</w:t>
            </w:r>
          </w:p>
        </w:tc>
        <w:tc>
          <w:tcPr>
            <w:tcW w:w="181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F09B65">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SLAB</w:t>
            </w:r>
            <w:r>
              <w:rPr>
                <w:rStyle w:val="39"/>
                <w:rFonts w:hint="default" w:ascii="Times New Roman" w:hAnsi="Times New Roman" w:cs="Times New Roman"/>
                <w:color w:val="000000" w:themeColor="text1"/>
                <w:sz w:val="21"/>
                <w:szCs w:val="21"/>
                <w:lang w:bidi="ar"/>
                <w14:textFill>
                  <w14:solidFill>
                    <w14:schemeClr w14:val="tx1"/>
                  </w14:solidFill>
                </w14:textFill>
              </w:rPr>
              <w:sym w:font="Wingdings 2" w:char="0052"/>
            </w:r>
          </w:p>
        </w:tc>
        <w:tc>
          <w:tcPr>
            <w:tcW w:w="161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86654E">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AFTOX</w:t>
            </w:r>
            <w:bookmarkStart w:id="185" w:name="Bookmark193"/>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52"/>
            </w:r>
            <w:bookmarkEnd w:id="185"/>
          </w:p>
        </w:tc>
        <w:tc>
          <w:tcPr>
            <w:tcW w:w="273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94597">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其他</w:t>
            </w:r>
            <w:bookmarkStart w:id="186" w:name="Bookmark186"/>
            <w:r>
              <w:rPr>
                <w:rStyle w:val="41"/>
                <w:rFonts w:ascii="Times New Roman" w:hAnsi="Times New Roman" w:eastAsia="宋体" w:cs="Times New Roman"/>
                <w:color w:val="000000" w:themeColor="text1"/>
                <w:kern w:val="0"/>
                <w:sz w:val="21"/>
                <w:szCs w:val="21"/>
                <w:lang w:bidi="ar"/>
                <w14:textFill>
                  <w14:solidFill>
                    <w14:schemeClr w14:val="tx1"/>
                  </w14:solidFill>
                </w14:textFill>
              </w:rPr>
              <w:sym w:font="Wingdings 2" w:char="00A3"/>
            </w:r>
            <w:bookmarkEnd w:id="186"/>
          </w:p>
        </w:tc>
      </w:tr>
      <w:tr w14:paraId="15203AED">
        <w:tblPrEx>
          <w:tblCellMar>
            <w:top w:w="0" w:type="dxa"/>
            <w:left w:w="0" w:type="dxa"/>
            <w:bottom w:w="0" w:type="dxa"/>
            <w:right w:w="0" w:type="dxa"/>
          </w:tblCellMar>
        </w:tblPrEx>
        <w:trPr>
          <w:trHeight w:val="425" w:hRule="atLeast"/>
        </w:trPr>
        <w:tc>
          <w:tcPr>
            <w:tcW w:w="9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787AC1">
            <w:pPr>
              <w:widowControl/>
              <w:snapToGrid w:val="0"/>
              <w:spacing w:line="240" w:lineRule="atLeast"/>
              <w:jc w:val="center"/>
              <w:rPr>
                <w:color w:val="000000" w:themeColor="text1"/>
                <w:szCs w:val="21"/>
                <w14:textFill>
                  <w14:solidFill>
                    <w14:schemeClr w14:val="tx1"/>
                  </w14:solidFill>
                </w14:textFill>
              </w:rPr>
            </w:pPr>
          </w:p>
        </w:tc>
        <w:tc>
          <w:tcPr>
            <w:tcW w:w="108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9EB73">
            <w:pPr>
              <w:widowControl/>
              <w:snapToGrid w:val="0"/>
              <w:spacing w:line="240" w:lineRule="atLeast"/>
              <w:jc w:val="center"/>
              <w:rPr>
                <w:color w:val="000000" w:themeColor="text1"/>
                <w:szCs w:val="21"/>
                <w14:textFill>
                  <w14:solidFill>
                    <w14:schemeClr w14:val="tx1"/>
                  </w14:solidFill>
                </w14:textFill>
              </w:rPr>
            </w:pPr>
          </w:p>
        </w:tc>
        <w:tc>
          <w:tcPr>
            <w:tcW w:w="1037" w:type="dxa"/>
            <w:gridSpan w:val="2"/>
            <w:vMerge w:val="restart"/>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449A4A22">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预测结果</w:t>
            </w:r>
          </w:p>
        </w:tc>
        <w:tc>
          <w:tcPr>
            <w:tcW w:w="1037"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A53E663">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氨</w:t>
            </w:r>
          </w:p>
        </w:tc>
        <w:tc>
          <w:tcPr>
            <w:tcW w:w="6162" w:type="dxa"/>
            <w:gridSpan w:val="7"/>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6E1ACC65">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大气毒性终点浓度-1 </w:t>
            </w:r>
            <w:r>
              <w:rPr>
                <w:rFonts w:hint="eastAsia"/>
                <w:color w:val="000000" w:themeColor="text1"/>
                <w:kern w:val="0"/>
                <w:szCs w:val="21"/>
                <w:lang w:bidi="ar"/>
                <w14:textFill>
                  <w14:solidFill>
                    <w14:schemeClr w14:val="tx1"/>
                  </w14:solidFill>
                </w14:textFill>
              </w:rPr>
              <w:t>未出现</w:t>
            </w:r>
          </w:p>
        </w:tc>
      </w:tr>
      <w:tr w14:paraId="38EAED95">
        <w:tblPrEx>
          <w:tblCellMar>
            <w:top w:w="0" w:type="dxa"/>
            <w:left w:w="0" w:type="dxa"/>
            <w:bottom w:w="0" w:type="dxa"/>
            <w:right w:w="0" w:type="dxa"/>
          </w:tblCellMar>
        </w:tblPrEx>
        <w:trPr>
          <w:trHeight w:val="425" w:hRule="atLeast"/>
        </w:trPr>
        <w:tc>
          <w:tcPr>
            <w:tcW w:w="9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1DEA34">
            <w:pPr>
              <w:widowControl/>
              <w:snapToGrid w:val="0"/>
              <w:spacing w:line="240" w:lineRule="atLeast"/>
              <w:jc w:val="center"/>
              <w:rPr>
                <w:color w:val="000000" w:themeColor="text1"/>
                <w:szCs w:val="21"/>
                <w14:textFill>
                  <w14:solidFill>
                    <w14:schemeClr w14:val="tx1"/>
                  </w14:solidFill>
                </w14:textFill>
              </w:rPr>
            </w:pPr>
          </w:p>
        </w:tc>
        <w:tc>
          <w:tcPr>
            <w:tcW w:w="108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BAC4F">
            <w:pPr>
              <w:widowControl/>
              <w:snapToGrid w:val="0"/>
              <w:spacing w:line="240" w:lineRule="atLeast"/>
              <w:jc w:val="center"/>
              <w:rPr>
                <w:color w:val="000000" w:themeColor="text1"/>
                <w:szCs w:val="21"/>
                <w14:textFill>
                  <w14:solidFill>
                    <w14:schemeClr w14:val="tx1"/>
                  </w14:solidFill>
                </w14:textFill>
              </w:rPr>
            </w:pPr>
          </w:p>
        </w:tc>
        <w:tc>
          <w:tcPr>
            <w:tcW w:w="1037" w:type="dxa"/>
            <w:gridSpan w:val="2"/>
            <w:vMerge w:val="continue"/>
            <w:tcBorders>
              <w:left w:val="single" w:color="000000" w:sz="4" w:space="0"/>
              <w:right w:val="single" w:color="auto" w:sz="4" w:space="0"/>
            </w:tcBorders>
            <w:tcMar>
              <w:top w:w="15" w:type="dxa"/>
              <w:left w:w="15" w:type="dxa"/>
              <w:right w:w="15" w:type="dxa"/>
            </w:tcMar>
            <w:vAlign w:val="center"/>
          </w:tcPr>
          <w:p w14:paraId="3509AA7D">
            <w:pPr>
              <w:widowControl/>
              <w:snapToGrid w:val="0"/>
              <w:spacing w:line="240" w:lineRule="atLeast"/>
              <w:jc w:val="center"/>
              <w:textAlignment w:val="center"/>
              <w:rPr>
                <w:color w:val="000000" w:themeColor="text1"/>
                <w:kern w:val="0"/>
                <w:szCs w:val="21"/>
                <w:lang w:bidi="ar"/>
                <w14:textFill>
                  <w14:solidFill>
                    <w14:schemeClr w14:val="tx1"/>
                  </w14:solidFill>
                </w14:textFill>
              </w:rPr>
            </w:pPr>
          </w:p>
        </w:tc>
        <w:tc>
          <w:tcPr>
            <w:tcW w:w="1037"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D93CC10">
            <w:pPr>
              <w:widowControl/>
              <w:snapToGrid w:val="0"/>
              <w:spacing w:line="240" w:lineRule="atLeast"/>
              <w:jc w:val="center"/>
              <w:textAlignment w:val="center"/>
              <w:rPr>
                <w:color w:val="000000" w:themeColor="text1"/>
                <w:kern w:val="0"/>
                <w:szCs w:val="21"/>
                <w:lang w:bidi="ar"/>
                <w14:textFill>
                  <w14:solidFill>
                    <w14:schemeClr w14:val="tx1"/>
                  </w14:solidFill>
                </w14:textFill>
              </w:rPr>
            </w:pPr>
          </w:p>
        </w:tc>
        <w:tc>
          <w:tcPr>
            <w:tcW w:w="6162" w:type="dxa"/>
            <w:gridSpan w:val="7"/>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362572A9">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大气毒性终点浓度-2 最大影响范围</w:t>
            </w:r>
            <w:r>
              <w:rPr>
                <w:rFonts w:hint="eastAsia"/>
                <w:color w:val="000000" w:themeColor="text1"/>
                <w:kern w:val="0"/>
                <w:szCs w:val="21"/>
                <w:lang w:bidi="ar"/>
                <w14:textFill>
                  <w14:solidFill>
                    <w14:schemeClr w14:val="tx1"/>
                  </w14:solidFill>
                </w14:textFill>
              </w:rPr>
              <w:t>195.4</w:t>
            </w:r>
            <w:r>
              <w:rPr>
                <w:color w:val="000000" w:themeColor="text1"/>
                <w:kern w:val="0"/>
                <w:szCs w:val="21"/>
                <w:lang w:bidi="ar"/>
                <w14:textFill>
                  <w14:solidFill>
                    <w14:schemeClr w14:val="tx1"/>
                  </w14:solidFill>
                </w14:textFill>
              </w:rPr>
              <w:t xml:space="preserve"> m</w:t>
            </w:r>
          </w:p>
        </w:tc>
      </w:tr>
      <w:tr w14:paraId="08278652">
        <w:tblPrEx>
          <w:tblCellMar>
            <w:top w:w="0" w:type="dxa"/>
            <w:left w:w="0" w:type="dxa"/>
            <w:bottom w:w="0" w:type="dxa"/>
            <w:right w:w="0" w:type="dxa"/>
          </w:tblCellMar>
        </w:tblPrEx>
        <w:trPr>
          <w:trHeight w:val="425" w:hRule="atLeast"/>
        </w:trPr>
        <w:tc>
          <w:tcPr>
            <w:tcW w:w="9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D8D30A">
            <w:pPr>
              <w:widowControl/>
              <w:snapToGrid w:val="0"/>
              <w:spacing w:line="240" w:lineRule="atLeast"/>
              <w:jc w:val="center"/>
              <w:rPr>
                <w:color w:val="000000" w:themeColor="text1"/>
                <w:szCs w:val="21"/>
                <w14:textFill>
                  <w14:solidFill>
                    <w14:schemeClr w14:val="tx1"/>
                  </w14:solidFill>
                </w14:textFill>
              </w:rPr>
            </w:pPr>
          </w:p>
        </w:tc>
        <w:tc>
          <w:tcPr>
            <w:tcW w:w="108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6036E8">
            <w:pPr>
              <w:widowControl/>
              <w:snapToGrid w:val="0"/>
              <w:spacing w:line="240" w:lineRule="atLeast"/>
              <w:jc w:val="center"/>
              <w:rPr>
                <w:color w:val="000000" w:themeColor="text1"/>
                <w:szCs w:val="21"/>
                <w14:textFill>
                  <w14:solidFill>
                    <w14:schemeClr w14:val="tx1"/>
                  </w14:solidFill>
                </w14:textFill>
              </w:rPr>
            </w:pPr>
          </w:p>
        </w:tc>
        <w:tc>
          <w:tcPr>
            <w:tcW w:w="1037" w:type="dxa"/>
            <w:gridSpan w:val="2"/>
            <w:vMerge w:val="continue"/>
            <w:tcBorders>
              <w:left w:val="single" w:color="000000" w:sz="4" w:space="0"/>
              <w:right w:val="single" w:color="auto" w:sz="4" w:space="0"/>
            </w:tcBorders>
            <w:tcMar>
              <w:top w:w="15" w:type="dxa"/>
              <w:left w:w="15" w:type="dxa"/>
              <w:right w:w="15" w:type="dxa"/>
            </w:tcMar>
            <w:vAlign w:val="center"/>
          </w:tcPr>
          <w:p w14:paraId="39E9FB03">
            <w:pPr>
              <w:widowControl/>
              <w:snapToGrid w:val="0"/>
              <w:spacing w:line="240" w:lineRule="atLeast"/>
              <w:jc w:val="center"/>
              <w:textAlignment w:val="center"/>
              <w:rPr>
                <w:color w:val="000000" w:themeColor="text1"/>
                <w:kern w:val="0"/>
                <w:szCs w:val="21"/>
                <w:lang w:bidi="ar"/>
                <w14:textFill>
                  <w14:solidFill>
                    <w14:schemeClr w14:val="tx1"/>
                  </w14:solidFill>
                </w14:textFill>
              </w:rPr>
            </w:pPr>
          </w:p>
        </w:tc>
        <w:tc>
          <w:tcPr>
            <w:tcW w:w="1037"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D39D9FE">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二氧化硫</w:t>
            </w:r>
          </w:p>
        </w:tc>
        <w:tc>
          <w:tcPr>
            <w:tcW w:w="6162" w:type="dxa"/>
            <w:gridSpan w:val="7"/>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7009C2B0">
            <w:pPr>
              <w:widowControl/>
              <w:snapToGrid w:val="0"/>
              <w:spacing w:line="240" w:lineRule="atLeas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 xml:space="preserve">大气毒性终点浓度-1 </w:t>
            </w:r>
            <w:r>
              <w:rPr>
                <w:rFonts w:hint="eastAsia"/>
                <w:color w:val="000000" w:themeColor="text1"/>
                <w:kern w:val="0"/>
                <w:szCs w:val="21"/>
                <w:lang w:bidi="ar"/>
                <w14:textFill>
                  <w14:solidFill>
                    <w14:schemeClr w14:val="tx1"/>
                  </w14:solidFill>
                </w14:textFill>
              </w:rPr>
              <w:t>未出现</w:t>
            </w:r>
          </w:p>
        </w:tc>
      </w:tr>
      <w:tr w14:paraId="0F222FB5">
        <w:tblPrEx>
          <w:tblCellMar>
            <w:top w:w="0" w:type="dxa"/>
            <w:left w:w="0" w:type="dxa"/>
            <w:bottom w:w="0" w:type="dxa"/>
            <w:right w:w="0" w:type="dxa"/>
          </w:tblCellMar>
        </w:tblPrEx>
        <w:trPr>
          <w:trHeight w:val="425" w:hRule="atLeast"/>
        </w:trPr>
        <w:tc>
          <w:tcPr>
            <w:tcW w:w="9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51D673">
            <w:pPr>
              <w:widowControl/>
              <w:snapToGrid w:val="0"/>
              <w:spacing w:line="240" w:lineRule="atLeast"/>
              <w:jc w:val="center"/>
              <w:rPr>
                <w:color w:val="000000" w:themeColor="text1"/>
                <w:szCs w:val="21"/>
                <w14:textFill>
                  <w14:solidFill>
                    <w14:schemeClr w14:val="tx1"/>
                  </w14:solidFill>
                </w14:textFill>
              </w:rPr>
            </w:pPr>
          </w:p>
        </w:tc>
        <w:tc>
          <w:tcPr>
            <w:tcW w:w="108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1D336">
            <w:pPr>
              <w:widowControl/>
              <w:snapToGrid w:val="0"/>
              <w:spacing w:line="240" w:lineRule="atLeast"/>
              <w:jc w:val="center"/>
              <w:rPr>
                <w:color w:val="000000" w:themeColor="text1"/>
                <w:szCs w:val="21"/>
                <w14:textFill>
                  <w14:solidFill>
                    <w14:schemeClr w14:val="tx1"/>
                  </w14:solidFill>
                </w14:textFill>
              </w:rPr>
            </w:pPr>
          </w:p>
        </w:tc>
        <w:tc>
          <w:tcPr>
            <w:tcW w:w="1037" w:type="dxa"/>
            <w:gridSpan w:val="2"/>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3170971C">
            <w:pPr>
              <w:widowControl/>
              <w:snapToGrid w:val="0"/>
              <w:spacing w:line="240" w:lineRule="atLeast"/>
              <w:jc w:val="center"/>
              <w:rPr>
                <w:color w:val="000000" w:themeColor="text1"/>
                <w:szCs w:val="21"/>
                <w14:textFill>
                  <w14:solidFill>
                    <w14:schemeClr w14:val="tx1"/>
                  </w14:solidFill>
                </w14:textFill>
              </w:rPr>
            </w:pPr>
          </w:p>
        </w:tc>
        <w:tc>
          <w:tcPr>
            <w:tcW w:w="1037"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EFA3A74">
            <w:pPr>
              <w:widowControl/>
              <w:snapToGrid w:val="0"/>
              <w:spacing w:line="240" w:lineRule="atLeast"/>
              <w:jc w:val="center"/>
              <w:rPr>
                <w:color w:val="000000" w:themeColor="text1"/>
                <w:szCs w:val="21"/>
                <w14:textFill>
                  <w14:solidFill>
                    <w14:schemeClr w14:val="tx1"/>
                  </w14:solidFill>
                </w14:textFill>
              </w:rPr>
            </w:pPr>
          </w:p>
        </w:tc>
        <w:tc>
          <w:tcPr>
            <w:tcW w:w="6162" w:type="dxa"/>
            <w:gridSpan w:val="7"/>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4761D481">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大气毒性终点浓度-2 最大影响范围</w:t>
            </w:r>
            <w:r>
              <w:rPr>
                <w:rFonts w:hint="eastAsia"/>
                <w:color w:val="000000" w:themeColor="text1"/>
                <w:kern w:val="0"/>
                <w:szCs w:val="21"/>
                <w:lang w:bidi="ar"/>
                <w14:textFill>
                  <w14:solidFill>
                    <w14:schemeClr w14:val="tx1"/>
                  </w14:solidFill>
                </w14:textFill>
              </w:rPr>
              <w:t>172.9</w:t>
            </w:r>
            <w:r>
              <w:rPr>
                <w:color w:val="000000" w:themeColor="text1"/>
                <w:kern w:val="0"/>
                <w:szCs w:val="21"/>
                <w:lang w:bidi="ar"/>
                <w14:textFill>
                  <w14:solidFill>
                    <w14:schemeClr w14:val="tx1"/>
                  </w14:solidFill>
                </w14:textFill>
              </w:rPr>
              <w:t xml:space="preserve"> m</w:t>
            </w:r>
          </w:p>
        </w:tc>
      </w:tr>
      <w:tr w14:paraId="450478E4">
        <w:tblPrEx>
          <w:tblCellMar>
            <w:top w:w="0" w:type="dxa"/>
            <w:left w:w="0" w:type="dxa"/>
            <w:bottom w:w="0" w:type="dxa"/>
            <w:right w:w="0" w:type="dxa"/>
          </w:tblCellMar>
        </w:tblPrEx>
        <w:trPr>
          <w:trHeight w:val="425" w:hRule="atLeast"/>
        </w:trPr>
        <w:tc>
          <w:tcPr>
            <w:tcW w:w="9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8CFA3D">
            <w:pPr>
              <w:widowControl/>
              <w:snapToGrid w:val="0"/>
              <w:spacing w:line="240" w:lineRule="atLeast"/>
              <w:jc w:val="center"/>
              <w:rPr>
                <w:color w:val="000000" w:themeColor="text1"/>
                <w:szCs w:val="21"/>
                <w14:textFill>
                  <w14:solidFill>
                    <w14:schemeClr w14:val="tx1"/>
                  </w14:solidFill>
                </w14:textFill>
              </w:rPr>
            </w:pPr>
          </w:p>
        </w:tc>
        <w:tc>
          <w:tcPr>
            <w:tcW w:w="10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68B494">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地表水</w:t>
            </w:r>
          </w:p>
        </w:tc>
        <w:tc>
          <w:tcPr>
            <w:tcW w:w="8236" w:type="dxa"/>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E45102">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最近环境敏感目标</w:t>
            </w:r>
            <w:r>
              <w:rPr>
                <w:rStyle w:val="43"/>
                <w:rFonts w:hint="default" w:ascii="Times New Roman" w:hAnsi="Times New Roman" w:cs="Times New Roman"/>
                <w:color w:val="000000" w:themeColor="text1"/>
                <w:sz w:val="21"/>
                <w:szCs w:val="21"/>
                <w:u w:val="none"/>
                <w:lang w:bidi="ar"/>
                <w14:textFill>
                  <w14:solidFill>
                    <w14:schemeClr w14:val="tx1"/>
                  </w14:solidFill>
                </w14:textFill>
              </w:rPr>
              <w:t xml:space="preserve">  /   </w:t>
            </w:r>
            <w:r>
              <w:rPr>
                <w:rStyle w:val="39"/>
                <w:rFonts w:hint="default" w:ascii="Times New Roman" w:hAnsi="Times New Roman" w:cs="Times New Roman"/>
                <w:color w:val="000000" w:themeColor="text1"/>
                <w:sz w:val="21"/>
                <w:szCs w:val="21"/>
                <w:lang w:bidi="ar"/>
                <w14:textFill>
                  <w14:solidFill>
                    <w14:schemeClr w14:val="tx1"/>
                  </w14:solidFill>
                </w14:textFill>
              </w:rPr>
              <w:t>，达到时间</w:t>
            </w:r>
            <w:r>
              <w:rPr>
                <w:rStyle w:val="43"/>
                <w:rFonts w:hint="default" w:ascii="Times New Roman" w:hAnsi="Times New Roman" w:cs="Times New Roman"/>
                <w:color w:val="000000" w:themeColor="text1"/>
                <w:sz w:val="21"/>
                <w:szCs w:val="21"/>
                <w:u w:val="none"/>
                <w:lang w:bidi="ar"/>
                <w14:textFill>
                  <w14:solidFill>
                    <w14:schemeClr w14:val="tx1"/>
                  </w14:solidFill>
                </w14:textFill>
              </w:rPr>
              <w:t xml:space="preserve"> / </w:t>
            </w:r>
            <w:r>
              <w:rPr>
                <w:rStyle w:val="39"/>
                <w:rFonts w:hint="default" w:ascii="Times New Roman" w:hAnsi="Times New Roman" w:cs="Times New Roman"/>
                <w:color w:val="000000" w:themeColor="text1"/>
                <w:sz w:val="21"/>
                <w:szCs w:val="21"/>
                <w:lang w:bidi="ar"/>
                <w14:textFill>
                  <w14:solidFill>
                    <w14:schemeClr w14:val="tx1"/>
                  </w14:solidFill>
                </w14:textFill>
              </w:rPr>
              <w:t>h</w:t>
            </w:r>
          </w:p>
        </w:tc>
      </w:tr>
      <w:tr w14:paraId="6B649FB6">
        <w:tblPrEx>
          <w:tblCellMar>
            <w:top w:w="0" w:type="dxa"/>
            <w:left w:w="0" w:type="dxa"/>
            <w:bottom w:w="0" w:type="dxa"/>
            <w:right w:w="0" w:type="dxa"/>
          </w:tblCellMar>
        </w:tblPrEx>
        <w:trPr>
          <w:trHeight w:val="425" w:hRule="atLeast"/>
        </w:trPr>
        <w:tc>
          <w:tcPr>
            <w:tcW w:w="9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9EA163">
            <w:pPr>
              <w:widowControl/>
              <w:snapToGrid w:val="0"/>
              <w:spacing w:line="240" w:lineRule="atLeast"/>
              <w:jc w:val="center"/>
              <w:rPr>
                <w:color w:val="000000" w:themeColor="text1"/>
                <w:szCs w:val="21"/>
                <w14:textFill>
                  <w14:solidFill>
                    <w14:schemeClr w14:val="tx1"/>
                  </w14:solidFill>
                </w14:textFill>
              </w:rPr>
            </w:pPr>
          </w:p>
        </w:tc>
        <w:tc>
          <w:tcPr>
            <w:tcW w:w="108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A235A4">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地下水</w:t>
            </w:r>
          </w:p>
        </w:tc>
        <w:tc>
          <w:tcPr>
            <w:tcW w:w="8236" w:type="dxa"/>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0DD40">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下游</w:t>
            </w:r>
            <w:bookmarkStart w:id="187" w:name="Bookmark197"/>
            <w:r>
              <w:rPr>
                <w:color w:val="000000" w:themeColor="text1"/>
                <w:kern w:val="0"/>
                <w:szCs w:val="21"/>
                <w:lang w:bidi="ar"/>
                <w14:textFill>
                  <w14:solidFill>
                    <w14:schemeClr w14:val="tx1"/>
                  </w14:solidFill>
                </w14:textFill>
              </w:rPr>
              <w:t>厂</w:t>
            </w:r>
            <w:bookmarkEnd w:id="187"/>
            <w:r>
              <w:rPr>
                <w:color w:val="000000" w:themeColor="text1"/>
                <w:kern w:val="0"/>
                <w:szCs w:val="21"/>
                <w:lang w:bidi="ar"/>
                <w14:textFill>
                  <w14:solidFill>
                    <w14:schemeClr w14:val="tx1"/>
                  </w14:solidFill>
                </w14:textFill>
              </w:rPr>
              <w:t>界边界到达时间</w:t>
            </w:r>
            <w:r>
              <w:rPr>
                <w:rStyle w:val="43"/>
                <w:rFonts w:hint="default" w:ascii="Times New Roman" w:hAnsi="Times New Roman" w:cs="Times New Roman"/>
                <w:color w:val="000000" w:themeColor="text1"/>
                <w:sz w:val="21"/>
                <w:szCs w:val="21"/>
                <w:u w:val="none"/>
                <w:lang w:bidi="ar"/>
                <w14:textFill>
                  <w14:solidFill>
                    <w14:schemeClr w14:val="tx1"/>
                  </w14:solidFill>
                </w14:textFill>
              </w:rPr>
              <w:t xml:space="preserve"> / </w:t>
            </w:r>
            <w:r>
              <w:rPr>
                <w:rStyle w:val="39"/>
                <w:rFonts w:hint="default" w:ascii="Times New Roman" w:hAnsi="Times New Roman" w:cs="Times New Roman"/>
                <w:color w:val="000000" w:themeColor="text1"/>
                <w:sz w:val="21"/>
                <w:szCs w:val="21"/>
                <w:lang w:bidi="ar"/>
                <w14:textFill>
                  <w14:solidFill>
                    <w14:schemeClr w14:val="tx1"/>
                  </w14:solidFill>
                </w14:textFill>
              </w:rPr>
              <w:t>d</w:t>
            </w:r>
          </w:p>
        </w:tc>
      </w:tr>
      <w:tr w14:paraId="0A342E60">
        <w:tblPrEx>
          <w:tblCellMar>
            <w:top w:w="0" w:type="dxa"/>
            <w:left w:w="0" w:type="dxa"/>
            <w:bottom w:w="0" w:type="dxa"/>
            <w:right w:w="0" w:type="dxa"/>
          </w:tblCellMar>
        </w:tblPrEx>
        <w:trPr>
          <w:trHeight w:val="425" w:hRule="atLeast"/>
        </w:trPr>
        <w:tc>
          <w:tcPr>
            <w:tcW w:w="9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50038E">
            <w:pPr>
              <w:widowControl/>
              <w:snapToGrid w:val="0"/>
              <w:spacing w:line="240" w:lineRule="atLeast"/>
              <w:jc w:val="center"/>
              <w:rPr>
                <w:color w:val="000000" w:themeColor="text1"/>
                <w:szCs w:val="21"/>
                <w14:textFill>
                  <w14:solidFill>
                    <w14:schemeClr w14:val="tx1"/>
                  </w14:solidFill>
                </w14:textFill>
              </w:rPr>
            </w:pPr>
          </w:p>
        </w:tc>
        <w:tc>
          <w:tcPr>
            <w:tcW w:w="108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50A92">
            <w:pPr>
              <w:widowControl/>
              <w:snapToGrid w:val="0"/>
              <w:spacing w:line="240" w:lineRule="atLeast"/>
              <w:jc w:val="center"/>
              <w:rPr>
                <w:color w:val="000000" w:themeColor="text1"/>
                <w:szCs w:val="21"/>
                <w14:textFill>
                  <w14:solidFill>
                    <w14:schemeClr w14:val="tx1"/>
                  </w14:solidFill>
                </w14:textFill>
              </w:rPr>
            </w:pPr>
          </w:p>
        </w:tc>
        <w:tc>
          <w:tcPr>
            <w:tcW w:w="8236" w:type="dxa"/>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934E6C">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最近环境敏感目标  </w:t>
            </w:r>
            <w:r>
              <w:rPr>
                <w:rStyle w:val="43"/>
                <w:rFonts w:hint="default" w:ascii="Times New Roman" w:hAnsi="Times New Roman" w:cs="Times New Roman"/>
                <w:color w:val="000000" w:themeColor="text1"/>
                <w:sz w:val="21"/>
                <w:szCs w:val="21"/>
                <w:u w:val="none"/>
                <w:lang w:bidi="ar"/>
                <w14:textFill>
                  <w14:solidFill>
                    <w14:schemeClr w14:val="tx1"/>
                  </w14:solidFill>
                </w14:textFill>
              </w:rPr>
              <w:t>/</w:t>
            </w:r>
            <w:r>
              <w:rPr>
                <w:color w:val="000000" w:themeColor="text1"/>
                <w:kern w:val="0"/>
                <w:szCs w:val="21"/>
                <w:lang w:bidi="ar"/>
                <w14:textFill>
                  <w14:solidFill>
                    <w14:schemeClr w14:val="tx1"/>
                  </w14:solidFill>
                </w14:textFill>
              </w:rPr>
              <w:t xml:space="preserve">  ，达到时间 </w:t>
            </w:r>
            <w:r>
              <w:rPr>
                <w:rStyle w:val="43"/>
                <w:rFonts w:hint="default" w:ascii="Times New Roman" w:hAnsi="Times New Roman" w:cs="Times New Roman"/>
                <w:color w:val="000000" w:themeColor="text1"/>
                <w:sz w:val="21"/>
                <w:szCs w:val="21"/>
                <w:u w:val="none"/>
                <w:lang w:bidi="ar"/>
                <w14:textFill>
                  <w14:solidFill>
                    <w14:schemeClr w14:val="tx1"/>
                  </w14:solidFill>
                </w14:textFill>
              </w:rPr>
              <w:t>/</w:t>
            </w:r>
            <w:r>
              <w:rPr>
                <w:color w:val="000000" w:themeColor="text1"/>
                <w:kern w:val="0"/>
                <w:szCs w:val="21"/>
                <w:lang w:bidi="ar"/>
                <w14:textFill>
                  <w14:solidFill>
                    <w14:schemeClr w14:val="tx1"/>
                  </w14:solidFill>
                </w14:textFill>
              </w:rPr>
              <w:t xml:space="preserve"> h</w:t>
            </w:r>
          </w:p>
        </w:tc>
      </w:tr>
      <w:tr w14:paraId="545F4B2C">
        <w:tblPrEx>
          <w:tblCellMar>
            <w:top w:w="0" w:type="dxa"/>
            <w:left w:w="0" w:type="dxa"/>
            <w:bottom w:w="0" w:type="dxa"/>
            <w:right w:w="0" w:type="dxa"/>
          </w:tblCellMar>
        </w:tblPrEx>
        <w:trPr>
          <w:trHeight w:val="6101" w:hRule="atLeast"/>
        </w:trPr>
        <w:tc>
          <w:tcPr>
            <w:tcW w:w="200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E3C1A4">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重点风险防范措施</w:t>
            </w:r>
          </w:p>
        </w:tc>
        <w:tc>
          <w:tcPr>
            <w:tcW w:w="8236" w:type="dxa"/>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885CDC">
            <w:pPr>
              <w:widowControl/>
              <w:snapToGrid w:val="0"/>
              <w:spacing w:line="360" w:lineRule="auto"/>
              <w:ind w:firstLine="420" w:firstLineChars="200"/>
              <w:textAlignment w:val="center"/>
              <w:rPr>
                <w:color w:val="000000" w:themeColor="text1"/>
                <w:szCs w:val="21"/>
                <w14:textFill>
                  <w14:solidFill>
                    <w14:schemeClr w14:val="tx1"/>
                  </w14:solidFill>
                </w14:textFill>
              </w:rPr>
            </w:pPr>
            <w:r>
              <w:rPr>
                <w:color w:val="000000" w:themeColor="text1"/>
                <w14:textFill>
                  <w14:solidFill>
                    <w14:schemeClr w14:val="tx1"/>
                  </w14:solidFill>
                </w14:textFill>
              </w:rPr>
              <w:t>为了预防环境风险，本项目</w:t>
            </w:r>
            <w:r>
              <w:rPr>
                <w:rFonts w:hint="eastAsia"/>
                <w:color w:val="000000" w:themeColor="text1"/>
                <w14:textFill>
                  <w14:solidFill>
                    <w14:schemeClr w14:val="tx1"/>
                  </w14:solidFill>
                </w14:textFill>
              </w:rPr>
              <w:t>原料库、成品库、生产车间设置集水沟，危废暂存间设置围堰</w:t>
            </w:r>
            <w:r>
              <w:rPr>
                <w:color w:val="000000" w:themeColor="text1"/>
                <w14:textFill>
                  <w14:solidFill>
                    <w14:schemeClr w14:val="tx1"/>
                  </w14:solidFill>
                </w14:textFill>
              </w:rPr>
              <w:t>，厂区设置</w:t>
            </w:r>
            <w:r>
              <w:rPr>
                <w:rFonts w:hint="eastAsia"/>
                <w:color w:val="000000" w:themeColor="text1"/>
                <w14:textFill>
                  <w14:solidFill>
                    <w14:schemeClr w14:val="tx1"/>
                  </w14:solidFill>
                </w14:textFill>
              </w:rPr>
              <w:t>事故</w:t>
            </w:r>
            <w:r>
              <w:rPr>
                <w:color w:val="000000" w:themeColor="text1"/>
                <w14:textFill>
                  <w14:solidFill>
                    <w14:schemeClr w14:val="tx1"/>
                  </w14:solidFill>
                </w14:textFill>
              </w:rPr>
              <w:t>应急池（</w:t>
            </w:r>
            <w:r>
              <w:rPr>
                <w:rFonts w:hint="eastAsia"/>
                <w:color w:val="000000" w:themeColor="text1"/>
                <w14:textFill>
                  <w14:solidFill>
                    <w14:schemeClr w14:val="tx1"/>
                  </w14:solidFill>
                </w14:textFill>
              </w:rPr>
              <w:t>350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），雨水、废水排口设置闸阀（切换阀），形成三级风险防范措施，有效防止事故废水进入外部环境；生产区、</w:t>
            </w:r>
            <w:r>
              <w:rPr>
                <w:rFonts w:hint="eastAsia"/>
                <w:color w:val="000000" w:themeColor="text1"/>
                <w14:textFill>
                  <w14:solidFill>
                    <w14:schemeClr w14:val="tx1"/>
                  </w14:solidFill>
                </w14:textFill>
              </w:rPr>
              <w:t>贮存</w:t>
            </w:r>
            <w:r>
              <w:rPr>
                <w:color w:val="000000" w:themeColor="text1"/>
                <w14:textFill>
                  <w14:solidFill>
                    <w14:schemeClr w14:val="tx1"/>
                  </w14:solidFill>
                </w14:textFill>
              </w:rPr>
              <w:t>区采取源头控制和分区防渗措施，防止事故废水污染地下水环境；加强环境风险管理，</w:t>
            </w:r>
            <w:r>
              <w:rPr>
                <w:bCs/>
                <w:color w:val="000000" w:themeColor="text1"/>
                <w14:textFill>
                  <w14:solidFill>
                    <w14:schemeClr w14:val="tx1"/>
                  </w14:solidFill>
                </w14:textFill>
              </w:rPr>
              <w:t>设立环境风险监控及应急监测系统，储备环境应急资源，设置应急疏散通道及应急安置场所，编制突发环境事件应急预案，</w:t>
            </w:r>
            <w:r>
              <w:rPr>
                <w:color w:val="000000" w:themeColor="text1"/>
                <w14:textFill>
                  <w14:solidFill>
                    <w14:schemeClr w14:val="tx1"/>
                  </w14:solidFill>
                </w14:textFill>
              </w:rPr>
              <w:t>建立健全了项目环境风险防控体系。</w:t>
            </w:r>
          </w:p>
        </w:tc>
      </w:tr>
      <w:tr w14:paraId="5845C6F2">
        <w:tblPrEx>
          <w:tblCellMar>
            <w:top w:w="0" w:type="dxa"/>
            <w:left w:w="0" w:type="dxa"/>
            <w:bottom w:w="0" w:type="dxa"/>
            <w:right w:w="0" w:type="dxa"/>
          </w:tblCellMar>
        </w:tblPrEx>
        <w:trPr>
          <w:trHeight w:val="7388" w:hRule="atLeast"/>
        </w:trPr>
        <w:tc>
          <w:tcPr>
            <w:tcW w:w="200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D3BC5C">
            <w:pPr>
              <w:widowControl/>
              <w:snapToGrid w:val="0"/>
              <w:spacing w:line="240" w:lineRule="atLeas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评价结论与建议</w:t>
            </w:r>
          </w:p>
        </w:tc>
        <w:tc>
          <w:tcPr>
            <w:tcW w:w="8236" w:type="dxa"/>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E0C68">
            <w:pPr>
              <w:widowControl/>
              <w:snapToGrid w:val="0"/>
              <w:spacing w:line="360" w:lineRule="auto"/>
              <w:ind w:firstLine="420" w:firstLineChars="200"/>
              <w:jc w:val="left"/>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本项目涉及的危险物质主要为</w:t>
            </w:r>
            <w:r>
              <w:rPr>
                <w:rFonts w:hint="eastAsia"/>
                <w:color w:val="000000" w:themeColor="text1"/>
                <w:kern w:val="0"/>
                <w:szCs w:val="21"/>
                <w:lang w:bidi="ar"/>
                <w14:textFill>
                  <w14:solidFill>
                    <w14:schemeClr w14:val="tx1"/>
                  </w14:solidFill>
                </w14:textFill>
              </w:rPr>
              <w:t>硫酸铵</w:t>
            </w:r>
            <w:r>
              <w:rPr>
                <w:color w:val="000000" w:themeColor="text1"/>
                <w:kern w:val="0"/>
                <w:szCs w:val="21"/>
                <w:lang w:bidi="ar"/>
                <w14:textFill>
                  <w14:solidFill>
                    <w14:schemeClr w14:val="tx1"/>
                  </w14:solidFill>
                </w14:textFill>
              </w:rPr>
              <w:t>和废机油，危险单元为</w:t>
            </w:r>
            <w:r>
              <w:rPr>
                <w:rFonts w:hint="eastAsia"/>
                <w:color w:val="000000" w:themeColor="text1"/>
                <w:kern w:val="0"/>
                <w:szCs w:val="21"/>
                <w:lang w:bidi="ar"/>
                <w14:textFill>
                  <w14:solidFill>
                    <w14:schemeClr w14:val="tx1"/>
                  </w14:solidFill>
                </w14:textFill>
              </w:rPr>
              <w:t>原料库、成品库、生产车间、危废暂存间</w:t>
            </w:r>
            <w:r>
              <w:rPr>
                <w:color w:val="000000" w:themeColor="text1"/>
                <w:kern w:val="0"/>
                <w:szCs w:val="21"/>
                <w:lang w:bidi="ar"/>
                <w14:textFill>
                  <w14:solidFill>
                    <w14:schemeClr w14:val="tx1"/>
                  </w14:solidFill>
                </w14:textFill>
              </w:rPr>
              <w:t>。本项目在建设及运营过程中，需严格落实大气环境风险防范措施、事故废水环境风险防范措施、地下水环境风险防范措施等、设立风险监控及应急监测系统、储备应急资源、编制突发环境事件应急预案，同时按照应急管理、消防等有关要求切实落实安全生产、火灾爆炸防范措施。通过加强管理、采取风险防范措施、应急救援措施等环境管理措施后，本项目环境风险可防控。</w:t>
            </w:r>
          </w:p>
          <w:p w14:paraId="3E5EDCB4">
            <w:pPr>
              <w:widowControl/>
              <w:snapToGrid w:val="0"/>
              <w:spacing w:line="360" w:lineRule="auto"/>
              <w:ind w:firstLine="420" w:firstLineChars="200"/>
              <w:jc w:val="lef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建议本项目在设计、建设和运营过程中，严格按照国家、行业和地方法律法规和相关标准、规范的要求，建立、完善、落实环境风险防范措施；开展环境风险评估，储备环境应急资源，编制突发环境事件应急预案；建立健全环境风险防控和应急措施制度，建立健全定期巡检和维护责任制度，明确环境风险防控重点岗位责任机构；加强管理，定期开展环境风险和环境应急管理宣传培训和应急演练。</w:t>
            </w:r>
          </w:p>
        </w:tc>
      </w:tr>
    </w:tbl>
    <w:p w14:paraId="57F8BFDF">
      <w:pPr>
        <w:spacing w:line="360" w:lineRule="auto"/>
        <w:rPr>
          <w:color w:val="000000" w:themeColor="text1"/>
          <w:sz w:val="24"/>
          <w14:textFill>
            <w14:solidFill>
              <w14:schemeClr w14:val="tx1"/>
            </w14:solidFill>
          </w14:textFill>
        </w:rPr>
      </w:pPr>
    </w:p>
    <w:sectPr>
      <w:footerReference r:id="rId7" w:type="default"/>
      <w:pgSz w:w="11906" w:h="16838"/>
      <w:pgMar w:top="1440" w:right="850" w:bottom="1440" w:left="85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楷体_GB2312">
    <w:panose1 w:val="02010609030101010101"/>
    <w:charset w:val="86"/>
    <w:family w:val="auto"/>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F793B">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25DD3">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D638F">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1AC7A8">
                          <w:pPr>
                            <w:pStyle w:val="16"/>
                            <w:rPr>
                              <w:rStyle w:val="27"/>
                            </w:rPr>
                          </w:pPr>
                          <w:r>
                            <w:fldChar w:fldCharType="begin"/>
                          </w:r>
                          <w:r>
                            <w:rPr>
                              <w:rStyle w:val="27"/>
                            </w:rPr>
                            <w:instrText xml:space="preserve">PAGE  </w:instrText>
                          </w:r>
                          <w:r>
                            <w:fldChar w:fldCharType="separate"/>
                          </w:r>
                          <w:r>
                            <w:rPr>
                              <w:rStyle w:val="27"/>
                            </w:rP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3A1AC7A8">
                    <w:pPr>
                      <w:pStyle w:val="16"/>
                      <w:rPr>
                        <w:rStyle w:val="27"/>
                      </w:rPr>
                    </w:pPr>
                    <w:r>
                      <w:fldChar w:fldCharType="begin"/>
                    </w:r>
                    <w:r>
                      <w:rPr>
                        <w:rStyle w:val="27"/>
                      </w:rPr>
                      <w:instrText xml:space="preserve">PAGE  </w:instrText>
                    </w:r>
                    <w:r>
                      <w:fldChar w:fldCharType="separate"/>
                    </w:r>
                    <w:r>
                      <w:rPr>
                        <w:rStyle w:val="27"/>
                      </w:rPr>
                      <w:t>38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FE7AB">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2C9C5">
    <w:pPr>
      <w:pStyle w:val="1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3NDcwMWE5YzgwOWM3MDA5NzY4MGRhODc2NWI3NTMifQ=="/>
  </w:docVars>
  <w:rsids>
    <w:rsidRoot w:val="006C58F3"/>
    <w:rsid w:val="00000114"/>
    <w:rsid w:val="000013FD"/>
    <w:rsid w:val="0000164C"/>
    <w:rsid w:val="00001AF7"/>
    <w:rsid w:val="00001C1B"/>
    <w:rsid w:val="0000326C"/>
    <w:rsid w:val="00003D86"/>
    <w:rsid w:val="0000513F"/>
    <w:rsid w:val="00005426"/>
    <w:rsid w:val="00005590"/>
    <w:rsid w:val="00006661"/>
    <w:rsid w:val="00007DAD"/>
    <w:rsid w:val="00010C34"/>
    <w:rsid w:val="000128FB"/>
    <w:rsid w:val="000148E1"/>
    <w:rsid w:val="00016432"/>
    <w:rsid w:val="00017692"/>
    <w:rsid w:val="0002065C"/>
    <w:rsid w:val="00021A65"/>
    <w:rsid w:val="00021B38"/>
    <w:rsid w:val="00023386"/>
    <w:rsid w:val="000234C0"/>
    <w:rsid w:val="0002434C"/>
    <w:rsid w:val="0002481D"/>
    <w:rsid w:val="00025198"/>
    <w:rsid w:val="00026D17"/>
    <w:rsid w:val="000278F5"/>
    <w:rsid w:val="00030655"/>
    <w:rsid w:val="00030660"/>
    <w:rsid w:val="000316DD"/>
    <w:rsid w:val="00033138"/>
    <w:rsid w:val="00035A0A"/>
    <w:rsid w:val="0004095E"/>
    <w:rsid w:val="00050932"/>
    <w:rsid w:val="00053C05"/>
    <w:rsid w:val="00055BB1"/>
    <w:rsid w:val="00056DE0"/>
    <w:rsid w:val="0006414D"/>
    <w:rsid w:val="00065517"/>
    <w:rsid w:val="000656F5"/>
    <w:rsid w:val="000658E3"/>
    <w:rsid w:val="000663E9"/>
    <w:rsid w:val="00066BB3"/>
    <w:rsid w:val="0006774F"/>
    <w:rsid w:val="00070CCE"/>
    <w:rsid w:val="00071D03"/>
    <w:rsid w:val="00075CA2"/>
    <w:rsid w:val="00077323"/>
    <w:rsid w:val="0007766F"/>
    <w:rsid w:val="00081D9F"/>
    <w:rsid w:val="00084328"/>
    <w:rsid w:val="0008492F"/>
    <w:rsid w:val="00086A07"/>
    <w:rsid w:val="00086B3A"/>
    <w:rsid w:val="0008712B"/>
    <w:rsid w:val="000A2220"/>
    <w:rsid w:val="000A4E55"/>
    <w:rsid w:val="000A5841"/>
    <w:rsid w:val="000A66B3"/>
    <w:rsid w:val="000A6FBC"/>
    <w:rsid w:val="000B02FB"/>
    <w:rsid w:val="000B0FD4"/>
    <w:rsid w:val="000B2AAA"/>
    <w:rsid w:val="000B5F9C"/>
    <w:rsid w:val="000B680C"/>
    <w:rsid w:val="000C1E51"/>
    <w:rsid w:val="000C208F"/>
    <w:rsid w:val="000C5B11"/>
    <w:rsid w:val="000C61BC"/>
    <w:rsid w:val="000C6524"/>
    <w:rsid w:val="000C7B19"/>
    <w:rsid w:val="000D3B3B"/>
    <w:rsid w:val="000E06E0"/>
    <w:rsid w:val="000E1D95"/>
    <w:rsid w:val="000E2A7B"/>
    <w:rsid w:val="000E505B"/>
    <w:rsid w:val="000E579E"/>
    <w:rsid w:val="000E7444"/>
    <w:rsid w:val="000F5222"/>
    <w:rsid w:val="000F53E9"/>
    <w:rsid w:val="000F58BA"/>
    <w:rsid w:val="000F726C"/>
    <w:rsid w:val="000F7ACE"/>
    <w:rsid w:val="00100514"/>
    <w:rsid w:val="00100C2C"/>
    <w:rsid w:val="0010325A"/>
    <w:rsid w:val="0010386E"/>
    <w:rsid w:val="00103FF7"/>
    <w:rsid w:val="00105D8A"/>
    <w:rsid w:val="001067DA"/>
    <w:rsid w:val="00106A57"/>
    <w:rsid w:val="00106CA2"/>
    <w:rsid w:val="00107C0B"/>
    <w:rsid w:val="00107D9B"/>
    <w:rsid w:val="001113AA"/>
    <w:rsid w:val="00111EE7"/>
    <w:rsid w:val="0011440A"/>
    <w:rsid w:val="00115051"/>
    <w:rsid w:val="001153D4"/>
    <w:rsid w:val="00120233"/>
    <w:rsid w:val="0012121C"/>
    <w:rsid w:val="00122AF1"/>
    <w:rsid w:val="00125824"/>
    <w:rsid w:val="001258DF"/>
    <w:rsid w:val="0013510B"/>
    <w:rsid w:val="001369A7"/>
    <w:rsid w:val="00141172"/>
    <w:rsid w:val="00141BF6"/>
    <w:rsid w:val="001422B5"/>
    <w:rsid w:val="001436CB"/>
    <w:rsid w:val="00144110"/>
    <w:rsid w:val="001465AD"/>
    <w:rsid w:val="00150368"/>
    <w:rsid w:val="00150CDF"/>
    <w:rsid w:val="001511CE"/>
    <w:rsid w:val="00151AAD"/>
    <w:rsid w:val="001532EF"/>
    <w:rsid w:val="00154477"/>
    <w:rsid w:val="0015774E"/>
    <w:rsid w:val="00162048"/>
    <w:rsid w:val="00162927"/>
    <w:rsid w:val="0016352C"/>
    <w:rsid w:val="00163688"/>
    <w:rsid w:val="00166E0C"/>
    <w:rsid w:val="0017053F"/>
    <w:rsid w:val="00172538"/>
    <w:rsid w:val="001748EE"/>
    <w:rsid w:val="001752C0"/>
    <w:rsid w:val="00175D97"/>
    <w:rsid w:val="00180706"/>
    <w:rsid w:val="001878B9"/>
    <w:rsid w:val="00187AB3"/>
    <w:rsid w:val="00190169"/>
    <w:rsid w:val="00191110"/>
    <w:rsid w:val="00191EC9"/>
    <w:rsid w:val="00192A16"/>
    <w:rsid w:val="00193686"/>
    <w:rsid w:val="001968DE"/>
    <w:rsid w:val="001A1240"/>
    <w:rsid w:val="001A21FB"/>
    <w:rsid w:val="001A7597"/>
    <w:rsid w:val="001A7C99"/>
    <w:rsid w:val="001B0101"/>
    <w:rsid w:val="001B02FF"/>
    <w:rsid w:val="001B4F53"/>
    <w:rsid w:val="001B5CA7"/>
    <w:rsid w:val="001B6739"/>
    <w:rsid w:val="001B751E"/>
    <w:rsid w:val="001B7931"/>
    <w:rsid w:val="001C0EB2"/>
    <w:rsid w:val="001C1634"/>
    <w:rsid w:val="001C1735"/>
    <w:rsid w:val="001C1828"/>
    <w:rsid w:val="001C1C93"/>
    <w:rsid w:val="001C1D18"/>
    <w:rsid w:val="001C2CD1"/>
    <w:rsid w:val="001C4A81"/>
    <w:rsid w:val="001C710F"/>
    <w:rsid w:val="001D1228"/>
    <w:rsid w:val="001D3C59"/>
    <w:rsid w:val="001D44C0"/>
    <w:rsid w:val="001D55E0"/>
    <w:rsid w:val="001D5B8C"/>
    <w:rsid w:val="001D5C8B"/>
    <w:rsid w:val="001D6F47"/>
    <w:rsid w:val="001E00EB"/>
    <w:rsid w:val="001E250B"/>
    <w:rsid w:val="001E2F1A"/>
    <w:rsid w:val="001E3AB9"/>
    <w:rsid w:val="001F166E"/>
    <w:rsid w:val="001F18F1"/>
    <w:rsid w:val="001F20D5"/>
    <w:rsid w:val="001F21F1"/>
    <w:rsid w:val="001F7E70"/>
    <w:rsid w:val="002016EF"/>
    <w:rsid w:val="0020305F"/>
    <w:rsid w:val="0020345E"/>
    <w:rsid w:val="002034D6"/>
    <w:rsid w:val="0020436C"/>
    <w:rsid w:val="002074E9"/>
    <w:rsid w:val="002114A8"/>
    <w:rsid w:val="002124D3"/>
    <w:rsid w:val="00212C0B"/>
    <w:rsid w:val="00212C56"/>
    <w:rsid w:val="00214D30"/>
    <w:rsid w:val="002154F9"/>
    <w:rsid w:val="0021630E"/>
    <w:rsid w:val="0021675F"/>
    <w:rsid w:val="00217102"/>
    <w:rsid w:val="002205A3"/>
    <w:rsid w:val="002207C5"/>
    <w:rsid w:val="00223F73"/>
    <w:rsid w:val="00224B18"/>
    <w:rsid w:val="00225DB4"/>
    <w:rsid w:val="00227836"/>
    <w:rsid w:val="00227FF4"/>
    <w:rsid w:val="0023081B"/>
    <w:rsid w:val="002324C8"/>
    <w:rsid w:val="00234ACB"/>
    <w:rsid w:val="0023517E"/>
    <w:rsid w:val="0023544A"/>
    <w:rsid w:val="00235558"/>
    <w:rsid w:val="002375C9"/>
    <w:rsid w:val="00237C3A"/>
    <w:rsid w:val="002409B8"/>
    <w:rsid w:val="0024177B"/>
    <w:rsid w:val="00241F86"/>
    <w:rsid w:val="002429AD"/>
    <w:rsid w:val="00244CD2"/>
    <w:rsid w:val="002450F3"/>
    <w:rsid w:val="00250247"/>
    <w:rsid w:val="00250513"/>
    <w:rsid w:val="0025071C"/>
    <w:rsid w:val="0025089D"/>
    <w:rsid w:val="002509B1"/>
    <w:rsid w:val="00250CE1"/>
    <w:rsid w:val="00252051"/>
    <w:rsid w:val="00252EDB"/>
    <w:rsid w:val="002542C5"/>
    <w:rsid w:val="002555AE"/>
    <w:rsid w:val="002557CB"/>
    <w:rsid w:val="00255D60"/>
    <w:rsid w:val="00257257"/>
    <w:rsid w:val="00257AC7"/>
    <w:rsid w:val="00260E0B"/>
    <w:rsid w:val="0026153F"/>
    <w:rsid w:val="00262A33"/>
    <w:rsid w:val="00262C7E"/>
    <w:rsid w:val="002633E0"/>
    <w:rsid w:val="00265822"/>
    <w:rsid w:val="00270F62"/>
    <w:rsid w:val="0027139D"/>
    <w:rsid w:val="00272676"/>
    <w:rsid w:val="002732DF"/>
    <w:rsid w:val="00277EEC"/>
    <w:rsid w:val="002811C6"/>
    <w:rsid w:val="0028158C"/>
    <w:rsid w:val="00281C5D"/>
    <w:rsid w:val="002915A9"/>
    <w:rsid w:val="002974F7"/>
    <w:rsid w:val="002A08A5"/>
    <w:rsid w:val="002A15A0"/>
    <w:rsid w:val="002A2CEC"/>
    <w:rsid w:val="002A3E73"/>
    <w:rsid w:val="002A6698"/>
    <w:rsid w:val="002A6AD1"/>
    <w:rsid w:val="002A721D"/>
    <w:rsid w:val="002A7A65"/>
    <w:rsid w:val="002B1C42"/>
    <w:rsid w:val="002B4604"/>
    <w:rsid w:val="002C0B56"/>
    <w:rsid w:val="002C2032"/>
    <w:rsid w:val="002C2DFC"/>
    <w:rsid w:val="002C39B4"/>
    <w:rsid w:val="002C4802"/>
    <w:rsid w:val="002C7540"/>
    <w:rsid w:val="002D17DD"/>
    <w:rsid w:val="002D4FE6"/>
    <w:rsid w:val="002D6735"/>
    <w:rsid w:val="002D71D7"/>
    <w:rsid w:val="002E03B2"/>
    <w:rsid w:val="002E41CB"/>
    <w:rsid w:val="002E49F0"/>
    <w:rsid w:val="002E5C3A"/>
    <w:rsid w:val="002E5E1B"/>
    <w:rsid w:val="002F2EC0"/>
    <w:rsid w:val="002F5B3A"/>
    <w:rsid w:val="002F6BCA"/>
    <w:rsid w:val="0030046F"/>
    <w:rsid w:val="00300A1F"/>
    <w:rsid w:val="00300E6B"/>
    <w:rsid w:val="00301FC3"/>
    <w:rsid w:val="003026DA"/>
    <w:rsid w:val="003043A1"/>
    <w:rsid w:val="00306363"/>
    <w:rsid w:val="003077FA"/>
    <w:rsid w:val="00307978"/>
    <w:rsid w:val="00310CAE"/>
    <w:rsid w:val="00310D2F"/>
    <w:rsid w:val="00311362"/>
    <w:rsid w:val="00312A55"/>
    <w:rsid w:val="00314CFE"/>
    <w:rsid w:val="003170F9"/>
    <w:rsid w:val="00317985"/>
    <w:rsid w:val="003217B3"/>
    <w:rsid w:val="00322F26"/>
    <w:rsid w:val="00323253"/>
    <w:rsid w:val="00325145"/>
    <w:rsid w:val="003312B6"/>
    <w:rsid w:val="00331749"/>
    <w:rsid w:val="00335525"/>
    <w:rsid w:val="00335ADB"/>
    <w:rsid w:val="00342D80"/>
    <w:rsid w:val="00343F33"/>
    <w:rsid w:val="00344611"/>
    <w:rsid w:val="00344F73"/>
    <w:rsid w:val="00345EA4"/>
    <w:rsid w:val="00346FEF"/>
    <w:rsid w:val="003509C3"/>
    <w:rsid w:val="00355866"/>
    <w:rsid w:val="003561A1"/>
    <w:rsid w:val="003567C4"/>
    <w:rsid w:val="003613D5"/>
    <w:rsid w:val="00361BF9"/>
    <w:rsid w:val="003675FA"/>
    <w:rsid w:val="00367BE3"/>
    <w:rsid w:val="00370E2D"/>
    <w:rsid w:val="00371910"/>
    <w:rsid w:val="00371B33"/>
    <w:rsid w:val="00372801"/>
    <w:rsid w:val="0037294C"/>
    <w:rsid w:val="003729A3"/>
    <w:rsid w:val="00372ED4"/>
    <w:rsid w:val="003732F3"/>
    <w:rsid w:val="00375AF3"/>
    <w:rsid w:val="00376796"/>
    <w:rsid w:val="00376ADD"/>
    <w:rsid w:val="003772A9"/>
    <w:rsid w:val="00377A40"/>
    <w:rsid w:val="00380A74"/>
    <w:rsid w:val="00380B03"/>
    <w:rsid w:val="00381EDD"/>
    <w:rsid w:val="003822E0"/>
    <w:rsid w:val="003900F2"/>
    <w:rsid w:val="003954AA"/>
    <w:rsid w:val="003A17CA"/>
    <w:rsid w:val="003A378F"/>
    <w:rsid w:val="003A4260"/>
    <w:rsid w:val="003A716D"/>
    <w:rsid w:val="003B5598"/>
    <w:rsid w:val="003B6921"/>
    <w:rsid w:val="003B6F4A"/>
    <w:rsid w:val="003B7A67"/>
    <w:rsid w:val="003C0D19"/>
    <w:rsid w:val="003C13A4"/>
    <w:rsid w:val="003C19F5"/>
    <w:rsid w:val="003C257F"/>
    <w:rsid w:val="003C2C1E"/>
    <w:rsid w:val="003C3642"/>
    <w:rsid w:val="003C618E"/>
    <w:rsid w:val="003D00DB"/>
    <w:rsid w:val="003D13C2"/>
    <w:rsid w:val="003D14E0"/>
    <w:rsid w:val="003D2815"/>
    <w:rsid w:val="003D31B9"/>
    <w:rsid w:val="003D4DAD"/>
    <w:rsid w:val="003D5544"/>
    <w:rsid w:val="003D7315"/>
    <w:rsid w:val="003D7346"/>
    <w:rsid w:val="003E26A9"/>
    <w:rsid w:val="003E2EC7"/>
    <w:rsid w:val="003E4A4B"/>
    <w:rsid w:val="003E708D"/>
    <w:rsid w:val="003F01E4"/>
    <w:rsid w:val="003F09AD"/>
    <w:rsid w:val="003F1B12"/>
    <w:rsid w:val="003F552C"/>
    <w:rsid w:val="003F59BD"/>
    <w:rsid w:val="003F5A1E"/>
    <w:rsid w:val="003F64A0"/>
    <w:rsid w:val="003F7C04"/>
    <w:rsid w:val="00400912"/>
    <w:rsid w:val="004010EE"/>
    <w:rsid w:val="004066CF"/>
    <w:rsid w:val="004069C8"/>
    <w:rsid w:val="004079AB"/>
    <w:rsid w:val="00410791"/>
    <w:rsid w:val="004123D2"/>
    <w:rsid w:val="00414C49"/>
    <w:rsid w:val="004168F9"/>
    <w:rsid w:val="00416C63"/>
    <w:rsid w:val="004178A1"/>
    <w:rsid w:val="00417A5B"/>
    <w:rsid w:val="00420B04"/>
    <w:rsid w:val="00422DAE"/>
    <w:rsid w:val="00425E07"/>
    <w:rsid w:val="00430635"/>
    <w:rsid w:val="00431849"/>
    <w:rsid w:val="00432875"/>
    <w:rsid w:val="00433E10"/>
    <w:rsid w:val="00434C90"/>
    <w:rsid w:val="00435DC4"/>
    <w:rsid w:val="00436892"/>
    <w:rsid w:val="00444A78"/>
    <w:rsid w:val="0045097C"/>
    <w:rsid w:val="00452201"/>
    <w:rsid w:val="004543BE"/>
    <w:rsid w:val="00454EEA"/>
    <w:rsid w:val="0045760F"/>
    <w:rsid w:val="004609B2"/>
    <w:rsid w:val="00462CA7"/>
    <w:rsid w:val="00463984"/>
    <w:rsid w:val="00467B0D"/>
    <w:rsid w:val="00472204"/>
    <w:rsid w:val="00473509"/>
    <w:rsid w:val="0047446D"/>
    <w:rsid w:val="00475C55"/>
    <w:rsid w:val="004763C7"/>
    <w:rsid w:val="00480AE2"/>
    <w:rsid w:val="0048513C"/>
    <w:rsid w:val="004856BD"/>
    <w:rsid w:val="00485D93"/>
    <w:rsid w:val="00490C51"/>
    <w:rsid w:val="00492111"/>
    <w:rsid w:val="00492718"/>
    <w:rsid w:val="00493BCD"/>
    <w:rsid w:val="00494B60"/>
    <w:rsid w:val="00496045"/>
    <w:rsid w:val="004A5597"/>
    <w:rsid w:val="004A633B"/>
    <w:rsid w:val="004A7E5F"/>
    <w:rsid w:val="004B0A5F"/>
    <w:rsid w:val="004B0B45"/>
    <w:rsid w:val="004B16B1"/>
    <w:rsid w:val="004B51C0"/>
    <w:rsid w:val="004B5C06"/>
    <w:rsid w:val="004B602F"/>
    <w:rsid w:val="004B61C2"/>
    <w:rsid w:val="004B6F3A"/>
    <w:rsid w:val="004C0ECF"/>
    <w:rsid w:val="004C17AA"/>
    <w:rsid w:val="004C1850"/>
    <w:rsid w:val="004C3894"/>
    <w:rsid w:val="004C69D4"/>
    <w:rsid w:val="004D016A"/>
    <w:rsid w:val="004D03D7"/>
    <w:rsid w:val="004D059A"/>
    <w:rsid w:val="004D0F3A"/>
    <w:rsid w:val="004D1749"/>
    <w:rsid w:val="004D1D84"/>
    <w:rsid w:val="004D24E7"/>
    <w:rsid w:val="004D3B1F"/>
    <w:rsid w:val="004D4581"/>
    <w:rsid w:val="004D49BD"/>
    <w:rsid w:val="004D597D"/>
    <w:rsid w:val="004E315F"/>
    <w:rsid w:val="004E3E87"/>
    <w:rsid w:val="004E6099"/>
    <w:rsid w:val="004F0D2E"/>
    <w:rsid w:val="004F2535"/>
    <w:rsid w:val="004F263C"/>
    <w:rsid w:val="004F2757"/>
    <w:rsid w:val="004F5865"/>
    <w:rsid w:val="004F5EBF"/>
    <w:rsid w:val="00500706"/>
    <w:rsid w:val="0050073B"/>
    <w:rsid w:val="00500947"/>
    <w:rsid w:val="005022DA"/>
    <w:rsid w:val="005043C0"/>
    <w:rsid w:val="0050542B"/>
    <w:rsid w:val="00507C16"/>
    <w:rsid w:val="00507D59"/>
    <w:rsid w:val="005112A9"/>
    <w:rsid w:val="0051190B"/>
    <w:rsid w:val="0051220C"/>
    <w:rsid w:val="00513607"/>
    <w:rsid w:val="00513AF0"/>
    <w:rsid w:val="00516994"/>
    <w:rsid w:val="00520404"/>
    <w:rsid w:val="00521BC7"/>
    <w:rsid w:val="00525676"/>
    <w:rsid w:val="005269BF"/>
    <w:rsid w:val="00526A19"/>
    <w:rsid w:val="00526F93"/>
    <w:rsid w:val="005302FF"/>
    <w:rsid w:val="005303CA"/>
    <w:rsid w:val="00530420"/>
    <w:rsid w:val="0053204C"/>
    <w:rsid w:val="00535F6E"/>
    <w:rsid w:val="00537972"/>
    <w:rsid w:val="00540EA2"/>
    <w:rsid w:val="005458AF"/>
    <w:rsid w:val="00545C01"/>
    <w:rsid w:val="005475E2"/>
    <w:rsid w:val="00547D8B"/>
    <w:rsid w:val="00552CAA"/>
    <w:rsid w:val="0055386A"/>
    <w:rsid w:val="00554352"/>
    <w:rsid w:val="0055482C"/>
    <w:rsid w:val="00555232"/>
    <w:rsid w:val="00555389"/>
    <w:rsid w:val="005559AC"/>
    <w:rsid w:val="00557711"/>
    <w:rsid w:val="0056351B"/>
    <w:rsid w:val="00563CC3"/>
    <w:rsid w:val="00563FC9"/>
    <w:rsid w:val="00564DB9"/>
    <w:rsid w:val="00565064"/>
    <w:rsid w:val="00566C04"/>
    <w:rsid w:val="00567B51"/>
    <w:rsid w:val="0057236D"/>
    <w:rsid w:val="00572851"/>
    <w:rsid w:val="00572987"/>
    <w:rsid w:val="0057303B"/>
    <w:rsid w:val="005738D2"/>
    <w:rsid w:val="00573BC1"/>
    <w:rsid w:val="00576684"/>
    <w:rsid w:val="00576C4D"/>
    <w:rsid w:val="0057774E"/>
    <w:rsid w:val="00581026"/>
    <w:rsid w:val="00583ADF"/>
    <w:rsid w:val="00585F75"/>
    <w:rsid w:val="00585F9E"/>
    <w:rsid w:val="00591918"/>
    <w:rsid w:val="00592091"/>
    <w:rsid w:val="00592AEF"/>
    <w:rsid w:val="005940C2"/>
    <w:rsid w:val="00594115"/>
    <w:rsid w:val="00595410"/>
    <w:rsid w:val="00595933"/>
    <w:rsid w:val="005A2BFD"/>
    <w:rsid w:val="005A350F"/>
    <w:rsid w:val="005A7315"/>
    <w:rsid w:val="005A74CC"/>
    <w:rsid w:val="005B1550"/>
    <w:rsid w:val="005B15D9"/>
    <w:rsid w:val="005B160C"/>
    <w:rsid w:val="005B2348"/>
    <w:rsid w:val="005B3C23"/>
    <w:rsid w:val="005B4371"/>
    <w:rsid w:val="005B5ECD"/>
    <w:rsid w:val="005B784F"/>
    <w:rsid w:val="005C14E4"/>
    <w:rsid w:val="005C2ED1"/>
    <w:rsid w:val="005C75F9"/>
    <w:rsid w:val="005D008C"/>
    <w:rsid w:val="005D0680"/>
    <w:rsid w:val="005D125B"/>
    <w:rsid w:val="005D362E"/>
    <w:rsid w:val="005D4B26"/>
    <w:rsid w:val="005E19B5"/>
    <w:rsid w:val="005E2012"/>
    <w:rsid w:val="005E29D2"/>
    <w:rsid w:val="005E2A9B"/>
    <w:rsid w:val="005E389D"/>
    <w:rsid w:val="005E42EC"/>
    <w:rsid w:val="005E4E65"/>
    <w:rsid w:val="005E54A8"/>
    <w:rsid w:val="005E6FFB"/>
    <w:rsid w:val="005F43B5"/>
    <w:rsid w:val="005F4859"/>
    <w:rsid w:val="005F59C3"/>
    <w:rsid w:val="005F6B13"/>
    <w:rsid w:val="00601CFC"/>
    <w:rsid w:val="00603EA7"/>
    <w:rsid w:val="00610D88"/>
    <w:rsid w:val="0061288D"/>
    <w:rsid w:val="006152FB"/>
    <w:rsid w:val="006155E2"/>
    <w:rsid w:val="00616005"/>
    <w:rsid w:val="006174E2"/>
    <w:rsid w:val="00617E77"/>
    <w:rsid w:val="006204F6"/>
    <w:rsid w:val="00620ECE"/>
    <w:rsid w:val="00622601"/>
    <w:rsid w:val="00623C86"/>
    <w:rsid w:val="0063045B"/>
    <w:rsid w:val="00630BDA"/>
    <w:rsid w:val="00632BBC"/>
    <w:rsid w:val="00632EE8"/>
    <w:rsid w:val="00634C0C"/>
    <w:rsid w:val="0063764E"/>
    <w:rsid w:val="00640279"/>
    <w:rsid w:val="0064116E"/>
    <w:rsid w:val="0064127B"/>
    <w:rsid w:val="0064292D"/>
    <w:rsid w:val="00643EEC"/>
    <w:rsid w:val="00645C2F"/>
    <w:rsid w:val="00647B74"/>
    <w:rsid w:val="00651DA8"/>
    <w:rsid w:val="00653473"/>
    <w:rsid w:val="00655749"/>
    <w:rsid w:val="006641E8"/>
    <w:rsid w:val="00664565"/>
    <w:rsid w:val="0066560F"/>
    <w:rsid w:val="00665B55"/>
    <w:rsid w:val="00665C14"/>
    <w:rsid w:val="00666AEA"/>
    <w:rsid w:val="00670A07"/>
    <w:rsid w:val="00670A0C"/>
    <w:rsid w:val="00671A2D"/>
    <w:rsid w:val="00673D68"/>
    <w:rsid w:val="00673F91"/>
    <w:rsid w:val="006743BE"/>
    <w:rsid w:val="00675305"/>
    <w:rsid w:val="006768EE"/>
    <w:rsid w:val="00676B7C"/>
    <w:rsid w:val="00681FC5"/>
    <w:rsid w:val="006820D9"/>
    <w:rsid w:val="00684F2B"/>
    <w:rsid w:val="006865C9"/>
    <w:rsid w:val="006900FC"/>
    <w:rsid w:val="00690112"/>
    <w:rsid w:val="00695FFB"/>
    <w:rsid w:val="00696B83"/>
    <w:rsid w:val="00696C87"/>
    <w:rsid w:val="0069715A"/>
    <w:rsid w:val="006A062F"/>
    <w:rsid w:val="006A17E3"/>
    <w:rsid w:val="006A2F13"/>
    <w:rsid w:val="006A3D43"/>
    <w:rsid w:val="006A3D97"/>
    <w:rsid w:val="006A4F8E"/>
    <w:rsid w:val="006A5298"/>
    <w:rsid w:val="006A7480"/>
    <w:rsid w:val="006A7A09"/>
    <w:rsid w:val="006A7FCA"/>
    <w:rsid w:val="006B0529"/>
    <w:rsid w:val="006B05CB"/>
    <w:rsid w:val="006B1C62"/>
    <w:rsid w:val="006B34F3"/>
    <w:rsid w:val="006B4B39"/>
    <w:rsid w:val="006B5378"/>
    <w:rsid w:val="006B643F"/>
    <w:rsid w:val="006C06D8"/>
    <w:rsid w:val="006C087D"/>
    <w:rsid w:val="006C0AD6"/>
    <w:rsid w:val="006C3591"/>
    <w:rsid w:val="006C58F3"/>
    <w:rsid w:val="006C60D5"/>
    <w:rsid w:val="006C6CD9"/>
    <w:rsid w:val="006C787A"/>
    <w:rsid w:val="006D0D0E"/>
    <w:rsid w:val="006D1736"/>
    <w:rsid w:val="006D1F8A"/>
    <w:rsid w:val="006D4842"/>
    <w:rsid w:val="006D51A9"/>
    <w:rsid w:val="006D5DE8"/>
    <w:rsid w:val="006D683D"/>
    <w:rsid w:val="006D7175"/>
    <w:rsid w:val="006E078D"/>
    <w:rsid w:val="006E251E"/>
    <w:rsid w:val="006E2A1F"/>
    <w:rsid w:val="006E2EBA"/>
    <w:rsid w:val="006E3B44"/>
    <w:rsid w:val="006E42B1"/>
    <w:rsid w:val="006E5F93"/>
    <w:rsid w:val="006E758C"/>
    <w:rsid w:val="006F0C56"/>
    <w:rsid w:val="006F1426"/>
    <w:rsid w:val="006F164B"/>
    <w:rsid w:val="006F24E5"/>
    <w:rsid w:val="006F4333"/>
    <w:rsid w:val="006F51BC"/>
    <w:rsid w:val="006F53A5"/>
    <w:rsid w:val="006F620C"/>
    <w:rsid w:val="006F7E9A"/>
    <w:rsid w:val="0070015C"/>
    <w:rsid w:val="00702733"/>
    <w:rsid w:val="00702F85"/>
    <w:rsid w:val="00703BA2"/>
    <w:rsid w:val="00704B52"/>
    <w:rsid w:val="00704F4E"/>
    <w:rsid w:val="00707056"/>
    <w:rsid w:val="007070B4"/>
    <w:rsid w:val="007123F7"/>
    <w:rsid w:val="00715EDB"/>
    <w:rsid w:val="00716217"/>
    <w:rsid w:val="00717864"/>
    <w:rsid w:val="007205AE"/>
    <w:rsid w:val="00720C3C"/>
    <w:rsid w:val="0072266E"/>
    <w:rsid w:val="00722944"/>
    <w:rsid w:val="00722B51"/>
    <w:rsid w:val="007237F4"/>
    <w:rsid w:val="00723BC5"/>
    <w:rsid w:val="00724332"/>
    <w:rsid w:val="00733B13"/>
    <w:rsid w:val="00734EE9"/>
    <w:rsid w:val="007352D2"/>
    <w:rsid w:val="007357EA"/>
    <w:rsid w:val="00735954"/>
    <w:rsid w:val="00736C61"/>
    <w:rsid w:val="0074314D"/>
    <w:rsid w:val="00743606"/>
    <w:rsid w:val="00745076"/>
    <w:rsid w:val="0074641F"/>
    <w:rsid w:val="007519B8"/>
    <w:rsid w:val="0075245D"/>
    <w:rsid w:val="0075292F"/>
    <w:rsid w:val="00753522"/>
    <w:rsid w:val="007548D6"/>
    <w:rsid w:val="007555A3"/>
    <w:rsid w:val="00756187"/>
    <w:rsid w:val="00761B98"/>
    <w:rsid w:val="00763A9D"/>
    <w:rsid w:val="00765901"/>
    <w:rsid w:val="00767F48"/>
    <w:rsid w:val="00770E45"/>
    <w:rsid w:val="007735E5"/>
    <w:rsid w:val="00775CA8"/>
    <w:rsid w:val="0077761F"/>
    <w:rsid w:val="00777DCB"/>
    <w:rsid w:val="00780AFB"/>
    <w:rsid w:val="00780DF6"/>
    <w:rsid w:val="00781D30"/>
    <w:rsid w:val="007826F3"/>
    <w:rsid w:val="00782A95"/>
    <w:rsid w:val="0078388B"/>
    <w:rsid w:val="00785482"/>
    <w:rsid w:val="007906A5"/>
    <w:rsid w:val="007916FA"/>
    <w:rsid w:val="00791D6D"/>
    <w:rsid w:val="007942E8"/>
    <w:rsid w:val="007A2EA5"/>
    <w:rsid w:val="007A3F7F"/>
    <w:rsid w:val="007A47AF"/>
    <w:rsid w:val="007A5124"/>
    <w:rsid w:val="007A5764"/>
    <w:rsid w:val="007A66E1"/>
    <w:rsid w:val="007A6843"/>
    <w:rsid w:val="007A6DE3"/>
    <w:rsid w:val="007B064F"/>
    <w:rsid w:val="007B4E2B"/>
    <w:rsid w:val="007B4F4F"/>
    <w:rsid w:val="007B60E6"/>
    <w:rsid w:val="007C07D9"/>
    <w:rsid w:val="007C0A04"/>
    <w:rsid w:val="007C0BFB"/>
    <w:rsid w:val="007C24A7"/>
    <w:rsid w:val="007C29C3"/>
    <w:rsid w:val="007C3155"/>
    <w:rsid w:val="007C4213"/>
    <w:rsid w:val="007D30CB"/>
    <w:rsid w:val="007D3DA5"/>
    <w:rsid w:val="007D5523"/>
    <w:rsid w:val="007D72B0"/>
    <w:rsid w:val="007E0B14"/>
    <w:rsid w:val="007E2BFD"/>
    <w:rsid w:val="007E2DD0"/>
    <w:rsid w:val="007E318B"/>
    <w:rsid w:val="007E3ACC"/>
    <w:rsid w:val="007E3AD9"/>
    <w:rsid w:val="007E4005"/>
    <w:rsid w:val="007F01A6"/>
    <w:rsid w:val="007F1186"/>
    <w:rsid w:val="007F5162"/>
    <w:rsid w:val="00800622"/>
    <w:rsid w:val="00801BCE"/>
    <w:rsid w:val="00803765"/>
    <w:rsid w:val="008052F5"/>
    <w:rsid w:val="00805379"/>
    <w:rsid w:val="0080560B"/>
    <w:rsid w:val="00805667"/>
    <w:rsid w:val="0081013C"/>
    <w:rsid w:val="0081208C"/>
    <w:rsid w:val="0081258C"/>
    <w:rsid w:val="00812B92"/>
    <w:rsid w:val="00820132"/>
    <w:rsid w:val="0082331D"/>
    <w:rsid w:val="00825E9F"/>
    <w:rsid w:val="00830B6E"/>
    <w:rsid w:val="008318DB"/>
    <w:rsid w:val="00833281"/>
    <w:rsid w:val="00834845"/>
    <w:rsid w:val="00841285"/>
    <w:rsid w:val="0084439C"/>
    <w:rsid w:val="00844C64"/>
    <w:rsid w:val="00845109"/>
    <w:rsid w:val="008456EE"/>
    <w:rsid w:val="008512F7"/>
    <w:rsid w:val="008533F0"/>
    <w:rsid w:val="00853412"/>
    <w:rsid w:val="008535AF"/>
    <w:rsid w:val="00853B1D"/>
    <w:rsid w:val="00853E50"/>
    <w:rsid w:val="00854388"/>
    <w:rsid w:val="00854696"/>
    <w:rsid w:val="0085662E"/>
    <w:rsid w:val="00857937"/>
    <w:rsid w:val="00860879"/>
    <w:rsid w:val="008611E0"/>
    <w:rsid w:val="00863E3A"/>
    <w:rsid w:val="00863F92"/>
    <w:rsid w:val="00864086"/>
    <w:rsid w:val="00865E10"/>
    <w:rsid w:val="008679A1"/>
    <w:rsid w:val="00870B7D"/>
    <w:rsid w:val="00870DDD"/>
    <w:rsid w:val="00870EE9"/>
    <w:rsid w:val="00871D38"/>
    <w:rsid w:val="00874368"/>
    <w:rsid w:val="00874E2D"/>
    <w:rsid w:val="00874E6B"/>
    <w:rsid w:val="00876471"/>
    <w:rsid w:val="00880CF5"/>
    <w:rsid w:val="0088232D"/>
    <w:rsid w:val="0088452F"/>
    <w:rsid w:val="00886380"/>
    <w:rsid w:val="00887289"/>
    <w:rsid w:val="0088767F"/>
    <w:rsid w:val="00891021"/>
    <w:rsid w:val="00891AC7"/>
    <w:rsid w:val="00891B0F"/>
    <w:rsid w:val="00892414"/>
    <w:rsid w:val="008929C8"/>
    <w:rsid w:val="00893BFD"/>
    <w:rsid w:val="00893C88"/>
    <w:rsid w:val="00896BDC"/>
    <w:rsid w:val="0089713B"/>
    <w:rsid w:val="008978B8"/>
    <w:rsid w:val="008A0538"/>
    <w:rsid w:val="008A0733"/>
    <w:rsid w:val="008A0B92"/>
    <w:rsid w:val="008A52DB"/>
    <w:rsid w:val="008A6646"/>
    <w:rsid w:val="008B15C7"/>
    <w:rsid w:val="008B25C5"/>
    <w:rsid w:val="008B3D92"/>
    <w:rsid w:val="008C0280"/>
    <w:rsid w:val="008C17F8"/>
    <w:rsid w:val="008C3031"/>
    <w:rsid w:val="008C3993"/>
    <w:rsid w:val="008C5E5B"/>
    <w:rsid w:val="008C5FC5"/>
    <w:rsid w:val="008C728D"/>
    <w:rsid w:val="008C7331"/>
    <w:rsid w:val="008D0CAC"/>
    <w:rsid w:val="008D2737"/>
    <w:rsid w:val="008D40C4"/>
    <w:rsid w:val="008D6DFA"/>
    <w:rsid w:val="008D71F3"/>
    <w:rsid w:val="008E071D"/>
    <w:rsid w:val="008E17FC"/>
    <w:rsid w:val="008E3D43"/>
    <w:rsid w:val="008E4AEF"/>
    <w:rsid w:val="008F22CA"/>
    <w:rsid w:val="008F57C2"/>
    <w:rsid w:val="00904CEC"/>
    <w:rsid w:val="00907BC1"/>
    <w:rsid w:val="00912092"/>
    <w:rsid w:val="0091490A"/>
    <w:rsid w:val="009157B7"/>
    <w:rsid w:val="00920D04"/>
    <w:rsid w:val="009211B9"/>
    <w:rsid w:val="00923817"/>
    <w:rsid w:val="00930161"/>
    <w:rsid w:val="0093379C"/>
    <w:rsid w:val="00934A65"/>
    <w:rsid w:val="00934C61"/>
    <w:rsid w:val="00934FF4"/>
    <w:rsid w:val="009354D7"/>
    <w:rsid w:val="009377B0"/>
    <w:rsid w:val="00937D2D"/>
    <w:rsid w:val="009413DF"/>
    <w:rsid w:val="00941E1C"/>
    <w:rsid w:val="00942C13"/>
    <w:rsid w:val="00944BD9"/>
    <w:rsid w:val="00945F0E"/>
    <w:rsid w:val="00947132"/>
    <w:rsid w:val="00951046"/>
    <w:rsid w:val="00953138"/>
    <w:rsid w:val="009565FD"/>
    <w:rsid w:val="00956D30"/>
    <w:rsid w:val="00961481"/>
    <w:rsid w:val="00962D2B"/>
    <w:rsid w:val="009639EE"/>
    <w:rsid w:val="009666D8"/>
    <w:rsid w:val="00970C79"/>
    <w:rsid w:val="00971E4F"/>
    <w:rsid w:val="009728DD"/>
    <w:rsid w:val="00972ACE"/>
    <w:rsid w:val="0097473B"/>
    <w:rsid w:val="0098054F"/>
    <w:rsid w:val="00980A7B"/>
    <w:rsid w:val="009847BF"/>
    <w:rsid w:val="00985662"/>
    <w:rsid w:val="009931D0"/>
    <w:rsid w:val="00995CF1"/>
    <w:rsid w:val="00996AAE"/>
    <w:rsid w:val="009A1D45"/>
    <w:rsid w:val="009A2CAA"/>
    <w:rsid w:val="009A472E"/>
    <w:rsid w:val="009A502A"/>
    <w:rsid w:val="009A6E1A"/>
    <w:rsid w:val="009A7CED"/>
    <w:rsid w:val="009A7E45"/>
    <w:rsid w:val="009B195F"/>
    <w:rsid w:val="009B19F1"/>
    <w:rsid w:val="009B4D25"/>
    <w:rsid w:val="009B677E"/>
    <w:rsid w:val="009C23B6"/>
    <w:rsid w:val="009C6848"/>
    <w:rsid w:val="009D1C42"/>
    <w:rsid w:val="009D39E3"/>
    <w:rsid w:val="009D3E62"/>
    <w:rsid w:val="009D4CD2"/>
    <w:rsid w:val="009D5667"/>
    <w:rsid w:val="009D72F9"/>
    <w:rsid w:val="009E070F"/>
    <w:rsid w:val="009E196C"/>
    <w:rsid w:val="009E2A9A"/>
    <w:rsid w:val="009E2CE4"/>
    <w:rsid w:val="009E5BC5"/>
    <w:rsid w:val="009E7A7F"/>
    <w:rsid w:val="009F02E6"/>
    <w:rsid w:val="009F2196"/>
    <w:rsid w:val="009F24A3"/>
    <w:rsid w:val="009F53F4"/>
    <w:rsid w:val="009F7C3E"/>
    <w:rsid w:val="009F7F96"/>
    <w:rsid w:val="00A00C0E"/>
    <w:rsid w:val="00A02402"/>
    <w:rsid w:val="00A066E2"/>
    <w:rsid w:val="00A06BF2"/>
    <w:rsid w:val="00A0785E"/>
    <w:rsid w:val="00A10A60"/>
    <w:rsid w:val="00A142A8"/>
    <w:rsid w:val="00A144E6"/>
    <w:rsid w:val="00A151C0"/>
    <w:rsid w:val="00A1648F"/>
    <w:rsid w:val="00A2001C"/>
    <w:rsid w:val="00A208F7"/>
    <w:rsid w:val="00A20CD0"/>
    <w:rsid w:val="00A217CF"/>
    <w:rsid w:val="00A22251"/>
    <w:rsid w:val="00A2281B"/>
    <w:rsid w:val="00A236E4"/>
    <w:rsid w:val="00A23C79"/>
    <w:rsid w:val="00A24B32"/>
    <w:rsid w:val="00A27ADA"/>
    <w:rsid w:val="00A33F1D"/>
    <w:rsid w:val="00A35E24"/>
    <w:rsid w:val="00A40A05"/>
    <w:rsid w:val="00A42056"/>
    <w:rsid w:val="00A43B75"/>
    <w:rsid w:val="00A44B1D"/>
    <w:rsid w:val="00A45179"/>
    <w:rsid w:val="00A45A43"/>
    <w:rsid w:val="00A4744B"/>
    <w:rsid w:val="00A502F8"/>
    <w:rsid w:val="00A50F3A"/>
    <w:rsid w:val="00A53080"/>
    <w:rsid w:val="00A54472"/>
    <w:rsid w:val="00A5533A"/>
    <w:rsid w:val="00A5602D"/>
    <w:rsid w:val="00A56082"/>
    <w:rsid w:val="00A57BF2"/>
    <w:rsid w:val="00A673AE"/>
    <w:rsid w:val="00A67DF7"/>
    <w:rsid w:val="00A70F67"/>
    <w:rsid w:val="00A72A5D"/>
    <w:rsid w:val="00A739D0"/>
    <w:rsid w:val="00A73AA5"/>
    <w:rsid w:val="00A73FF8"/>
    <w:rsid w:val="00A76205"/>
    <w:rsid w:val="00A80936"/>
    <w:rsid w:val="00A8141B"/>
    <w:rsid w:val="00A82C8A"/>
    <w:rsid w:val="00A84E8C"/>
    <w:rsid w:val="00A87362"/>
    <w:rsid w:val="00A91880"/>
    <w:rsid w:val="00A9317A"/>
    <w:rsid w:val="00A934C0"/>
    <w:rsid w:val="00A93A37"/>
    <w:rsid w:val="00A9424D"/>
    <w:rsid w:val="00AA00DB"/>
    <w:rsid w:val="00AA1104"/>
    <w:rsid w:val="00AA3A2D"/>
    <w:rsid w:val="00AA44B9"/>
    <w:rsid w:val="00AA52B8"/>
    <w:rsid w:val="00AB0618"/>
    <w:rsid w:val="00AB308B"/>
    <w:rsid w:val="00AB3252"/>
    <w:rsid w:val="00AC0A38"/>
    <w:rsid w:val="00AC1670"/>
    <w:rsid w:val="00AC39B9"/>
    <w:rsid w:val="00AC58E4"/>
    <w:rsid w:val="00AC5BC1"/>
    <w:rsid w:val="00AC64F0"/>
    <w:rsid w:val="00AC6759"/>
    <w:rsid w:val="00AC719F"/>
    <w:rsid w:val="00AD0794"/>
    <w:rsid w:val="00AD1B4C"/>
    <w:rsid w:val="00AD68B9"/>
    <w:rsid w:val="00AD7473"/>
    <w:rsid w:val="00AD78D7"/>
    <w:rsid w:val="00AE02F1"/>
    <w:rsid w:val="00AE1382"/>
    <w:rsid w:val="00AE1B25"/>
    <w:rsid w:val="00AE5418"/>
    <w:rsid w:val="00AE5634"/>
    <w:rsid w:val="00AE62C7"/>
    <w:rsid w:val="00AE7515"/>
    <w:rsid w:val="00AE78E2"/>
    <w:rsid w:val="00AE7F82"/>
    <w:rsid w:val="00AF10D0"/>
    <w:rsid w:val="00AF182E"/>
    <w:rsid w:val="00AF4A3E"/>
    <w:rsid w:val="00AF602A"/>
    <w:rsid w:val="00AF664D"/>
    <w:rsid w:val="00B026D1"/>
    <w:rsid w:val="00B0313F"/>
    <w:rsid w:val="00B0566B"/>
    <w:rsid w:val="00B07C61"/>
    <w:rsid w:val="00B1350B"/>
    <w:rsid w:val="00B13BA6"/>
    <w:rsid w:val="00B13FD3"/>
    <w:rsid w:val="00B140ED"/>
    <w:rsid w:val="00B16168"/>
    <w:rsid w:val="00B179BF"/>
    <w:rsid w:val="00B17CB6"/>
    <w:rsid w:val="00B200D5"/>
    <w:rsid w:val="00B24618"/>
    <w:rsid w:val="00B25755"/>
    <w:rsid w:val="00B26236"/>
    <w:rsid w:val="00B309CA"/>
    <w:rsid w:val="00B314B7"/>
    <w:rsid w:val="00B33499"/>
    <w:rsid w:val="00B3400F"/>
    <w:rsid w:val="00B35BC1"/>
    <w:rsid w:val="00B36B64"/>
    <w:rsid w:val="00B37CBD"/>
    <w:rsid w:val="00B4386E"/>
    <w:rsid w:val="00B45751"/>
    <w:rsid w:val="00B45F21"/>
    <w:rsid w:val="00B472AB"/>
    <w:rsid w:val="00B5025F"/>
    <w:rsid w:val="00B509A9"/>
    <w:rsid w:val="00B51C9F"/>
    <w:rsid w:val="00B52AB4"/>
    <w:rsid w:val="00B5311B"/>
    <w:rsid w:val="00B57147"/>
    <w:rsid w:val="00B60A9F"/>
    <w:rsid w:val="00B613F0"/>
    <w:rsid w:val="00B62800"/>
    <w:rsid w:val="00B62B5B"/>
    <w:rsid w:val="00B644A4"/>
    <w:rsid w:val="00B6644C"/>
    <w:rsid w:val="00B6791B"/>
    <w:rsid w:val="00B7045E"/>
    <w:rsid w:val="00B733FB"/>
    <w:rsid w:val="00B76234"/>
    <w:rsid w:val="00B762D0"/>
    <w:rsid w:val="00B8011F"/>
    <w:rsid w:val="00B8086F"/>
    <w:rsid w:val="00B81128"/>
    <w:rsid w:val="00B81F2D"/>
    <w:rsid w:val="00B85759"/>
    <w:rsid w:val="00B859AF"/>
    <w:rsid w:val="00B8611F"/>
    <w:rsid w:val="00B86762"/>
    <w:rsid w:val="00B909E1"/>
    <w:rsid w:val="00B916DD"/>
    <w:rsid w:val="00B91AFA"/>
    <w:rsid w:val="00B91B8D"/>
    <w:rsid w:val="00B91D79"/>
    <w:rsid w:val="00B953D1"/>
    <w:rsid w:val="00B9657B"/>
    <w:rsid w:val="00BA1E20"/>
    <w:rsid w:val="00BA5361"/>
    <w:rsid w:val="00BA65CE"/>
    <w:rsid w:val="00BA7FC3"/>
    <w:rsid w:val="00BB1EEA"/>
    <w:rsid w:val="00BB3BF3"/>
    <w:rsid w:val="00BB4510"/>
    <w:rsid w:val="00BB4925"/>
    <w:rsid w:val="00BB52B5"/>
    <w:rsid w:val="00BB79AC"/>
    <w:rsid w:val="00BB7FA2"/>
    <w:rsid w:val="00BC05F6"/>
    <w:rsid w:val="00BC0FAB"/>
    <w:rsid w:val="00BC1303"/>
    <w:rsid w:val="00BC17B4"/>
    <w:rsid w:val="00BC29EE"/>
    <w:rsid w:val="00BC2C01"/>
    <w:rsid w:val="00BC3F7C"/>
    <w:rsid w:val="00BC571D"/>
    <w:rsid w:val="00BD3728"/>
    <w:rsid w:val="00BD41B4"/>
    <w:rsid w:val="00BD43E7"/>
    <w:rsid w:val="00BD4EC6"/>
    <w:rsid w:val="00BD6771"/>
    <w:rsid w:val="00BD7B31"/>
    <w:rsid w:val="00BE0578"/>
    <w:rsid w:val="00BE5499"/>
    <w:rsid w:val="00BE7E9E"/>
    <w:rsid w:val="00BF0E33"/>
    <w:rsid w:val="00BF2D5A"/>
    <w:rsid w:val="00BF4127"/>
    <w:rsid w:val="00BF46BE"/>
    <w:rsid w:val="00BF52D1"/>
    <w:rsid w:val="00BF6616"/>
    <w:rsid w:val="00BF68DF"/>
    <w:rsid w:val="00C01935"/>
    <w:rsid w:val="00C05425"/>
    <w:rsid w:val="00C10B7A"/>
    <w:rsid w:val="00C13924"/>
    <w:rsid w:val="00C1415C"/>
    <w:rsid w:val="00C14430"/>
    <w:rsid w:val="00C14FED"/>
    <w:rsid w:val="00C15476"/>
    <w:rsid w:val="00C1621B"/>
    <w:rsid w:val="00C17CD9"/>
    <w:rsid w:val="00C21F9B"/>
    <w:rsid w:val="00C22B07"/>
    <w:rsid w:val="00C2554E"/>
    <w:rsid w:val="00C2640B"/>
    <w:rsid w:val="00C26DC5"/>
    <w:rsid w:val="00C2758E"/>
    <w:rsid w:val="00C30E54"/>
    <w:rsid w:val="00C31B66"/>
    <w:rsid w:val="00C377AA"/>
    <w:rsid w:val="00C41911"/>
    <w:rsid w:val="00C42369"/>
    <w:rsid w:val="00C428A1"/>
    <w:rsid w:val="00C438F8"/>
    <w:rsid w:val="00C46290"/>
    <w:rsid w:val="00C46EDC"/>
    <w:rsid w:val="00C47B31"/>
    <w:rsid w:val="00C5302E"/>
    <w:rsid w:val="00C53B14"/>
    <w:rsid w:val="00C541E4"/>
    <w:rsid w:val="00C54217"/>
    <w:rsid w:val="00C54999"/>
    <w:rsid w:val="00C56E1C"/>
    <w:rsid w:val="00C571DC"/>
    <w:rsid w:val="00C60696"/>
    <w:rsid w:val="00C62D19"/>
    <w:rsid w:val="00C64030"/>
    <w:rsid w:val="00C6428B"/>
    <w:rsid w:val="00C65C8A"/>
    <w:rsid w:val="00C66A92"/>
    <w:rsid w:val="00C6776B"/>
    <w:rsid w:val="00C713EA"/>
    <w:rsid w:val="00C7615A"/>
    <w:rsid w:val="00C76D05"/>
    <w:rsid w:val="00C779A7"/>
    <w:rsid w:val="00C80B4F"/>
    <w:rsid w:val="00C81F7F"/>
    <w:rsid w:val="00CA2614"/>
    <w:rsid w:val="00CA30BD"/>
    <w:rsid w:val="00CA3316"/>
    <w:rsid w:val="00CA4A69"/>
    <w:rsid w:val="00CA557A"/>
    <w:rsid w:val="00CA69BC"/>
    <w:rsid w:val="00CB1F33"/>
    <w:rsid w:val="00CB23FD"/>
    <w:rsid w:val="00CB3668"/>
    <w:rsid w:val="00CB61C3"/>
    <w:rsid w:val="00CB7F7A"/>
    <w:rsid w:val="00CC1345"/>
    <w:rsid w:val="00CC1CFF"/>
    <w:rsid w:val="00CC3BF9"/>
    <w:rsid w:val="00CC4CF1"/>
    <w:rsid w:val="00CC53EC"/>
    <w:rsid w:val="00CD096C"/>
    <w:rsid w:val="00CD3476"/>
    <w:rsid w:val="00CD4A15"/>
    <w:rsid w:val="00CD53A7"/>
    <w:rsid w:val="00CD6F30"/>
    <w:rsid w:val="00CD7D31"/>
    <w:rsid w:val="00CE0BDF"/>
    <w:rsid w:val="00CE37BC"/>
    <w:rsid w:val="00CE4EE6"/>
    <w:rsid w:val="00CE60C5"/>
    <w:rsid w:val="00CE628B"/>
    <w:rsid w:val="00CE7D64"/>
    <w:rsid w:val="00CF0062"/>
    <w:rsid w:val="00CF258F"/>
    <w:rsid w:val="00CF25A1"/>
    <w:rsid w:val="00CF31D1"/>
    <w:rsid w:val="00CF36E2"/>
    <w:rsid w:val="00CF36F2"/>
    <w:rsid w:val="00CF41E7"/>
    <w:rsid w:val="00CF6BE5"/>
    <w:rsid w:val="00CF7209"/>
    <w:rsid w:val="00D00027"/>
    <w:rsid w:val="00D00CD9"/>
    <w:rsid w:val="00D01430"/>
    <w:rsid w:val="00D05EAF"/>
    <w:rsid w:val="00D107FF"/>
    <w:rsid w:val="00D11E88"/>
    <w:rsid w:val="00D138F3"/>
    <w:rsid w:val="00D14549"/>
    <w:rsid w:val="00D1787C"/>
    <w:rsid w:val="00D214B2"/>
    <w:rsid w:val="00D21B71"/>
    <w:rsid w:val="00D21BA3"/>
    <w:rsid w:val="00D21CCB"/>
    <w:rsid w:val="00D21F45"/>
    <w:rsid w:val="00D23C27"/>
    <w:rsid w:val="00D25C70"/>
    <w:rsid w:val="00D25DFD"/>
    <w:rsid w:val="00D30998"/>
    <w:rsid w:val="00D32622"/>
    <w:rsid w:val="00D32D2F"/>
    <w:rsid w:val="00D354AB"/>
    <w:rsid w:val="00D35918"/>
    <w:rsid w:val="00D35CC3"/>
    <w:rsid w:val="00D36155"/>
    <w:rsid w:val="00D4030F"/>
    <w:rsid w:val="00D42F6C"/>
    <w:rsid w:val="00D4385B"/>
    <w:rsid w:val="00D44FBB"/>
    <w:rsid w:val="00D50F7A"/>
    <w:rsid w:val="00D514FE"/>
    <w:rsid w:val="00D566FB"/>
    <w:rsid w:val="00D56B34"/>
    <w:rsid w:val="00D60D22"/>
    <w:rsid w:val="00D62177"/>
    <w:rsid w:val="00D6267D"/>
    <w:rsid w:val="00D633FE"/>
    <w:rsid w:val="00D656F0"/>
    <w:rsid w:val="00D6730C"/>
    <w:rsid w:val="00D720D9"/>
    <w:rsid w:val="00D760D8"/>
    <w:rsid w:val="00D763F5"/>
    <w:rsid w:val="00D76FB6"/>
    <w:rsid w:val="00D77A14"/>
    <w:rsid w:val="00D77DDE"/>
    <w:rsid w:val="00D80BA7"/>
    <w:rsid w:val="00D8128C"/>
    <w:rsid w:val="00D81BC9"/>
    <w:rsid w:val="00D81C66"/>
    <w:rsid w:val="00D82A5A"/>
    <w:rsid w:val="00D85215"/>
    <w:rsid w:val="00D85349"/>
    <w:rsid w:val="00D87FC7"/>
    <w:rsid w:val="00D9048A"/>
    <w:rsid w:val="00D92803"/>
    <w:rsid w:val="00D95B08"/>
    <w:rsid w:val="00D9611A"/>
    <w:rsid w:val="00DA1B1A"/>
    <w:rsid w:val="00DA1B95"/>
    <w:rsid w:val="00DA4209"/>
    <w:rsid w:val="00DA5CD8"/>
    <w:rsid w:val="00DB09BE"/>
    <w:rsid w:val="00DB2F05"/>
    <w:rsid w:val="00DB34C8"/>
    <w:rsid w:val="00DB35B3"/>
    <w:rsid w:val="00DB453B"/>
    <w:rsid w:val="00DB59AE"/>
    <w:rsid w:val="00DB5B16"/>
    <w:rsid w:val="00DB5CBD"/>
    <w:rsid w:val="00DB6980"/>
    <w:rsid w:val="00DC2EA0"/>
    <w:rsid w:val="00DC51CF"/>
    <w:rsid w:val="00DE26F0"/>
    <w:rsid w:val="00DE55E2"/>
    <w:rsid w:val="00DE5787"/>
    <w:rsid w:val="00DE5DB9"/>
    <w:rsid w:val="00DE6F44"/>
    <w:rsid w:val="00DE7491"/>
    <w:rsid w:val="00DF02EE"/>
    <w:rsid w:val="00DF3E98"/>
    <w:rsid w:val="00DF4316"/>
    <w:rsid w:val="00DF4AF3"/>
    <w:rsid w:val="00DF5951"/>
    <w:rsid w:val="00DF5AD9"/>
    <w:rsid w:val="00DF78E3"/>
    <w:rsid w:val="00E012F1"/>
    <w:rsid w:val="00E0219E"/>
    <w:rsid w:val="00E0423E"/>
    <w:rsid w:val="00E04998"/>
    <w:rsid w:val="00E05129"/>
    <w:rsid w:val="00E07EBF"/>
    <w:rsid w:val="00E10A35"/>
    <w:rsid w:val="00E121A0"/>
    <w:rsid w:val="00E1323A"/>
    <w:rsid w:val="00E16A16"/>
    <w:rsid w:val="00E16DB8"/>
    <w:rsid w:val="00E176D0"/>
    <w:rsid w:val="00E21298"/>
    <w:rsid w:val="00E24AC7"/>
    <w:rsid w:val="00E258AE"/>
    <w:rsid w:val="00E30B86"/>
    <w:rsid w:val="00E30F94"/>
    <w:rsid w:val="00E33E8A"/>
    <w:rsid w:val="00E4069F"/>
    <w:rsid w:val="00E40CFF"/>
    <w:rsid w:val="00E419F9"/>
    <w:rsid w:val="00E41D8A"/>
    <w:rsid w:val="00E432B7"/>
    <w:rsid w:val="00E44789"/>
    <w:rsid w:val="00E45386"/>
    <w:rsid w:val="00E507E1"/>
    <w:rsid w:val="00E62060"/>
    <w:rsid w:val="00E654B0"/>
    <w:rsid w:val="00E6576A"/>
    <w:rsid w:val="00E70E10"/>
    <w:rsid w:val="00E70FC8"/>
    <w:rsid w:val="00E74472"/>
    <w:rsid w:val="00E748DF"/>
    <w:rsid w:val="00E8062B"/>
    <w:rsid w:val="00E836F3"/>
    <w:rsid w:val="00E86109"/>
    <w:rsid w:val="00E9087C"/>
    <w:rsid w:val="00E928FB"/>
    <w:rsid w:val="00E93742"/>
    <w:rsid w:val="00E95106"/>
    <w:rsid w:val="00E9540D"/>
    <w:rsid w:val="00E95724"/>
    <w:rsid w:val="00E957A8"/>
    <w:rsid w:val="00E95934"/>
    <w:rsid w:val="00E9655F"/>
    <w:rsid w:val="00E97BBA"/>
    <w:rsid w:val="00EA0244"/>
    <w:rsid w:val="00EA03F9"/>
    <w:rsid w:val="00EA0C5F"/>
    <w:rsid w:val="00EA0D32"/>
    <w:rsid w:val="00EA1845"/>
    <w:rsid w:val="00EA30D3"/>
    <w:rsid w:val="00EA3726"/>
    <w:rsid w:val="00EA3D1E"/>
    <w:rsid w:val="00EA624C"/>
    <w:rsid w:val="00EA648A"/>
    <w:rsid w:val="00EB0298"/>
    <w:rsid w:val="00EB02FD"/>
    <w:rsid w:val="00EB034C"/>
    <w:rsid w:val="00EB03FA"/>
    <w:rsid w:val="00EB25C7"/>
    <w:rsid w:val="00EB3BD6"/>
    <w:rsid w:val="00EB4C8A"/>
    <w:rsid w:val="00EB6481"/>
    <w:rsid w:val="00EC0258"/>
    <w:rsid w:val="00EC0304"/>
    <w:rsid w:val="00EC1092"/>
    <w:rsid w:val="00EC2622"/>
    <w:rsid w:val="00EC3685"/>
    <w:rsid w:val="00EC4BCD"/>
    <w:rsid w:val="00EC6EDA"/>
    <w:rsid w:val="00ED0427"/>
    <w:rsid w:val="00ED1060"/>
    <w:rsid w:val="00ED204F"/>
    <w:rsid w:val="00EE0635"/>
    <w:rsid w:val="00EE628F"/>
    <w:rsid w:val="00EF0B94"/>
    <w:rsid w:val="00EF0FD5"/>
    <w:rsid w:val="00EF6097"/>
    <w:rsid w:val="00F001EE"/>
    <w:rsid w:val="00F022FF"/>
    <w:rsid w:val="00F02F1B"/>
    <w:rsid w:val="00F10450"/>
    <w:rsid w:val="00F10566"/>
    <w:rsid w:val="00F1080B"/>
    <w:rsid w:val="00F11302"/>
    <w:rsid w:val="00F156AA"/>
    <w:rsid w:val="00F16857"/>
    <w:rsid w:val="00F21C7D"/>
    <w:rsid w:val="00F23941"/>
    <w:rsid w:val="00F239E7"/>
    <w:rsid w:val="00F23DC2"/>
    <w:rsid w:val="00F26B68"/>
    <w:rsid w:val="00F3211D"/>
    <w:rsid w:val="00F3291F"/>
    <w:rsid w:val="00F365A4"/>
    <w:rsid w:val="00F36D9A"/>
    <w:rsid w:val="00F37165"/>
    <w:rsid w:val="00F37FA2"/>
    <w:rsid w:val="00F37FD0"/>
    <w:rsid w:val="00F41A46"/>
    <w:rsid w:val="00F42411"/>
    <w:rsid w:val="00F4271D"/>
    <w:rsid w:val="00F4386E"/>
    <w:rsid w:val="00F43B03"/>
    <w:rsid w:val="00F4563B"/>
    <w:rsid w:val="00F45CFE"/>
    <w:rsid w:val="00F512D7"/>
    <w:rsid w:val="00F529D5"/>
    <w:rsid w:val="00F52A14"/>
    <w:rsid w:val="00F53263"/>
    <w:rsid w:val="00F53E1C"/>
    <w:rsid w:val="00F53FD3"/>
    <w:rsid w:val="00F54499"/>
    <w:rsid w:val="00F55866"/>
    <w:rsid w:val="00F57961"/>
    <w:rsid w:val="00F606A1"/>
    <w:rsid w:val="00F61383"/>
    <w:rsid w:val="00F6377D"/>
    <w:rsid w:val="00F64E9A"/>
    <w:rsid w:val="00F705E9"/>
    <w:rsid w:val="00F707A3"/>
    <w:rsid w:val="00F725F2"/>
    <w:rsid w:val="00F72F6E"/>
    <w:rsid w:val="00F730EE"/>
    <w:rsid w:val="00F731D8"/>
    <w:rsid w:val="00F7515C"/>
    <w:rsid w:val="00F774BB"/>
    <w:rsid w:val="00F77581"/>
    <w:rsid w:val="00F8298C"/>
    <w:rsid w:val="00F86E5F"/>
    <w:rsid w:val="00F93939"/>
    <w:rsid w:val="00F94335"/>
    <w:rsid w:val="00F94735"/>
    <w:rsid w:val="00F94FE4"/>
    <w:rsid w:val="00F958C7"/>
    <w:rsid w:val="00F96AA8"/>
    <w:rsid w:val="00F970D3"/>
    <w:rsid w:val="00FA1A9E"/>
    <w:rsid w:val="00FA3BCE"/>
    <w:rsid w:val="00FA4825"/>
    <w:rsid w:val="00FA526D"/>
    <w:rsid w:val="00FA7CA5"/>
    <w:rsid w:val="00FB029C"/>
    <w:rsid w:val="00FB57D6"/>
    <w:rsid w:val="00FB5E95"/>
    <w:rsid w:val="00FB6E8C"/>
    <w:rsid w:val="00FC15B0"/>
    <w:rsid w:val="00FC2127"/>
    <w:rsid w:val="00FC2A6B"/>
    <w:rsid w:val="00FC3A7D"/>
    <w:rsid w:val="00FC6A36"/>
    <w:rsid w:val="00FD01E6"/>
    <w:rsid w:val="00FE2D4F"/>
    <w:rsid w:val="00FE2FA7"/>
    <w:rsid w:val="00FE6412"/>
    <w:rsid w:val="00FE6448"/>
    <w:rsid w:val="00FE7343"/>
    <w:rsid w:val="00FE7BD3"/>
    <w:rsid w:val="00FF0EAD"/>
    <w:rsid w:val="00FF1573"/>
    <w:rsid w:val="00FF3959"/>
    <w:rsid w:val="00FF4BA3"/>
    <w:rsid w:val="00FF60D1"/>
    <w:rsid w:val="00FF7354"/>
    <w:rsid w:val="00FF7445"/>
    <w:rsid w:val="01081E95"/>
    <w:rsid w:val="01605261"/>
    <w:rsid w:val="01E77698"/>
    <w:rsid w:val="02B147C1"/>
    <w:rsid w:val="02CB7318"/>
    <w:rsid w:val="030F358B"/>
    <w:rsid w:val="032A657F"/>
    <w:rsid w:val="033A72E9"/>
    <w:rsid w:val="0353767A"/>
    <w:rsid w:val="03880784"/>
    <w:rsid w:val="039D243E"/>
    <w:rsid w:val="03B31E24"/>
    <w:rsid w:val="04460794"/>
    <w:rsid w:val="045B5612"/>
    <w:rsid w:val="04914C1D"/>
    <w:rsid w:val="05316374"/>
    <w:rsid w:val="05A90C41"/>
    <w:rsid w:val="05B76342"/>
    <w:rsid w:val="05BA6045"/>
    <w:rsid w:val="063203FD"/>
    <w:rsid w:val="06DE296D"/>
    <w:rsid w:val="073145A0"/>
    <w:rsid w:val="080679AA"/>
    <w:rsid w:val="081D15C0"/>
    <w:rsid w:val="087858FA"/>
    <w:rsid w:val="089D7544"/>
    <w:rsid w:val="089F1A09"/>
    <w:rsid w:val="08D833C0"/>
    <w:rsid w:val="091F4B4B"/>
    <w:rsid w:val="09302F47"/>
    <w:rsid w:val="09A14162"/>
    <w:rsid w:val="09D60D8D"/>
    <w:rsid w:val="09ED13A0"/>
    <w:rsid w:val="0A726EFC"/>
    <w:rsid w:val="0A7F55A7"/>
    <w:rsid w:val="0A95201A"/>
    <w:rsid w:val="0AE95F91"/>
    <w:rsid w:val="0B6A12B0"/>
    <w:rsid w:val="0BBD62DC"/>
    <w:rsid w:val="0C463BD6"/>
    <w:rsid w:val="0C792318"/>
    <w:rsid w:val="0CCF1262"/>
    <w:rsid w:val="0D020A0B"/>
    <w:rsid w:val="0D2F302C"/>
    <w:rsid w:val="0D730526"/>
    <w:rsid w:val="0E613BF8"/>
    <w:rsid w:val="0E776AFA"/>
    <w:rsid w:val="0E954C9A"/>
    <w:rsid w:val="0E9776A7"/>
    <w:rsid w:val="0F484363"/>
    <w:rsid w:val="0F4D387D"/>
    <w:rsid w:val="0F9D4306"/>
    <w:rsid w:val="0FB716A9"/>
    <w:rsid w:val="0FCC64D8"/>
    <w:rsid w:val="0FED19FB"/>
    <w:rsid w:val="105D1DFC"/>
    <w:rsid w:val="10FD28F1"/>
    <w:rsid w:val="116540F0"/>
    <w:rsid w:val="11B67BDD"/>
    <w:rsid w:val="121C60CC"/>
    <w:rsid w:val="12465C98"/>
    <w:rsid w:val="125A308C"/>
    <w:rsid w:val="13545733"/>
    <w:rsid w:val="138B2B17"/>
    <w:rsid w:val="13954496"/>
    <w:rsid w:val="13A81D80"/>
    <w:rsid w:val="13E84D90"/>
    <w:rsid w:val="14302302"/>
    <w:rsid w:val="1479023E"/>
    <w:rsid w:val="14B52807"/>
    <w:rsid w:val="14D26F15"/>
    <w:rsid w:val="14EF7AC7"/>
    <w:rsid w:val="154502EF"/>
    <w:rsid w:val="15561BA5"/>
    <w:rsid w:val="156C2EC6"/>
    <w:rsid w:val="15D84A6D"/>
    <w:rsid w:val="15F615F2"/>
    <w:rsid w:val="169F4119"/>
    <w:rsid w:val="16B25E0D"/>
    <w:rsid w:val="16F46205"/>
    <w:rsid w:val="16F67522"/>
    <w:rsid w:val="171869D8"/>
    <w:rsid w:val="17465999"/>
    <w:rsid w:val="174F0D01"/>
    <w:rsid w:val="179D4BD8"/>
    <w:rsid w:val="17B84142"/>
    <w:rsid w:val="17C22BBE"/>
    <w:rsid w:val="180C25C6"/>
    <w:rsid w:val="185248BC"/>
    <w:rsid w:val="187725F8"/>
    <w:rsid w:val="187D16A6"/>
    <w:rsid w:val="18E50287"/>
    <w:rsid w:val="19061207"/>
    <w:rsid w:val="190E3139"/>
    <w:rsid w:val="192F5CC0"/>
    <w:rsid w:val="193A5F48"/>
    <w:rsid w:val="19EA4300"/>
    <w:rsid w:val="1A0119BB"/>
    <w:rsid w:val="1A26346A"/>
    <w:rsid w:val="1A917147"/>
    <w:rsid w:val="1B063DBD"/>
    <w:rsid w:val="1BA160CB"/>
    <w:rsid w:val="1BC74CD8"/>
    <w:rsid w:val="1C0611A0"/>
    <w:rsid w:val="1C223F6C"/>
    <w:rsid w:val="1C263020"/>
    <w:rsid w:val="1C5633F5"/>
    <w:rsid w:val="1C8277E0"/>
    <w:rsid w:val="1C85099F"/>
    <w:rsid w:val="1CB17DEF"/>
    <w:rsid w:val="1D0F1520"/>
    <w:rsid w:val="1D8A20D6"/>
    <w:rsid w:val="1DA83B72"/>
    <w:rsid w:val="1DB92403"/>
    <w:rsid w:val="1DBE60F1"/>
    <w:rsid w:val="1DCF03EF"/>
    <w:rsid w:val="1E334E45"/>
    <w:rsid w:val="1E4245E9"/>
    <w:rsid w:val="1E462B86"/>
    <w:rsid w:val="1EC61C88"/>
    <w:rsid w:val="1FF16D4A"/>
    <w:rsid w:val="201828E6"/>
    <w:rsid w:val="206331FB"/>
    <w:rsid w:val="20A20400"/>
    <w:rsid w:val="20AB5712"/>
    <w:rsid w:val="216C49F0"/>
    <w:rsid w:val="217F1120"/>
    <w:rsid w:val="219D1CD5"/>
    <w:rsid w:val="22A32073"/>
    <w:rsid w:val="22AD6285"/>
    <w:rsid w:val="22C24F29"/>
    <w:rsid w:val="22CD05FD"/>
    <w:rsid w:val="22DD2ED6"/>
    <w:rsid w:val="22E84B9D"/>
    <w:rsid w:val="23EB6F3E"/>
    <w:rsid w:val="242A129E"/>
    <w:rsid w:val="24A27504"/>
    <w:rsid w:val="253A4D8F"/>
    <w:rsid w:val="255B550B"/>
    <w:rsid w:val="25603608"/>
    <w:rsid w:val="257D7910"/>
    <w:rsid w:val="25B90190"/>
    <w:rsid w:val="25C366C0"/>
    <w:rsid w:val="25D372C2"/>
    <w:rsid w:val="2604714B"/>
    <w:rsid w:val="26583587"/>
    <w:rsid w:val="266814F1"/>
    <w:rsid w:val="26817DD4"/>
    <w:rsid w:val="26BA30B5"/>
    <w:rsid w:val="26EE194D"/>
    <w:rsid w:val="26F71E0F"/>
    <w:rsid w:val="276E3F05"/>
    <w:rsid w:val="28471A7D"/>
    <w:rsid w:val="2884725A"/>
    <w:rsid w:val="29165704"/>
    <w:rsid w:val="292D79F8"/>
    <w:rsid w:val="29464B6E"/>
    <w:rsid w:val="297C0023"/>
    <w:rsid w:val="29AA454B"/>
    <w:rsid w:val="29D8610E"/>
    <w:rsid w:val="2A050D30"/>
    <w:rsid w:val="2B3260B1"/>
    <w:rsid w:val="2B624585"/>
    <w:rsid w:val="2B9479AA"/>
    <w:rsid w:val="2B962EAD"/>
    <w:rsid w:val="2BA51B3B"/>
    <w:rsid w:val="2BB01CAF"/>
    <w:rsid w:val="2BDD2429"/>
    <w:rsid w:val="2C1F292F"/>
    <w:rsid w:val="2D244763"/>
    <w:rsid w:val="2D60735C"/>
    <w:rsid w:val="2DB45D05"/>
    <w:rsid w:val="2DBC75EC"/>
    <w:rsid w:val="2E222864"/>
    <w:rsid w:val="2E3C4817"/>
    <w:rsid w:val="2ED7265A"/>
    <w:rsid w:val="2F7E02CE"/>
    <w:rsid w:val="2F9F73AB"/>
    <w:rsid w:val="30262D71"/>
    <w:rsid w:val="30316B89"/>
    <w:rsid w:val="306E76D8"/>
    <w:rsid w:val="31404E93"/>
    <w:rsid w:val="31670F7F"/>
    <w:rsid w:val="31995F17"/>
    <w:rsid w:val="33295270"/>
    <w:rsid w:val="33DE5678"/>
    <w:rsid w:val="33EB6383"/>
    <w:rsid w:val="34422815"/>
    <w:rsid w:val="3465460B"/>
    <w:rsid w:val="3540532F"/>
    <w:rsid w:val="35515452"/>
    <w:rsid w:val="3561676C"/>
    <w:rsid w:val="35B03811"/>
    <w:rsid w:val="36582345"/>
    <w:rsid w:val="36D35210"/>
    <w:rsid w:val="36D564C5"/>
    <w:rsid w:val="36F0447E"/>
    <w:rsid w:val="3760597E"/>
    <w:rsid w:val="37923C70"/>
    <w:rsid w:val="38041E01"/>
    <w:rsid w:val="380941EC"/>
    <w:rsid w:val="38653A79"/>
    <w:rsid w:val="38CB6DD4"/>
    <w:rsid w:val="38FB2790"/>
    <w:rsid w:val="3901610E"/>
    <w:rsid w:val="392E3964"/>
    <w:rsid w:val="39592A73"/>
    <w:rsid w:val="39AA2C9F"/>
    <w:rsid w:val="39CB75DB"/>
    <w:rsid w:val="3A005AFE"/>
    <w:rsid w:val="3A9406D4"/>
    <w:rsid w:val="3B9436D8"/>
    <w:rsid w:val="3BBB3F85"/>
    <w:rsid w:val="3BE55479"/>
    <w:rsid w:val="3C0E52D2"/>
    <w:rsid w:val="3C37319A"/>
    <w:rsid w:val="3C5B521E"/>
    <w:rsid w:val="3C5E3B51"/>
    <w:rsid w:val="3CAC03C6"/>
    <w:rsid w:val="3CBD23C4"/>
    <w:rsid w:val="3CCA5447"/>
    <w:rsid w:val="3CCB70C1"/>
    <w:rsid w:val="3D001165"/>
    <w:rsid w:val="3D0322FC"/>
    <w:rsid w:val="3D082351"/>
    <w:rsid w:val="3DA05FF3"/>
    <w:rsid w:val="3DC87182"/>
    <w:rsid w:val="3ECA5568"/>
    <w:rsid w:val="40481367"/>
    <w:rsid w:val="405D2C7E"/>
    <w:rsid w:val="41852C26"/>
    <w:rsid w:val="41C22FD8"/>
    <w:rsid w:val="41CC77F0"/>
    <w:rsid w:val="42042EE5"/>
    <w:rsid w:val="42366B10"/>
    <w:rsid w:val="42427F1F"/>
    <w:rsid w:val="42571261"/>
    <w:rsid w:val="42B77C03"/>
    <w:rsid w:val="42EF762F"/>
    <w:rsid w:val="42F55FC9"/>
    <w:rsid w:val="42FE2C9E"/>
    <w:rsid w:val="43AD1D66"/>
    <w:rsid w:val="43B52ABE"/>
    <w:rsid w:val="43D70A9C"/>
    <w:rsid w:val="4416259B"/>
    <w:rsid w:val="4458438D"/>
    <w:rsid w:val="445A4356"/>
    <w:rsid w:val="44B32E97"/>
    <w:rsid w:val="44B85C67"/>
    <w:rsid w:val="453A189E"/>
    <w:rsid w:val="45BE58D7"/>
    <w:rsid w:val="45CC5137"/>
    <w:rsid w:val="4616302B"/>
    <w:rsid w:val="461C6278"/>
    <w:rsid w:val="46E33A4B"/>
    <w:rsid w:val="47413C42"/>
    <w:rsid w:val="47470CBF"/>
    <w:rsid w:val="47EB1503"/>
    <w:rsid w:val="4836545F"/>
    <w:rsid w:val="497430D4"/>
    <w:rsid w:val="49E457F7"/>
    <w:rsid w:val="4A2756DB"/>
    <w:rsid w:val="4A3E6E00"/>
    <w:rsid w:val="4A570FA3"/>
    <w:rsid w:val="4A9A026B"/>
    <w:rsid w:val="4A9B0E10"/>
    <w:rsid w:val="4B0023F1"/>
    <w:rsid w:val="4B064BDB"/>
    <w:rsid w:val="4B3E2753"/>
    <w:rsid w:val="4B831D89"/>
    <w:rsid w:val="4BA17A18"/>
    <w:rsid w:val="4BA273E1"/>
    <w:rsid w:val="4CA27347"/>
    <w:rsid w:val="4CDB05C5"/>
    <w:rsid w:val="4D097145"/>
    <w:rsid w:val="4D293A2A"/>
    <w:rsid w:val="4D9724CF"/>
    <w:rsid w:val="4DFE71C3"/>
    <w:rsid w:val="4E30221B"/>
    <w:rsid w:val="4E575A88"/>
    <w:rsid w:val="4E8D2113"/>
    <w:rsid w:val="4EDA5361"/>
    <w:rsid w:val="4F302EBC"/>
    <w:rsid w:val="4F6E0A9A"/>
    <w:rsid w:val="4FFC5E13"/>
    <w:rsid w:val="506379DA"/>
    <w:rsid w:val="50695545"/>
    <w:rsid w:val="506C29B3"/>
    <w:rsid w:val="508F7C82"/>
    <w:rsid w:val="50FB150E"/>
    <w:rsid w:val="51140FE8"/>
    <w:rsid w:val="51855027"/>
    <w:rsid w:val="51A61C9C"/>
    <w:rsid w:val="51B64288"/>
    <w:rsid w:val="52087C80"/>
    <w:rsid w:val="53072BE5"/>
    <w:rsid w:val="531160AB"/>
    <w:rsid w:val="53476098"/>
    <w:rsid w:val="53840D41"/>
    <w:rsid w:val="53897885"/>
    <w:rsid w:val="53B2271D"/>
    <w:rsid w:val="54297BF9"/>
    <w:rsid w:val="544865B4"/>
    <w:rsid w:val="54BA1054"/>
    <w:rsid w:val="55005B34"/>
    <w:rsid w:val="55BA4AD9"/>
    <w:rsid w:val="56080053"/>
    <w:rsid w:val="560D18D8"/>
    <w:rsid w:val="56634B1E"/>
    <w:rsid w:val="568D1452"/>
    <w:rsid w:val="56957FD6"/>
    <w:rsid w:val="57C860C3"/>
    <w:rsid w:val="58182090"/>
    <w:rsid w:val="588A6CFA"/>
    <w:rsid w:val="58B72BE5"/>
    <w:rsid w:val="58D4293D"/>
    <w:rsid w:val="58D87655"/>
    <w:rsid w:val="58E03234"/>
    <w:rsid w:val="58F70ED6"/>
    <w:rsid w:val="590D2BD1"/>
    <w:rsid w:val="59AC65F8"/>
    <w:rsid w:val="59D91B5E"/>
    <w:rsid w:val="5A2D03B3"/>
    <w:rsid w:val="5A646FD5"/>
    <w:rsid w:val="5AA7727A"/>
    <w:rsid w:val="5AA9018E"/>
    <w:rsid w:val="5AD22892"/>
    <w:rsid w:val="5AF55701"/>
    <w:rsid w:val="5B055723"/>
    <w:rsid w:val="5B53421D"/>
    <w:rsid w:val="5B995B10"/>
    <w:rsid w:val="5BA5503E"/>
    <w:rsid w:val="5BA968EE"/>
    <w:rsid w:val="5BB54357"/>
    <w:rsid w:val="5BBD778F"/>
    <w:rsid w:val="5BF93420"/>
    <w:rsid w:val="5C1D78BB"/>
    <w:rsid w:val="5C531CB7"/>
    <w:rsid w:val="5CC215DC"/>
    <w:rsid w:val="5D2A5739"/>
    <w:rsid w:val="5D621B54"/>
    <w:rsid w:val="5DE247EB"/>
    <w:rsid w:val="5E043A07"/>
    <w:rsid w:val="5EAB5E7A"/>
    <w:rsid w:val="5EC25FE0"/>
    <w:rsid w:val="5EC4727E"/>
    <w:rsid w:val="5F780545"/>
    <w:rsid w:val="5FD662EF"/>
    <w:rsid w:val="5FD7780E"/>
    <w:rsid w:val="5FF92FB9"/>
    <w:rsid w:val="6062696C"/>
    <w:rsid w:val="60A05D79"/>
    <w:rsid w:val="60A86560"/>
    <w:rsid w:val="60AC59B6"/>
    <w:rsid w:val="60C5118C"/>
    <w:rsid w:val="60DC54D5"/>
    <w:rsid w:val="61130674"/>
    <w:rsid w:val="61415D54"/>
    <w:rsid w:val="62376B72"/>
    <w:rsid w:val="62761504"/>
    <w:rsid w:val="62AF0D6F"/>
    <w:rsid w:val="639F571B"/>
    <w:rsid w:val="63CB1404"/>
    <w:rsid w:val="63E4142B"/>
    <w:rsid w:val="643248D1"/>
    <w:rsid w:val="64537E3F"/>
    <w:rsid w:val="64552C05"/>
    <w:rsid w:val="6468651B"/>
    <w:rsid w:val="647E28AB"/>
    <w:rsid w:val="65D6756D"/>
    <w:rsid w:val="65DC3ADD"/>
    <w:rsid w:val="65F4275B"/>
    <w:rsid w:val="66057C04"/>
    <w:rsid w:val="66063680"/>
    <w:rsid w:val="662D4C43"/>
    <w:rsid w:val="665E5732"/>
    <w:rsid w:val="670E47B5"/>
    <w:rsid w:val="67300F8F"/>
    <w:rsid w:val="676D06D5"/>
    <w:rsid w:val="67D773EF"/>
    <w:rsid w:val="67F4397B"/>
    <w:rsid w:val="6856235B"/>
    <w:rsid w:val="69645192"/>
    <w:rsid w:val="69B45878"/>
    <w:rsid w:val="69F054E3"/>
    <w:rsid w:val="6A1F142A"/>
    <w:rsid w:val="6AA354D5"/>
    <w:rsid w:val="6AE7022F"/>
    <w:rsid w:val="6B222AFB"/>
    <w:rsid w:val="6B333E53"/>
    <w:rsid w:val="6B895985"/>
    <w:rsid w:val="6BC255D4"/>
    <w:rsid w:val="6BC76BC2"/>
    <w:rsid w:val="6C376EFF"/>
    <w:rsid w:val="6C411B2C"/>
    <w:rsid w:val="6C5F65AB"/>
    <w:rsid w:val="6CAA48DE"/>
    <w:rsid w:val="6CEC36E0"/>
    <w:rsid w:val="6E2A6561"/>
    <w:rsid w:val="6E2B5CB0"/>
    <w:rsid w:val="6E6A7F2D"/>
    <w:rsid w:val="6E6D0944"/>
    <w:rsid w:val="6F0A57F1"/>
    <w:rsid w:val="6F6F1F11"/>
    <w:rsid w:val="6FB865A9"/>
    <w:rsid w:val="6FB90C01"/>
    <w:rsid w:val="6FD647C9"/>
    <w:rsid w:val="70360F34"/>
    <w:rsid w:val="703E2D6C"/>
    <w:rsid w:val="70BB0567"/>
    <w:rsid w:val="70D97EDA"/>
    <w:rsid w:val="70F920EA"/>
    <w:rsid w:val="719F4F51"/>
    <w:rsid w:val="723310B1"/>
    <w:rsid w:val="7250037F"/>
    <w:rsid w:val="7271732C"/>
    <w:rsid w:val="72B3471F"/>
    <w:rsid w:val="73284C44"/>
    <w:rsid w:val="73346AFA"/>
    <w:rsid w:val="73A155A6"/>
    <w:rsid w:val="73AB1BCC"/>
    <w:rsid w:val="73FC0860"/>
    <w:rsid w:val="74E65117"/>
    <w:rsid w:val="755B2A29"/>
    <w:rsid w:val="76001620"/>
    <w:rsid w:val="761D4081"/>
    <w:rsid w:val="7684396B"/>
    <w:rsid w:val="76A7061B"/>
    <w:rsid w:val="77AA680B"/>
    <w:rsid w:val="7841434B"/>
    <w:rsid w:val="784E2461"/>
    <w:rsid w:val="7881041A"/>
    <w:rsid w:val="789E7E25"/>
    <w:rsid w:val="79081B29"/>
    <w:rsid w:val="79226E50"/>
    <w:rsid w:val="793A00B5"/>
    <w:rsid w:val="793F27AB"/>
    <w:rsid w:val="796977C7"/>
    <w:rsid w:val="799622D7"/>
    <w:rsid w:val="79D71DB0"/>
    <w:rsid w:val="79F26833"/>
    <w:rsid w:val="7A07188E"/>
    <w:rsid w:val="7A20343C"/>
    <w:rsid w:val="7ADB4D79"/>
    <w:rsid w:val="7B312E12"/>
    <w:rsid w:val="7B800C8F"/>
    <w:rsid w:val="7BCB5521"/>
    <w:rsid w:val="7CA234A7"/>
    <w:rsid w:val="7CA63C51"/>
    <w:rsid w:val="7CE25C31"/>
    <w:rsid w:val="7CE65C0A"/>
    <w:rsid w:val="7D006DF1"/>
    <w:rsid w:val="7DA458C4"/>
    <w:rsid w:val="7DDA4CBA"/>
    <w:rsid w:val="7E0268BD"/>
    <w:rsid w:val="7E212DBE"/>
    <w:rsid w:val="7E353DE4"/>
    <w:rsid w:val="7E503BFB"/>
    <w:rsid w:val="7E983356"/>
    <w:rsid w:val="7ED55051"/>
    <w:rsid w:val="7EDD6E05"/>
    <w:rsid w:val="7EFF3655"/>
    <w:rsid w:val="7F366978"/>
    <w:rsid w:val="7F8C08C9"/>
    <w:rsid w:val="7FA07E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0"/>
    <w:pPr>
      <w:keepNext/>
      <w:keepLines/>
      <w:adjustRightInd w:val="0"/>
      <w:snapToGrid w:val="0"/>
      <w:spacing w:line="360" w:lineRule="auto"/>
      <w:outlineLvl w:val="0"/>
    </w:pPr>
    <w:rPr>
      <w:b/>
      <w:bCs/>
      <w:sz w:val="32"/>
      <w:szCs w:val="32"/>
    </w:rPr>
  </w:style>
  <w:style w:type="paragraph" w:styleId="3">
    <w:name w:val="heading 2"/>
    <w:basedOn w:val="1"/>
    <w:next w:val="1"/>
    <w:link w:val="31"/>
    <w:qFormat/>
    <w:uiPriority w:val="0"/>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link w:val="32"/>
    <w:qFormat/>
    <w:uiPriority w:val="0"/>
    <w:pPr>
      <w:keepNext/>
      <w:keepLines/>
      <w:spacing w:before="260" w:after="260" w:line="416" w:lineRule="auto"/>
      <w:outlineLvl w:val="2"/>
    </w:pPr>
    <w:rPr>
      <w:b/>
      <w:bCs/>
      <w:sz w:val="32"/>
      <w:szCs w:val="32"/>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qFormat/>
    <w:uiPriority w:val="0"/>
    <w:rPr>
      <w:sz w:val="28"/>
    </w:rPr>
  </w:style>
  <w:style w:type="paragraph" w:styleId="6">
    <w:name w:val="toc 1"/>
    <w:basedOn w:val="1"/>
    <w:next w:val="1"/>
    <w:link w:val="37"/>
    <w:qFormat/>
    <w:uiPriority w:val="39"/>
    <w:pPr>
      <w:tabs>
        <w:tab w:val="right" w:leader="dot" w:pos="8720"/>
      </w:tabs>
      <w:spacing w:line="360" w:lineRule="auto"/>
      <w:jc w:val="center"/>
    </w:pPr>
    <w:rPr>
      <w:b/>
      <w:bCs/>
      <w:caps/>
      <w:sz w:val="24"/>
      <w:szCs w:val="20"/>
    </w:rPr>
  </w:style>
  <w:style w:type="paragraph" w:styleId="7">
    <w:name w:val="caption"/>
    <w:basedOn w:val="1"/>
    <w:next w:val="1"/>
    <w:unhideWhenUsed/>
    <w:qFormat/>
    <w:uiPriority w:val="0"/>
    <w:pPr>
      <w:jc w:val="center"/>
    </w:pPr>
    <w:rPr>
      <w:rFonts w:cstheme="majorBidi"/>
      <w:b/>
      <w:szCs w:val="20"/>
    </w:rPr>
  </w:style>
  <w:style w:type="paragraph" w:styleId="8">
    <w:name w:val="Document Map"/>
    <w:basedOn w:val="1"/>
    <w:link w:val="33"/>
    <w:qFormat/>
    <w:uiPriority w:val="0"/>
    <w:rPr>
      <w:rFonts w:ascii="宋体"/>
      <w:sz w:val="18"/>
      <w:szCs w:val="18"/>
    </w:rPr>
  </w:style>
  <w:style w:type="paragraph" w:styleId="9">
    <w:name w:val="annotation text"/>
    <w:basedOn w:val="1"/>
    <w:link w:val="34"/>
    <w:qFormat/>
    <w:uiPriority w:val="0"/>
    <w:pPr>
      <w:jc w:val="left"/>
    </w:pPr>
  </w:style>
  <w:style w:type="paragraph" w:styleId="10">
    <w:name w:val="Body Text"/>
    <w:basedOn w:val="1"/>
    <w:qFormat/>
    <w:uiPriority w:val="0"/>
    <w:pPr>
      <w:spacing w:after="120"/>
    </w:pPr>
  </w:style>
  <w:style w:type="paragraph" w:styleId="11">
    <w:name w:val="Body Text Indent"/>
    <w:basedOn w:val="1"/>
    <w:next w:val="12"/>
    <w:qFormat/>
    <w:uiPriority w:val="0"/>
    <w:pPr>
      <w:ind w:left="-3" w:firstLine="423"/>
    </w:pPr>
    <w:rPr>
      <w:rFonts w:ascii="楷体_GB2312" w:eastAsia="楷体_GB2312"/>
    </w:rPr>
  </w:style>
  <w:style w:type="paragraph" w:customStyle="1" w:styleId="12">
    <w:name w:val="样式 正文文本缩进 + 行距: 1.5 倍行距"/>
    <w:basedOn w:val="1"/>
    <w:qFormat/>
    <w:uiPriority w:val="0"/>
    <w:pPr>
      <w:spacing w:after="120"/>
      <w:ind w:left="90" w:leftChars="32" w:firstLine="560" w:firstLineChars="200"/>
    </w:pPr>
    <w:rPr>
      <w:rFonts w:cs="宋体"/>
    </w:rPr>
  </w:style>
  <w:style w:type="paragraph" w:styleId="13">
    <w:name w:val="Plain Text"/>
    <w:basedOn w:val="1"/>
    <w:qFormat/>
    <w:uiPriority w:val="0"/>
    <w:pPr>
      <w:spacing w:after="120" w:line="440" w:lineRule="exact"/>
      <w:ind w:firstLine="567"/>
    </w:pPr>
    <w:rPr>
      <w:rFonts w:ascii="宋体" w:hAnsi="Courier New"/>
      <w:szCs w:val="20"/>
    </w:rPr>
  </w:style>
  <w:style w:type="paragraph" w:styleId="14">
    <w:name w:val="Body Text Indent 2"/>
    <w:basedOn w:val="1"/>
    <w:link w:val="35"/>
    <w:qFormat/>
    <w:uiPriority w:val="0"/>
    <w:pPr>
      <w:spacing w:after="120" w:line="480" w:lineRule="auto"/>
      <w:ind w:left="420" w:leftChars="200"/>
    </w:pPr>
  </w:style>
  <w:style w:type="paragraph" w:styleId="15">
    <w:name w:val="Balloon Text"/>
    <w:basedOn w:val="1"/>
    <w:link w:val="36"/>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List"/>
    <w:basedOn w:val="1"/>
    <w:qFormat/>
    <w:uiPriority w:val="0"/>
    <w:pPr>
      <w:ind w:left="200" w:hanging="200" w:hangingChars="200"/>
      <w:contextualSpacing/>
    </w:pPr>
  </w:style>
  <w:style w:type="paragraph" w:styleId="19">
    <w:name w:val="toc 2"/>
    <w:basedOn w:val="1"/>
    <w:next w:val="1"/>
    <w:qFormat/>
    <w:uiPriority w:val="39"/>
    <w:pPr>
      <w:tabs>
        <w:tab w:val="right" w:leader="dot" w:pos="8720"/>
      </w:tabs>
      <w:ind w:left="420" w:leftChars="200"/>
    </w:pPr>
  </w:style>
  <w:style w:type="paragraph" w:styleId="20">
    <w:name w:val="Normal (Web)"/>
    <w:basedOn w:val="1"/>
    <w:qFormat/>
    <w:uiPriority w:val="0"/>
    <w:pPr>
      <w:widowControl/>
      <w:spacing w:before="100" w:beforeAutospacing="1" w:after="100" w:afterAutospacing="1" w:line="500" w:lineRule="exact"/>
      <w:ind w:firstLine="880" w:firstLineChars="200"/>
      <w:jc w:val="left"/>
    </w:pPr>
    <w:rPr>
      <w:rFonts w:ascii="宋体" w:hAnsi="宋体" w:cs="宋体"/>
      <w:kern w:val="0"/>
      <w:sz w:val="18"/>
      <w:szCs w:val="18"/>
    </w:rPr>
  </w:style>
  <w:style w:type="paragraph" w:styleId="21">
    <w:name w:val="annotation subject"/>
    <w:basedOn w:val="9"/>
    <w:next w:val="9"/>
    <w:link w:val="38"/>
    <w:qFormat/>
    <w:uiPriority w:val="0"/>
    <w:rPr>
      <w:b/>
      <w:bCs/>
    </w:rPr>
  </w:style>
  <w:style w:type="paragraph" w:styleId="22">
    <w:name w:val="Body Text First Indent"/>
    <w:basedOn w:val="10"/>
    <w:qFormat/>
    <w:uiPriority w:val="0"/>
    <w:pPr>
      <w:ind w:firstLine="420" w:firstLineChars="100"/>
    </w:pPr>
  </w:style>
  <w:style w:type="paragraph" w:styleId="23">
    <w:name w:val="Body Text First Indent 2"/>
    <w:basedOn w:val="11"/>
    <w:next w:val="1"/>
    <w:qFormat/>
    <w:uiPriority w:val="0"/>
    <w:pPr>
      <w:spacing w:after="120"/>
      <w:ind w:left="420" w:leftChars="200" w:firstLine="210" w:firstLineChars="200"/>
    </w:pPr>
    <w:rPr>
      <w:rFonts w:ascii="Times New Roman"/>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qFormat/>
    <w:uiPriority w:val="0"/>
  </w:style>
  <w:style w:type="character" w:styleId="28">
    <w:name w:val="Hyperlink"/>
    <w:qFormat/>
    <w:uiPriority w:val="99"/>
    <w:rPr>
      <w:color w:val="0268CD"/>
      <w:u w:val="none"/>
    </w:rPr>
  </w:style>
  <w:style w:type="character" w:styleId="29">
    <w:name w:val="annotation reference"/>
    <w:qFormat/>
    <w:uiPriority w:val="99"/>
    <w:rPr>
      <w:sz w:val="21"/>
    </w:rPr>
  </w:style>
  <w:style w:type="character" w:customStyle="1" w:styleId="30">
    <w:name w:val="标题 1 字符"/>
    <w:link w:val="2"/>
    <w:qFormat/>
    <w:uiPriority w:val="0"/>
    <w:rPr>
      <w:b/>
      <w:bCs/>
      <w:kern w:val="2"/>
      <w:sz w:val="32"/>
      <w:szCs w:val="32"/>
    </w:rPr>
  </w:style>
  <w:style w:type="character" w:customStyle="1" w:styleId="31">
    <w:name w:val="标题 2 字符"/>
    <w:link w:val="3"/>
    <w:qFormat/>
    <w:uiPriority w:val="0"/>
    <w:rPr>
      <w:rFonts w:ascii="等线 Light" w:hAnsi="等线 Light" w:eastAsia="等线 Light" w:cs="Times New Roman"/>
      <w:b/>
      <w:bCs/>
      <w:kern w:val="2"/>
      <w:sz w:val="32"/>
      <w:szCs w:val="32"/>
    </w:rPr>
  </w:style>
  <w:style w:type="character" w:customStyle="1" w:styleId="32">
    <w:name w:val="标题 3 字符"/>
    <w:link w:val="4"/>
    <w:qFormat/>
    <w:uiPriority w:val="0"/>
    <w:rPr>
      <w:rFonts w:eastAsia="宋体"/>
      <w:b/>
      <w:bCs/>
      <w:kern w:val="2"/>
      <w:sz w:val="32"/>
      <w:szCs w:val="32"/>
      <w:lang w:val="en-US" w:eastAsia="zh-CN" w:bidi="ar-SA"/>
    </w:rPr>
  </w:style>
  <w:style w:type="character" w:customStyle="1" w:styleId="33">
    <w:name w:val="文档结构图 字符"/>
    <w:link w:val="8"/>
    <w:qFormat/>
    <w:uiPriority w:val="0"/>
    <w:rPr>
      <w:rFonts w:ascii="宋体"/>
      <w:kern w:val="2"/>
      <w:sz w:val="18"/>
      <w:szCs w:val="18"/>
    </w:rPr>
  </w:style>
  <w:style w:type="character" w:customStyle="1" w:styleId="34">
    <w:name w:val="批注文字 字符"/>
    <w:link w:val="9"/>
    <w:qFormat/>
    <w:uiPriority w:val="0"/>
    <w:rPr>
      <w:kern w:val="2"/>
      <w:sz w:val="21"/>
      <w:szCs w:val="24"/>
    </w:rPr>
  </w:style>
  <w:style w:type="character" w:customStyle="1" w:styleId="35">
    <w:name w:val="正文文本缩进 2 字符"/>
    <w:link w:val="14"/>
    <w:qFormat/>
    <w:uiPriority w:val="0"/>
    <w:rPr>
      <w:kern w:val="2"/>
      <w:sz w:val="21"/>
      <w:szCs w:val="24"/>
    </w:rPr>
  </w:style>
  <w:style w:type="character" w:customStyle="1" w:styleId="36">
    <w:name w:val="批注框文本 字符"/>
    <w:link w:val="15"/>
    <w:qFormat/>
    <w:uiPriority w:val="0"/>
    <w:rPr>
      <w:kern w:val="2"/>
      <w:sz w:val="18"/>
      <w:szCs w:val="18"/>
    </w:rPr>
  </w:style>
  <w:style w:type="character" w:customStyle="1" w:styleId="37">
    <w:name w:val="TOC 1 字符"/>
    <w:link w:val="6"/>
    <w:qFormat/>
    <w:uiPriority w:val="39"/>
    <w:rPr>
      <w:b/>
      <w:bCs/>
      <w:caps/>
      <w:kern w:val="2"/>
      <w:sz w:val="24"/>
    </w:rPr>
  </w:style>
  <w:style w:type="character" w:customStyle="1" w:styleId="38">
    <w:name w:val="批注主题 字符"/>
    <w:link w:val="21"/>
    <w:qFormat/>
    <w:uiPriority w:val="0"/>
    <w:rPr>
      <w:b/>
      <w:bCs/>
      <w:kern w:val="2"/>
      <w:sz w:val="21"/>
      <w:szCs w:val="24"/>
    </w:rPr>
  </w:style>
  <w:style w:type="character" w:customStyle="1" w:styleId="39">
    <w:name w:val="font01"/>
    <w:qFormat/>
    <w:uiPriority w:val="0"/>
    <w:rPr>
      <w:rFonts w:hint="eastAsia" w:ascii="宋体" w:hAnsi="宋体" w:eastAsia="宋体" w:cs="宋体"/>
      <w:color w:val="000000"/>
      <w:sz w:val="22"/>
      <w:szCs w:val="22"/>
      <w:u w:val="none"/>
    </w:rPr>
  </w:style>
  <w:style w:type="character" w:customStyle="1" w:styleId="40">
    <w:name w:val="font41"/>
    <w:qFormat/>
    <w:uiPriority w:val="0"/>
    <w:rPr>
      <w:rFonts w:ascii="Arial" w:hAnsi="Arial" w:cs="Arial"/>
      <w:color w:val="000000"/>
      <w:sz w:val="22"/>
      <w:szCs w:val="22"/>
      <w:u w:val="none"/>
    </w:rPr>
  </w:style>
  <w:style w:type="character" w:customStyle="1" w:styleId="41">
    <w:name w:val="font11"/>
    <w:qFormat/>
    <w:uiPriority w:val="0"/>
    <w:rPr>
      <w:rFonts w:ascii="Wingdings 2" w:hAnsi="Wingdings 2" w:eastAsia="Wingdings 2" w:cs="Wingdings 2"/>
      <w:color w:val="000000"/>
      <w:sz w:val="22"/>
      <w:szCs w:val="22"/>
      <w:u w:val="none"/>
    </w:rPr>
  </w:style>
  <w:style w:type="character" w:customStyle="1" w:styleId="42">
    <w:name w:val="font51"/>
    <w:qFormat/>
    <w:uiPriority w:val="0"/>
    <w:rPr>
      <w:rFonts w:hint="default" w:ascii="Times New Roman" w:hAnsi="Times New Roman" w:cs="Times New Roman"/>
      <w:color w:val="000000"/>
      <w:sz w:val="22"/>
      <w:szCs w:val="22"/>
      <w:u w:val="none"/>
    </w:rPr>
  </w:style>
  <w:style w:type="character" w:customStyle="1" w:styleId="43">
    <w:name w:val="font61"/>
    <w:qFormat/>
    <w:uiPriority w:val="0"/>
    <w:rPr>
      <w:rFonts w:hint="eastAsia" w:ascii="宋体" w:hAnsi="宋体" w:eastAsia="宋体" w:cs="宋体"/>
      <w:color w:val="000000"/>
      <w:sz w:val="22"/>
      <w:szCs w:val="22"/>
      <w:u w:val="single"/>
    </w:rPr>
  </w:style>
  <w:style w:type="character" w:customStyle="1" w:styleId="44">
    <w:name w:val="报告书正文 Char"/>
    <w:link w:val="45"/>
    <w:qFormat/>
    <w:uiPriority w:val="0"/>
    <w:rPr>
      <w:kern w:val="2"/>
      <w:sz w:val="24"/>
      <w:szCs w:val="24"/>
    </w:rPr>
  </w:style>
  <w:style w:type="paragraph" w:customStyle="1" w:styleId="45">
    <w:name w:val="报告书正文"/>
    <w:basedOn w:val="1"/>
    <w:link w:val="44"/>
    <w:qFormat/>
    <w:uiPriority w:val="0"/>
    <w:pPr>
      <w:spacing w:line="360" w:lineRule="auto"/>
      <w:ind w:firstLine="200" w:firstLineChars="200"/>
    </w:pPr>
    <w:rPr>
      <w:sz w:val="24"/>
    </w:rPr>
  </w:style>
  <w:style w:type="paragraph" w:customStyle="1" w:styleId="46">
    <w:name w:val="新格式表"/>
    <w:basedOn w:val="1"/>
    <w:qFormat/>
    <w:uiPriority w:val="0"/>
    <w:pPr>
      <w:adjustRightInd w:val="0"/>
      <w:snapToGrid w:val="0"/>
      <w:spacing w:line="0" w:lineRule="atLeast"/>
      <w:jc w:val="center"/>
    </w:pPr>
    <w:rPr>
      <w:color w:val="000000"/>
      <w:kern w:val="0"/>
      <w:szCs w:val="21"/>
    </w:rPr>
  </w:style>
  <w:style w:type="paragraph" w:customStyle="1" w:styleId="47">
    <w:name w:val="缩进"/>
    <w:basedOn w:val="1"/>
    <w:qFormat/>
    <w:uiPriority w:val="0"/>
    <w:pPr>
      <w:autoSpaceDE w:val="0"/>
      <w:autoSpaceDN w:val="0"/>
      <w:adjustRightInd w:val="0"/>
      <w:spacing w:line="400" w:lineRule="atLeast"/>
      <w:ind w:firstLine="425"/>
      <w:textAlignment w:val="baseline"/>
    </w:pPr>
    <w:rPr>
      <w:kern w:val="0"/>
      <w:sz w:val="24"/>
      <w:szCs w:val="20"/>
    </w:rPr>
  </w:style>
  <w:style w:type="paragraph" w:customStyle="1" w:styleId="48">
    <w:name w:val="Char Char Char1 Char"/>
    <w:basedOn w:val="1"/>
    <w:semiHidden/>
    <w:qFormat/>
    <w:uiPriority w:val="0"/>
  </w:style>
  <w:style w:type="paragraph" w:customStyle="1" w:styleId="49">
    <w:name w:val="3级标题"/>
    <w:basedOn w:val="1"/>
    <w:qFormat/>
    <w:uiPriority w:val="0"/>
    <w:pPr>
      <w:keepNext/>
      <w:keepLines/>
      <w:tabs>
        <w:tab w:val="left" w:pos="720"/>
      </w:tabs>
      <w:adjustRightInd w:val="0"/>
      <w:snapToGrid w:val="0"/>
      <w:spacing w:line="360" w:lineRule="auto"/>
      <w:outlineLvl w:val="2"/>
    </w:pPr>
    <w:rPr>
      <w:rFonts w:hAnsi="宋体"/>
      <w:b/>
      <w:sz w:val="28"/>
      <w:szCs w:val="28"/>
    </w:rPr>
  </w:style>
  <w:style w:type="paragraph" w:customStyle="1" w:styleId="50">
    <w:name w:val="正文001"/>
    <w:basedOn w:val="1"/>
    <w:qFormat/>
    <w:uiPriority w:val="0"/>
    <w:pPr>
      <w:spacing w:before="60" w:line="420" w:lineRule="exact"/>
      <w:ind w:firstLine="482"/>
    </w:pPr>
    <w:rPr>
      <w:szCs w:val="20"/>
    </w:rPr>
  </w:style>
  <w:style w:type="paragraph" w:customStyle="1" w:styleId="51">
    <w:name w:val="正文1"/>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52">
    <w:name w:val="表头及表尾"/>
    <w:basedOn w:val="1"/>
    <w:qFormat/>
    <w:uiPriority w:val="0"/>
    <w:pPr>
      <w:widowControl/>
      <w:tabs>
        <w:tab w:val="center" w:pos="4200"/>
        <w:tab w:val="right" w:pos="8400"/>
      </w:tabs>
      <w:adjustRightInd w:val="0"/>
      <w:snapToGrid w:val="0"/>
      <w:spacing w:line="500" w:lineRule="exact"/>
      <w:ind w:firstLine="880" w:firstLineChars="200"/>
      <w:jc w:val="left"/>
    </w:pPr>
    <w:rPr>
      <w:b/>
      <w:kern w:val="0"/>
      <w:szCs w:val="21"/>
    </w:rPr>
  </w:style>
  <w:style w:type="paragraph" w:customStyle="1" w:styleId="53">
    <w:name w:val="Body Text 23"/>
    <w:basedOn w:val="1"/>
    <w:qFormat/>
    <w:uiPriority w:val="0"/>
    <w:pPr>
      <w:adjustRightInd w:val="0"/>
      <w:spacing w:after="120"/>
      <w:ind w:left="420"/>
      <w:textAlignment w:val="baseline"/>
    </w:pPr>
    <w:rPr>
      <w:rFonts w:hint="eastAsia" w:ascii="宋体" w:hAnsi="宋体"/>
      <w:sz w:val="24"/>
      <w:szCs w:val="20"/>
    </w:rPr>
  </w:style>
  <w:style w:type="paragraph" w:customStyle="1" w:styleId="54">
    <w:name w:val="表格"/>
    <w:basedOn w:val="18"/>
    <w:qFormat/>
    <w:uiPriority w:val="0"/>
    <w:pPr>
      <w:widowControl/>
      <w:tabs>
        <w:tab w:val="center" w:pos="4393"/>
        <w:tab w:val="left" w:pos="6780"/>
      </w:tabs>
      <w:ind w:left="0" w:firstLine="0" w:firstLineChars="0"/>
      <w:jc w:val="center"/>
    </w:pPr>
    <w:rPr>
      <w:rFonts w:cs="宋体"/>
      <w:color w:val="000000"/>
    </w:rPr>
  </w:style>
  <w:style w:type="paragraph" w:customStyle="1" w:styleId="55">
    <w:name w:val="默认段落字体 Para Char"/>
    <w:basedOn w:val="1"/>
    <w:qFormat/>
    <w:uiPriority w:val="0"/>
    <w:pPr>
      <w:spacing w:line="360" w:lineRule="auto"/>
    </w:pPr>
    <w:rPr>
      <w:rFonts w:ascii="宋体" w:hAnsi="宋体" w:cs="宋体"/>
      <w:sz w:val="24"/>
    </w:rPr>
  </w:style>
  <w:style w:type="paragraph" w:customStyle="1" w:styleId="56">
    <w:name w:val="文章正文样式"/>
    <w:basedOn w:val="1"/>
    <w:qFormat/>
    <w:uiPriority w:val="0"/>
    <w:pPr>
      <w:spacing w:line="520" w:lineRule="exact"/>
      <w:ind w:firstLine="480" w:firstLineChars="200"/>
      <w:jc w:val="left"/>
    </w:pPr>
    <w:rPr>
      <w:rFonts w:ascii="宋体" w:hAnsi="宋体"/>
      <w:szCs w:val="20"/>
    </w:rPr>
  </w:style>
  <w:style w:type="paragraph" w:customStyle="1" w:styleId="57">
    <w:name w:val="样式1"/>
    <w:basedOn w:val="1"/>
    <w:qFormat/>
    <w:uiPriority w:val="0"/>
    <w:pPr>
      <w:adjustRightInd w:val="0"/>
      <w:spacing w:line="360" w:lineRule="exact"/>
      <w:ind w:firstLine="480" w:firstLineChars="200"/>
      <w:jc w:val="left"/>
      <w:textAlignment w:val="baseline"/>
    </w:pPr>
    <w:rPr>
      <w:rFonts w:eastAsia="楷体_GB2312"/>
      <w:sz w:val="24"/>
      <w:szCs w:val="20"/>
    </w:rPr>
  </w:style>
  <w:style w:type="paragraph" w:customStyle="1" w:styleId="58">
    <w:name w:val="文章正文样式 Char Char Char4"/>
    <w:basedOn w:val="1"/>
    <w:qFormat/>
    <w:uiPriority w:val="0"/>
    <w:pPr>
      <w:spacing w:line="520" w:lineRule="exact"/>
      <w:ind w:firstLine="480" w:firstLineChars="200"/>
      <w:jc w:val="left"/>
    </w:pPr>
    <w:rPr>
      <w:rFonts w:ascii="宋体" w:hAnsi="宋体" w:cs="宋体"/>
      <w:kern w:val="0"/>
      <w:sz w:val="24"/>
    </w:rPr>
  </w:style>
  <w:style w:type="paragraph" w:customStyle="1" w:styleId="59">
    <w:name w:val="表格文字"/>
    <w:basedOn w:val="1"/>
    <w:qFormat/>
    <w:uiPriority w:val="0"/>
    <w:pPr>
      <w:spacing w:line="360" w:lineRule="exact"/>
      <w:jc w:val="center"/>
    </w:pPr>
  </w:style>
  <w:style w:type="character" w:styleId="60">
    <w:name w:val="Placeholder Text"/>
    <w:basedOn w:val="26"/>
    <w:unhideWhenUsed/>
    <w:qFormat/>
    <w:uiPriority w:val="99"/>
    <w:rPr>
      <w:color w:val="666666"/>
    </w:rPr>
  </w:style>
  <w:style w:type="paragraph" w:customStyle="1" w:styleId="61">
    <w:name w:val="表格内容居中"/>
    <w:qFormat/>
    <w:uiPriority w:val="0"/>
    <w:pPr>
      <w:adjustRightInd w:val="0"/>
      <w:snapToGrid w:val="0"/>
      <w:jc w:val="center"/>
    </w:pPr>
    <w:rPr>
      <w:rFonts w:ascii="Times New Roman" w:hAnsi="Times New Roman" w:eastAsia="宋体" w:cs="Times New Roman"/>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16.emf"/><Relationship Id="rId25" Type="http://schemas.openxmlformats.org/officeDocument/2006/relationships/oleObject" Target="embeddings/oleObject2.bin"/><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B7C9ED-1A38-4306-97E3-B3A2F827A44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54</Pages>
  <Words>2270</Words>
  <Characters>2687</Characters>
  <Lines>264</Lines>
  <Paragraphs>74</Paragraphs>
  <TotalTime>28</TotalTime>
  <ScaleCrop>false</ScaleCrop>
  <LinksUpToDate>false</LinksUpToDate>
  <CharactersWithSpaces>2741</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2024-02-05T09:43:00Z</dcterms:created>
  <dc:creator>hg4201</dc:creator>
  <cp:lastModifiedBy>20314</cp:lastModifiedBy>
  <cp:lastPrinted>2024-03-21T01:17:00Z</cp:lastPrinted>
  <dcterms:modified xsi:type="dcterms:W3CDTF">2025-08-27T08:34:13Z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BD8A7FDE6CA14D6480D8AD43A3FDCFC4</vt:lpwstr>
  </property>
  <property fmtid="{D5CDD505-2E9C-101B-9397-08002B2CF9AE}" pid="4" name="KSOTemplateDocerSaveRecord">
    <vt:lpwstr>eyJoZGlkIjoiN2I4YzVlMmUyMjc0YjZhY2E1YmJiMWRiMWI0YzAwNTIiLCJ1c2VySWQiOiIxMDM3NjMxMjY0In0=</vt:lpwstr>
  </property>
</Properties>
</file>