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F50017">
      <w:pPr>
        <w:rPr>
          <w:rFonts w:eastAsia="仿宋_GB2312" w:cs="仿宋_GB2312"/>
          <w:sz w:val="36"/>
          <w:szCs w:val="36"/>
        </w:rPr>
      </w:pPr>
    </w:p>
    <w:p w14:paraId="3C115CAE">
      <w:pPr>
        <w:rPr>
          <w:rFonts w:eastAsia="仿宋_GB2312" w:cs="仿宋_GB2312"/>
          <w:sz w:val="36"/>
          <w:szCs w:val="36"/>
        </w:rPr>
      </w:pPr>
    </w:p>
    <w:p w14:paraId="011D4F77">
      <w:pPr>
        <w:rPr>
          <w:rFonts w:eastAsia="仿宋_GB2312" w:cs="仿宋_GB2312"/>
          <w:sz w:val="36"/>
          <w:szCs w:val="36"/>
        </w:rPr>
      </w:pPr>
    </w:p>
    <w:p w14:paraId="5C7E29F2">
      <w:pPr>
        <w:rPr>
          <w:rFonts w:eastAsia="仿宋_GB2312" w:cs="仿宋_GB2312"/>
          <w:sz w:val="36"/>
          <w:szCs w:val="36"/>
        </w:rPr>
      </w:pPr>
    </w:p>
    <w:p w14:paraId="6F1C1F13">
      <w:pPr>
        <w:rPr>
          <w:rFonts w:eastAsia="仿宋_GB2312" w:cs="仿宋_GB2312"/>
          <w:sz w:val="36"/>
          <w:szCs w:val="36"/>
        </w:rPr>
      </w:pPr>
    </w:p>
    <w:p w14:paraId="24E1125E">
      <w:pPr>
        <w:snapToGrid w:val="0"/>
        <w:jc w:val="center"/>
        <w:outlineLvl w:val="2"/>
        <w:rPr>
          <w:rFonts w:eastAsia="方正小标宋_GBK"/>
          <w:bCs/>
          <w:sz w:val="72"/>
          <w:szCs w:val="72"/>
        </w:rPr>
      </w:pPr>
      <w:r>
        <w:rPr>
          <w:rFonts w:hint="eastAsia" w:eastAsia="方正小标宋_GBK"/>
          <w:bCs/>
          <w:sz w:val="72"/>
          <w:szCs w:val="72"/>
        </w:rPr>
        <w:t>建设项目环境影响报告表</w:t>
      </w:r>
    </w:p>
    <w:p w14:paraId="698A5A5E">
      <w:pPr>
        <w:snapToGrid w:val="0"/>
        <w:spacing w:before="192" w:beforeLines="80"/>
        <w:jc w:val="center"/>
        <w:rPr>
          <w:rFonts w:hint="eastAsia" w:eastAsia="楷体_GB2312"/>
          <w:bCs/>
          <w:sz w:val="48"/>
          <w:szCs w:val="48"/>
        </w:rPr>
      </w:pPr>
      <w:r>
        <w:rPr>
          <w:rFonts w:hint="eastAsia" w:eastAsia="楷体_GB2312"/>
          <w:bCs/>
          <w:sz w:val="48"/>
          <w:szCs w:val="48"/>
        </w:rPr>
        <w:t>（污染影响类）</w:t>
      </w:r>
    </w:p>
    <w:p w14:paraId="2B004FF3">
      <w:pPr>
        <w:snapToGrid w:val="0"/>
        <w:spacing w:before="192" w:beforeLines="80"/>
        <w:jc w:val="center"/>
        <w:rPr>
          <w:rFonts w:hint="default" w:eastAsia="楷体_GB2312"/>
          <w:bCs/>
          <w:sz w:val="48"/>
          <w:szCs w:val="48"/>
          <w:lang w:val="en-US" w:eastAsia="zh-CN"/>
        </w:rPr>
      </w:pPr>
      <w:r>
        <w:rPr>
          <w:rFonts w:hint="eastAsia" w:eastAsia="楷体_GB2312"/>
          <w:bCs/>
          <w:sz w:val="48"/>
          <w:szCs w:val="48"/>
          <w:lang w:eastAsia="zh-CN"/>
        </w:rPr>
        <w:t>（</w:t>
      </w:r>
      <w:r>
        <w:rPr>
          <w:rFonts w:hint="eastAsia" w:eastAsia="楷体_GB2312"/>
          <w:bCs/>
          <w:sz w:val="48"/>
          <w:szCs w:val="48"/>
          <w:lang w:val="en-US" w:eastAsia="zh-CN"/>
        </w:rPr>
        <w:t>公示本</w:t>
      </w:r>
      <w:r>
        <w:rPr>
          <w:rFonts w:hint="eastAsia" w:eastAsia="楷体_GB2312"/>
          <w:bCs/>
          <w:sz w:val="48"/>
          <w:szCs w:val="48"/>
          <w:lang w:eastAsia="zh-CN"/>
        </w:rPr>
        <w:t>）</w:t>
      </w:r>
    </w:p>
    <w:p w14:paraId="7BB9A727">
      <w:pPr>
        <w:snapToGrid w:val="0"/>
        <w:spacing w:before="192" w:beforeLines="80"/>
        <w:jc w:val="center"/>
        <w:rPr>
          <w:rFonts w:eastAsia="楷体_GB2312"/>
          <w:bCs/>
          <w:sz w:val="48"/>
          <w:szCs w:val="48"/>
        </w:rPr>
      </w:pPr>
    </w:p>
    <w:p w14:paraId="1C4E8FA9">
      <w:pPr>
        <w:snapToGrid w:val="0"/>
        <w:spacing w:before="192" w:beforeLines="80"/>
        <w:jc w:val="center"/>
        <w:rPr>
          <w:rFonts w:eastAsia="楷体_GB2312"/>
          <w:bCs/>
          <w:sz w:val="48"/>
          <w:szCs w:val="48"/>
        </w:rPr>
      </w:pPr>
    </w:p>
    <w:p w14:paraId="0CEA100D">
      <w:pPr>
        <w:snapToGrid w:val="0"/>
        <w:spacing w:before="192" w:beforeLines="80"/>
        <w:jc w:val="center"/>
        <w:rPr>
          <w:rFonts w:eastAsia="楷体_GB2312"/>
          <w:bCs/>
          <w:sz w:val="48"/>
          <w:szCs w:val="48"/>
        </w:rPr>
      </w:pPr>
    </w:p>
    <w:p w14:paraId="0A768B68">
      <w:pPr>
        <w:snapToGrid w:val="0"/>
        <w:spacing w:before="192" w:beforeLines="80"/>
        <w:jc w:val="center"/>
        <w:rPr>
          <w:rFonts w:eastAsia="楷体_GB2312"/>
          <w:bCs/>
          <w:sz w:val="48"/>
          <w:szCs w:val="48"/>
        </w:rPr>
      </w:pPr>
    </w:p>
    <w:p w14:paraId="00CECF9B">
      <w:pPr>
        <w:snapToGrid w:val="0"/>
        <w:spacing w:before="192" w:beforeLines="80"/>
        <w:jc w:val="center"/>
        <w:rPr>
          <w:rFonts w:eastAsia="楷体_GB2312"/>
          <w:bCs/>
          <w:sz w:val="48"/>
          <w:szCs w:val="48"/>
        </w:rPr>
      </w:pPr>
    </w:p>
    <w:p w14:paraId="18FF10FA">
      <w:pPr>
        <w:snapToGrid w:val="0"/>
        <w:spacing w:before="192" w:beforeLines="80"/>
        <w:jc w:val="center"/>
        <w:rPr>
          <w:rFonts w:eastAsia="楷体_GB2312"/>
          <w:bCs/>
          <w:sz w:val="48"/>
          <w:szCs w:val="48"/>
        </w:rPr>
      </w:pPr>
    </w:p>
    <w:p w14:paraId="0C3B0BFC">
      <w:pPr>
        <w:snapToGrid w:val="0"/>
        <w:spacing w:before="192" w:beforeLines="80"/>
        <w:jc w:val="center"/>
        <w:rPr>
          <w:rFonts w:eastAsia="楷体_GB2312"/>
          <w:bCs/>
          <w:sz w:val="48"/>
          <w:szCs w:val="48"/>
        </w:rPr>
      </w:pPr>
    </w:p>
    <w:tbl>
      <w:tblPr>
        <w:tblStyle w:val="20"/>
        <w:tblW w:w="5000" w:type="pct"/>
        <w:jc w:val="center"/>
        <w:tblLayout w:type="autofit"/>
        <w:tblCellMar>
          <w:top w:w="0" w:type="dxa"/>
          <w:left w:w="0" w:type="dxa"/>
          <w:bottom w:w="0" w:type="dxa"/>
          <w:right w:w="0" w:type="dxa"/>
        </w:tblCellMar>
      </w:tblPr>
      <w:tblGrid>
        <w:gridCol w:w="2610"/>
        <w:gridCol w:w="5696"/>
      </w:tblGrid>
      <w:tr w14:paraId="3D394CE3">
        <w:trPr>
          <w:trHeight w:val="169" w:hRule="atLeast"/>
          <w:jc w:val="center"/>
        </w:trPr>
        <w:tc>
          <w:tcPr>
            <w:tcW w:w="1571" w:type="pct"/>
            <w:shd w:val="clear" w:color="auto" w:fill="auto"/>
            <w:vAlign w:val="center"/>
          </w:tcPr>
          <w:p w14:paraId="50477443">
            <w:pPr>
              <w:spacing w:line="480" w:lineRule="exact"/>
              <w:jc w:val="distribute"/>
              <w:rPr>
                <w:sz w:val="22"/>
                <w:szCs w:val="22"/>
              </w:rPr>
            </w:pPr>
            <w:r>
              <w:rPr>
                <w:rFonts w:eastAsia="微软雅黑"/>
                <w:sz w:val="32"/>
                <w:szCs w:val="32"/>
              </w:rPr>
              <w:t>项目名称：</w:t>
            </w:r>
          </w:p>
        </w:tc>
        <w:tc>
          <w:tcPr>
            <w:tcW w:w="3429" w:type="pct"/>
            <w:tcBorders>
              <w:bottom w:val="single" w:color="auto" w:sz="4" w:space="0"/>
            </w:tcBorders>
            <w:shd w:val="clear" w:color="auto" w:fill="auto"/>
            <w:vAlign w:val="center"/>
          </w:tcPr>
          <w:p w14:paraId="2D15ED31">
            <w:pPr>
              <w:spacing w:line="360" w:lineRule="exact"/>
              <w:jc w:val="center"/>
              <w:rPr>
                <w:rFonts w:eastAsia="仿宋"/>
                <w:sz w:val="36"/>
                <w:szCs w:val="36"/>
              </w:rPr>
            </w:pPr>
            <w:r>
              <w:rPr>
                <w:rFonts w:hint="eastAsia" w:eastAsia="仿宋"/>
                <w:b/>
                <w:bCs/>
                <w:sz w:val="36"/>
                <w:szCs w:val="36"/>
              </w:rPr>
              <w:t>钦州港片区建筑垃圾消纳场资源化利用项目</w:t>
            </w:r>
          </w:p>
        </w:tc>
      </w:tr>
      <w:tr w14:paraId="62B936E2">
        <w:tblPrEx>
          <w:tblCellMar>
            <w:top w:w="0" w:type="dxa"/>
            <w:left w:w="0" w:type="dxa"/>
            <w:bottom w:w="0" w:type="dxa"/>
            <w:right w:w="0" w:type="dxa"/>
          </w:tblCellMar>
        </w:tblPrEx>
        <w:trPr>
          <w:trHeight w:val="575" w:hRule="atLeast"/>
          <w:jc w:val="center"/>
        </w:trPr>
        <w:tc>
          <w:tcPr>
            <w:tcW w:w="1571" w:type="pct"/>
            <w:shd w:val="clear" w:color="auto" w:fill="auto"/>
            <w:vAlign w:val="center"/>
          </w:tcPr>
          <w:p w14:paraId="5A47835E">
            <w:pPr>
              <w:spacing w:line="640" w:lineRule="exact"/>
              <w:jc w:val="distribute"/>
              <w:rPr>
                <w:sz w:val="22"/>
                <w:szCs w:val="22"/>
              </w:rPr>
            </w:pPr>
            <w:r>
              <w:rPr>
                <w:rFonts w:eastAsia="微软雅黑"/>
                <w:sz w:val="32"/>
                <w:szCs w:val="32"/>
              </w:rPr>
              <w:t>建设单位(盖章)：</w:t>
            </w:r>
          </w:p>
        </w:tc>
        <w:tc>
          <w:tcPr>
            <w:tcW w:w="3429" w:type="pct"/>
            <w:tcBorders>
              <w:top w:val="single" w:color="auto" w:sz="4" w:space="0"/>
              <w:bottom w:val="single" w:color="auto" w:sz="4" w:space="0"/>
            </w:tcBorders>
            <w:shd w:val="clear" w:color="auto" w:fill="auto"/>
            <w:vAlign w:val="center"/>
          </w:tcPr>
          <w:p w14:paraId="0487A45D">
            <w:pPr>
              <w:spacing w:line="360" w:lineRule="exact"/>
              <w:jc w:val="center"/>
              <w:rPr>
                <w:rFonts w:eastAsia="仿宋"/>
                <w:sz w:val="36"/>
                <w:szCs w:val="36"/>
              </w:rPr>
            </w:pPr>
            <w:r>
              <w:rPr>
                <w:rFonts w:hint="eastAsia" w:eastAsia="仿宋"/>
                <w:b/>
                <w:bCs/>
                <w:sz w:val="36"/>
                <w:szCs w:val="36"/>
              </w:rPr>
              <w:t>钦州市钦州港市政管理有限公司</w:t>
            </w:r>
          </w:p>
        </w:tc>
      </w:tr>
      <w:tr w14:paraId="16B316E6">
        <w:tblPrEx>
          <w:tblCellMar>
            <w:top w:w="0" w:type="dxa"/>
            <w:left w:w="0" w:type="dxa"/>
            <w:bottom w:w="0" w:type="dxa"/>
            <w:right w:w="0" w:type="dxa"/>
          </w:tblCellMar>
        </w:tblPrEx>
        <w:trPr>
          <w:jc w:val="center"/>
        </w:trPr>
        <w:tc>
          <w:tcPr>
            <w:tcW w:w="1571" w:type="pct"/>
            <w:shd w:val="clear" w:color="auto" w:fill="auto"/>
            <w:vAlign w:val="center"/>
          </w:tcPr>
          <w:p w14:paraId="767B77A8">
            <w:pPr>
              <w:spacing w:line="640" w:lineRule="exact"/>
              <w:jc w:val="distribute"/>
              <w:rPr>
                <w:sz w:val="22"/>
                <w:szCs w:val="22"/>
              </w:rPr>
            </w:pPr>
            <w:r>
              <w:rPr>
                <w:rFonts w:eastAsia="微软雅黑"/>
                <w:sz w:val="32"/>
                <w:szCs w:val="32"/>
              </w:rPr>
              <w:t>编制日期：</w:t>
            </w:r>
          </w:p>
        </w:tc>
        <w:tc>
          <w:tcPr>
            <w:tcW w:w="3429" w:type="pct"/>
            <w:tcBorders>
              <w:top w:val="single" w:color="auto" w:sz="4" w:space="0"/>
              <w:bottom w:val="single" w:color="auto" w:sz="4" w:space="0"/>
            </w:tcBorders>
            <w:shd w:val="clear" w:color="auto" w:fill="auto"/>
            <w:vAlign w:val="center"/>
          </w:tcPr>
          <w:p w14:paraId="79AA5606">
            <w:pPr>
              <w:spacing w:line="640" w:lineRule="exact"/>
              <w:jc w:val="center"/>
              <w:rPr>
                <w:rFonts w:eastAsia="仿宋"/>
                <w:sz w:val="36"/>
                <w:szCs w:val="36"/>
              </w:rPr>
            </w:pPr>
            <w:r>
              <w:rPr>
                <w:rFonts w:eastAsia="仿宋"/>
                <w:sz w:val="36"/>
                <w:szCs w:val="36"/>
              </w:rPr>
              <w:fldChar w:fldCharType="begin"/>
            </w:r>
            <w:r>
              <w:rPr>
                <w:rFonts w:eastAsia="仿宋"/>
                <w:sz w:val="36"/>
                <w:szCs w:val="36"/>
              </w:rPr>
              <w:instrText xml:space="preserve"> </w:instrText>
            </w:r>
            <w:r>
              <w:rPr>
                <w:rFonts w:hint="eastAsia" w:eastAsia="仿宋"/>
                <w:sz w:val="36"/>
                <w:szCs w:val="36"/>
              </w:rPr>
              <w:instrText xml:space="preserve">TIME \@ "yyyy年M月"</w:instrText>
            </w:r>
            <w:r>
              <w:rPr>
                <w:rFonts w:eastAsia="仿宋"/>
                <w:sz w:val="36"/>
                <w:szCs w:val="36"/>
              </w:rPr>
              <w:instrText xml:space="preserve"> </w:instrText>
            </w:r>
            <w:r>
              <w:rPr>
                <w:rFonts w:eastAsia="仿宋"/>
                <w:sz w:val="36"/>
                <w:szCs w:val="36"/>
              </w:rPr>
              <w:fldChar w:fldCharType="separate"/>
            </w:r>
            <w:r>
              <w:rPr>
                <w:rFonts w:hint="eastAsia" w:eastAsia="仿宋"/>
                <w:sz w:val="36"/>
                <w:szCs w:val="36"/>
              </w:rPr>
              <w:t>2025年8月</w:t>
            </w:r>
            <w:r>
              <w:rPr>
                <w:rFonts w:eastAsia="仿宋"/>
                <w:sz w:val="36"/>
                <w:szCs w:val="36"/>
              </w:rPr>
              <w:fldChar w:fldCharType="end"/>
            </w:r>
          </w:p>
        </w:tc>
      </w:tr>
    </w:tbl>
    <w:p w14:paraId="6F822CA0">
      <w:pPr>
        <w:adjustRightInd w:val="0"/>
        <w:snapToGrid w:val="0"/>
        <w:spacing w:line="288" w:lineRule="auto"/>
        <w:jc w:val="center"/>
        <w:rPr>
          <w:rFonts w:eastAsia="华文楷体" w:cs="华文楷体"/>
          <w:sz w:val="36"/>
          <w:szCs w:val="36"/>
        </w:rPr>
      </w:pPr>
    </w:p>
    <w:p w14:paraId="61AE6B66">
      <w:pPr>
        <w:adjustRightInd w:val="0"/>
        <w:snapToGrid w:val="0"/>
        <w:spacing w:line="288" w:lineRule="auto"/>
        <w:jc w:val="center"/>
        <w:rPr>
          <w:rFonts w:eastAsia="华文楷体" w:cs="华文楷体"/>
          <w:sz w:val="36"/>
          <w:szCs w:val="36"/>
        </w:rPr>
        <w:sectPr>
          <w:footerReference r:id="rId3" w:type="default"/>
          <w:pgSz w:w="11906" w:h="16838"/>
          <w:pgMar w:top="1440" w:right="1800" w:bottom="1440" w:left="1800" w:header="851" w:footer="1077" w:gutter="0"/>
          <w:pgNumType w:start="1"/>
          <w:cols w:space="720" w:num="1"/>
          <w:docGrid w:linePitch="312" w:charSpace="0"/>
        </w:sectPr>
      </w:pPr>
      <w:r>
        <w:rPr>
          <w:rFonts w:hint="eastAsia" w:eastAsia="华文楷体" w:cs="华文楷体"/>
          <w:sz w:val="36"/>
          <w:szCs w:val="36"/>
        </w:rPr>
        <w:t>中华人民共和国生态环境部制</w:t>
      </w:r>
    </w:p>
    <w:p w14:paraId="134BD002">
      <w:pPr>
        <w:pStyle w:val="3"/>
        <w:ind w:firstLine="480"/>
      </w:pPr>
    </w:p>
    <w:p w14:paraId="4F55DFFE">
      <w:pPr>
        <w:pStyle w:val="3"/>
        <w:ind w:firstLine="480"/>
        <w:sectPr>
          <w:pgSz w:w="11906" w:h="16838"/>
          <w:pgMar w:top="1701" w:right="1531" w:bottom="1701" w:left="1531" w:header="851" w:footer="1077" w:gutter="0"/>
          <w:pgNumType w:start="1"/>
          <w:cols w:space="720" w:num="1"/>
          <w:docGrid w:linePitch="312" w:charSpace="0"/>
        </w:sectPr>
      </w:pPr>
    </w:p>
    <w:sdt>
      <w:sdtPr>
        <w:rPr>
          <w:rFonts w:ascii="Times New Roman" w:hAnsi="Times New Roman" w:eastAsia="宋体" w:cs="Times New Roman"/>
          <w:snapToGrid w:val="0"/>
          <w:color w:val="auto"/>
          <w:sz w:val="21"/>
          <w:szCs w:val="21"/>
          <w:lang w:val="zh-CN"/>
          <w14:ligatures w14:val="standardContextual"/>
        </w:rPr>
        <w:id w:val="1272057384"/>
        <w:docPartObj>
          <w:docPartGallery w:val="Table of Contents"/>
          <w:docPartUnique/>
        </w:docPartObj>
      </w:sdtPr>
      <w:sdtEndPr>
        <w:rPr>
          <w:rFonts w:ascii="Times New Roman" w:hAnsi="Times New Roman" w:eastAsia="宋体" w:cs="Times New Roman"/>
          <w:snapToGrid w:val="0"/>
          <w:color w:val="auto"/>
          <w:sz w:val="24"/>
          <w:szCs w:val="21"/>
          <w:lang w:val="zh-CN"/>
          <w14:ligatures w14:val="standardContextual"/>
        </w:rPr>
      </w:sdtEndPr>
      <w:sdtContent>
        <w:p w14:paraId="066A1DE2">
          <w:pPr>
            <w:pStyle w:val="67"/>
            <w:jc w:val="center"/>
            <w:rPr>
              <w:rFonts w:hint="eastAsia"/>
              <w:color w:val="auto"/>
            </w:rPr>
          </w:pPr>
          <w:r>
            <w:rPr>
              <w:b/>
              <w:bCs/>
              <w:color w:val="auto"/>
              <w:lang w:val="zh-CN"/>
            </w:rPr>
            <w:t>目录</w:t>
          </w:r>
        </w:p>
        <w:p w14:paraId="07EA3D46">
          <w:pPr>
            <w:pStyle w:val="17"/>
            <w:rPr>
              <w:rFonts w:hint="eastAsia" w:asciiTheme="minorHAnsi" w:hAnsiTheme="minorHAnsi" w:eastAsiaTheme="minorEastAsia" w:cstheme="minorBidi"/>
              <w:kern w:val="2"/>
              <w:sz w:val="22"/>
              <w:szCs w:val="24"/>
              <w14:ligatures w14:val="standardContextual"/>
            </w:rPr>
          </w:pPr>
          <w:r>
            <w:fldChar w:fldCharType="begin"/>
          </w:r>
          <w:r>
            <w:instrText xml:space="preserve"> TOC \h \z \t "标题 1,1" </w:instrText>
          </w:r>
          <w:r>
            <w:fldChar w:fldCharType="separate"/>
          </w:r>
          <w:r>
            <w:fldChar w:fldCharType="begin"/>
          </w:r>
          <w:r>
            <w:instrText xml:space="preserve"> HYPERLINK \l "_Toc203094744" </w:instrText>
          </w:r>
          <w:r>
            <w:fldChar w:fldCharType="separate"/>
          </w:r>
          <w:r>
            <w:rPr>
              <w:rStyle w:val="28"/>
              <w:rFonts w:hint="eastAsia"/>
              <w:snapToGrid w:val="0"/>
            </w:rPr>
            <w:t>一、 建设项目基本情况</w:t>
          </w:r>
          <w:r>
            <w:rPr>
              <w:rFonts w:hint="eastAsia"/>
            </w:rPr>
            <w:tab/>
          </w:r>
          <w:r>
            <w:rPr>
              <w:rFonts w:hint="eastAsia"/>
            </w:rPr>
            <w:fldChar w:fldCharType="begin"/>
          </w:r>
          <w:r>
            <w:rPr>
              <w:rFonts w:hint="eastAsia"/>
            </w:rPr>
            <w:instrText xml:space="preserve"> </w:instrText>
          </w:r>
          <w:r>
            <w:instrText xml:space="preserve">PAGEREF _Toc203094744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403D6BBD">
          <w:pPr>
            <w:pStyle w:val="17"/>
            <w:rPr>
              <w:rFonts w:hint="eastAsia" w:asciiTheme="minorHAnsi" w:hAnsiTheme="minorHAnsi" w:eastAsiaTheme="minorEastAsia" w:cstheme="minorBidi"/>
              <w:kern w:val="2"/>
              <w:sz w:val="22"/>
              <w:szCs w:val="24"/>
              <w14:ligatures w14:val="standardContextual"/>
            </w:rPr>
          </w:pPr>
          <w:r>
            <w:fldChar w:fldCharType="begin"/>
          </w:r>
          <w:r>
            <w:instrText xml:space="preserve"> HYPERLINK \l "_Toc203094745" </w:instrText>
          </w:r>
          <w:r>
            <w:fldChar w:fldCharType="separate"/>
          </w:r>
          <w:r>
            <w:rPr>
              <w:rStyle w:val="28"/>
              <w:rFonts w:hint="eastAsia"/>
              <w:snapToGrid w:val="0"/>
            </w:rPr>
            <w:t>二、 建设项目工程分析</w:t>
          </w:r>
          <w:r>
            <w:rPr>
              <w:rFonts w:hint="eastAsia"/>
            </w:rPr>
            <w:tab/>
          </w:r>
          <w:r>
            <w:rPr>
              <w:rFonts w:hint="eastAsia"/>
            </w:rPr>
            <w:fldChar w:fldCharType="begin"/>
          </w:r>
          <w:r>
            <w:rPr>
              <w:rFonts w:hint="eastAsia"/>
            </w:rPr>
            <w:instrText xml:space="preserve"> </w:instrText>
          </w:r>
          <w:r>
            <w:instrText xml:space="preserve">PAGEREF _Toc203094745 \h</w:instrText>
          </w:r>
          <w:r>
            <w:rPr>
              <w:rFonts w:hint="eastAsia"/>
            </w:rPr>
            <w:instrText xml:space="preserve"> </w:instrText>
          </w:r>
          <w:r>
            <w:rPr>
              <w:rFonts w:hint="eastAsia"/>
            </w:rPr>
            <w:fldChar w:fldCharType="separate"/>
          </w:r>
          <w:r>
            <w:t>15</w:t>
          </w:r>
          <w:r>
            <w:rPr>
              <w:rFonts w:hint="eastAsia"/>
            </w:rPr>
            <w:fldChar w:fldCharType="end"/>
          </w:r>
          <w:r>
            <w:rPr>
              <w:rFonts w:hint="eastAsia"/>
            </w:rPr>
            <w:fldChar w:fldCharType="end"/>
          </w:r>
        </w:p>
        <w:p w14:paraId="0F5B0C2D">
          <w:pPr>
            <w:pStyle w:val="17"/>
            <w:rPr>
              <w:rFonts w:hint="eastAsia" w:asciiTheme="minorHAnsi" w:hAnsiTheme="minorHAnsi" w:eastAsiaTheme="minorEastAsia" w:cstheme="minorBidi"/>
              <w:kern w:val="2"/>
              <w:sz w:val="22"/>
              <w:szCs w:val="24"/>
              <w14:ligatures w14:val="standardContextual"/>
            </w:rPr>
          </w:pPr>
          <w:r>
            <w:fldChar w:fldCharType="begin"/>
          </w:r>
          <w:r>
            <w:instrText xml:space="preserve"> HYPERLINK \l "_Toc203094746" </w:instrText>
          </w:r>
          <w:r>
            <w:fldChar w:fldCharType="separate"/>
          </w:r>
          <w:r>
            <w:rPr>
              <w:rStyle w:val="28"/>
              <w:rFonts w:hint="eastAsia"/>
              <w:snapToGrid w:val="0"/>
            </w:rPr>
            <w:t>三、 区域环境质量现状、环境保护目标及评价标准</w:t>
          </w:r>
          <w:r>
            <w:rPr>
              <w:rFonts w:hint="eastAsia"/>
            </w:rPr>
            <w:tab/>
          </w:r>
          <w:r>
            <w:rPr>
              <w:rFonts w:hint="eastAsia"/>
            </w:rPr>
            <w:fldChar w:fldCharType="begin"/>
          </w:r>
          <w:r>
            <w:rPr>
              <w:rFonts w:hint="eastAsia"/>
            </w:rPr>
            <w:instrText xml:space="preserve"> </w:instrText>
          </w:r>
          <w:r>
            <w:instrText xml:space="preserve">PAGEREF _Toc203094746 \h</w:instrText>
          </w:r>
          <w:r>
            <w:rPr>
              <w:rFonts w:hint="eastAsia"/>
            </w:rPr>
            <w:instrText xml:space="preserve"> </w:instrText>
          </w:r>
          <w:r>
            <w:rPr>
              <w:rFonts w:hint="eastAsia"/>
            </w:rPr>
            <w:fldChar w:fldCharType="separate"/>
          </w:r>
          <w:r>
            <w:t>29</w:t>
          </w:r>
          <w:r>
            <w:rPr>
              <w:rFonts w:hint="eastAsia"/>
            </w:rPr>
            <w:fldChar w:fldCharType="end"/>
          </w:r>
          <w:r>
            <w:rPr>
              <w:rFonts w:hint="eastAsia"/>
            </w:rPr>
            <w:fldChar w:fldCharType="end"/>
          </w:r>
        </w:p>
        <w:p w14:paraId="32EEDE02">
          <w:pPr>
            <w:pStyle w:val="17"/>
            <w:rPr>
              <w:rFonts w:hint="eastAsia" w:asciiTheme="minorHAnsi" w:hAnsiTheme="minorHAnsi" w:eastAsiaTheme="minorEastAsia" w:cstheme="minorBidi"/>
              <w:kern w:val="2"/>
              <w:sz w:val="22"/>
              <w:szCs w:val="24"/>
              <w14:ligatures w14:val="standardContextual"/>
            </w:rPr>
          </w:pPr>
          <w:r>
            <w:fldChar w:fldCharType="begin"/>
          </w:r>
          <w:r>
            <w:instrText xml:space="preserve"> HYPERLINK \l "_Toc203094747" </w:instrText>
          </w:r>
          <w:r>
            <w:fldChar w:fldCharType="separate"/>
          </w:r>
          <w:r>
            <w:rPr>
              <w:rStyle w:val="28"/>
              <w:rFonts w:hint="eastAsia"/>
              <w:snapToGrid w:val="0"/>
            </w:rPr>
            <w:t>四、 主要环境影响和保护措施</w:t>
          </w:r>
          <w:r>
            <w:rPr>
              <w:rFonts w:hint="eastAsia"/>
            </w:rPr>
            <w:tab/>
          </w:r>
          <w:r>
            <w:rPr>
              <w:rFonts w:hint="eastAsia"/>
            </w:rPr>
            <w:fldChar w:fldCharType="begin"/>
          </w:r>
          <w:r>
            <w:rPr>
              <w:rFonts w:hint="eastAsia"/>
            </w:rPr>
            <w:instrText xml:space="preserve"> </w:instrText>
          </w:r>
          <w:r>
            <w:instrText xml:space="preserve">PAGEREF _Toc203094747 \h</w:instrText>
          </w:r>
          <w:r>
            <w:rPr>
              <w:rFonts w:hint="eastAsia"/>
            </w:rPr>
            <w:instrText xml:space="preserve"> </w:instrText>
          </w:r>
          <w:r>
            <w:rPr>
              <w:rFonts w:hint="eastAsia"/>
            </w:rPr>
            <w:fldChar w:fldCharType="separate"/>
          </w:r>
          <w:r>
            <w:t>36</w:t>
          </w:r>
          <w:r>
            <w:rPr>
              <w:rFonts w:hint="eastAsia"/>
            </w:rPr>
            <w:fldChar w:fldCharType="end"/>
          </w:r>
          <w:r>
            <w:rPr>
              <w:rFonts w:hint="eastAsia"/>
            </w:rPr>
            <w:fldChar w:fldCharType="end"/>
          </w:r>
        </w:p>
        <w:p w14:paraId="10C7CD65">
          <w:pPr>
            <w:pStyle w:val="17"/>
            <w:rPr>
              <w:rFonts w:hint="eastAsia" w:asciiTheme="minorHAnsi" w:hAnsiTheme="minorHAnsi" w:eastAsiaTheme="minorEastAsia" w:cstheme="minorBidi"/>
              <w:kern w:val="2"/>
              <w:sz w:val="22"/>
              <w:szCs w:val="24"/>
              <w14:ligatures w14:val="standardContextual"/>
            </w:rPr>
          </w:pPr>
          <w:r>
            <w:fldChar w:fldCharType="begin"/>
          </w:r>
          <w:r>
            <w:instrText xml:space="preserve"> HYPERLINK \l "_Toc203094748" </w:instrText>
          </w:r>
          <w:r>
            <w:fldChar w:fldCharType="separate"/>
          </w:r>
          <w:r>
            <w:rPr>
              <w:rStyle w:val="28"/>
              <w:rFonts w:hint="eastAsia"/>
              <w:snapToGrid w:val="0"/>
            </w:rPr>
            <w:t>五、 环境保护措施监督检查清单</w:t>
          </w:r>
          <w:r>
            <w:rPr>
              <w:rFonts w:hint="eastAsia"/>
            </w:rPr>
            <w:tab/>
          </w:r>
          <w:r>
            <w:rPr>
              <w:rFonts w:hint="eastAsia"/>
            </w:rPr>
            <w:fldChar w:fldCharType="begin"/>
          </w:r>
          <w:r>
            <w:rPr>
              <w:rFonts w:hint="eastAsia"/>
            </w:rPr>
            <w:instrText xml:space="preserve"> </w:instrText>
          </w:r>
          <w:r>
            <w:instrText xml:space="preserve">PAGEREF _Toc203094748 \h</w:instrText>
          </w:r>
          <w:r>
            <w:rPr>
              <w:rFonts w:hint="eastAsia"/>
            </w:rPr>
            <w:instrText xml:space="preserve"> </w:instrText>
          </w:r>
          <w:r>
            <w:rPr>
              <w:rFonts w:hint="eastAsia"/>
            </w:rPr>
            <w:fldChar w:fldCharType="separate"/>
          </w:r>
          <w:r>
            <w:t>73</w:t>
          </w:r>
          <w:r>
            <w:rPr>
              <w:rFonts w:hint="eastAsia"/>
            </w:rPr>
            <w:fldChar w:fldCharType="end"/>
          </w:r>
          <w:r>
            <w:rPr>
              <w:rFonts w:hint="eastAsia"/>
            </w:rPr>
            <w:fldChar w:fldCharType="end"/>
          </w:r>
        </w:p>
        <w:p w14:paraId="5C1F46EC">
          <w:pPr>
            <w:pStyle w:val="17"/>
            <w:rPr>
              <w:rFonts w:hint="eastAsia" w:asciiTheme="minorHAnsi" w:hAnsiTheme="minorHAnsi" w:eastAsiaTheme="minorEastAsia" w:cstheme="minorBidi"/>
              <w:kern w:val="2"/>
              <w:sz w:val="22"/>
              <w:szCs w:val="24"/>
              <w14:ligatures w14:val="standardContextual"/>
            </w:rPr>
          </w:pPr>
          <w:r>
            <w:fldChar w:fldCharType="begin"/>
          </w:r>
          <w:r>
            <w:instrText xml:space="preserve"> HYPERLINK \l "_Toc203094749" </w:instrText>
          </w:r>
          <w:r>
            <w:fldChar w:fldCharType="separate"/>
          </w:r>
          <w:r>
            <w:rPr>
              <w:rStyle w:val="28"/>
              <w:rFonts w:hint="eastAsia"/>
              <w:snapToGrid w:val="0"/>
            </w:rPr>
            <w:t>六、 结论</w:t>
          </w:r>
          <w:r>
            <w:rPr>
              <w:rFonts w:hint="eastAsia"/>
            </w:rPr>
            <w:tab/>
          </w:r>
          <w:r>
            <w:rPr>
              <w:rFonts w:hint="eastAsia"/>
            </w:rPr>
            <w:fldChar w:fldCharType="begin"/>
          </w:r>
          <w:r>
            <w:rPr>
              <w:rFonts w:hint="eastAsia"/>
            </w:rPr>
            <w:instrText xml:space="preserve"> </w:instrText>
          </w:r>
          <w:r>
            <w:instrText xml:space="preserve">PAGEREF _Toc203094749 \h</w:instrText>
          </w:r>
          <w:r>
            <w:rPr>
              <w:rFonts w:hint="eastAsia"/>
            </w:rPr>
            <w:instrText xml:space="preserve"> </w:instrText>
          </w:r>
          <w:r>
            <w:rPr>
              <w:rFonts w:hint="eastAsia"/>
            </w:rPr>
            <w:fldChar w:fldCharType="separate"/>
          </w:r>
          <w:r>
            <w:t>75</w:t>
          </w:r>
          <w:r>
            <w:rPr>
              <w:rFonts w:hint="eastAsia"/>
            </w:rPr>
            <w:fldChar w:fldCharType="end"/>
          </w:r>
          <w:r>
            <w:rPr>
              <w:rFonts w:hint="eastAsia"/>
            </w:rPr>
            <w:fldChar w:fldCharType="end"/>
          </w:r>
        </w:p>
        <w:p w14:paraId="30092D50">
          <w:pPr>
            <w:pStyle w:val="3"/>
            <w:ind w:firstLine="480"/>
          </w:pPr>
          <w:r>
            <w:fldChar w:fldCharType="end"/>
          </w:r>
        </w:p>
      </w:sdtContent>
    </w:sdt>
    <w:p w14:paraId="4760223D">
      <w:pPr>
        <w:pStyle w:val="3"/>
        <w:ind w:firstLine="480"/>
      </w:pPr>
    </w:p>
    <w:p w14:paraId="613979E9">
      <w:pPr>
        <w:pStyle w:val="3"/>
        <w:ind w:firstLine="480"/>
      </w:pPr>
      <w:r>
        <w:rPr>
          <w:rFonts w:hint="eastAsia"/>
        </w:rPr>
        <w:t>附图附件:</w:t>
      </w:r>
    </w:p>
    <w:p w14:paraId="66A1F2DC">
      <w:pPr>
        <w:pStyle w:val="3"/>
        <w:ind w:firstLine="480"/>
        <w:rPr>
          <w:color w:val="auto"/>
        </w:rPr>
      </w:pPr>
      <w:r>
        <w:rPr>
          <w:rFonts w:hint="eastAsia"/>
          <w:color w:val="auto"/>
        </w:rPr>
        <w:t>附图1:地理位置图</w:t>
      </w:r>
    </w:p>
    <w:p w14:paraId="6DEED888">
      <w:pPr>
        <w:pStyle w:val="3"/>
        <w:ind w:firstLine="480"/>
        <w:rPr>
          <w:color w:val="auto"/>
        </w:rPr>
      </w:pPr>
      <w:r>
        <w:rPr>
          <w:rFonts w:hint="eastAsia"/>
          <w:color w:val="auto"/>
        </w:rPr>
        <w:t>附图 2:总平面布置图</w:t>
      </w:r>
    </w:p>
    <w:p w14:paraId="3B172DE8">
      <w:pPr>
        <w:pStyle w:val="3"/>
        <w:ind w:firstLine="480"/>
        <w:rPr>
          <w:color w:val="auto"/>
        </w:rPr>
      </w:pPr>
      <w:r>
        <w:rPr>
          <w:rFonts w:hint="eastAsia"/>
          <w:color w:val="auto"/>
        </w:rPr>
        <w:t>附图 3:项目周边关系及环境保护目标分布图</w:t>
      </w:r>
    </w:p>
    <w:p w14:paraId="7EF5C7D9">
      <w:pPr>
        <w:pStyle w:val="3"/>
        <w:ind w:firstLine="480"/>
        <w:rPr>
          <w:color w:val="auto"/>
        </w:rPr>
      </w:pPr>
      <w:r>
        <w:rPr>
          <w:rFonts w:hint="eastAsia"/>
          <w:color w:val="auto"/>
        </w:rPr>
        <w:t>附图 4:项目与环境管控单元位置关系图</w:t>
      </w:r>
    </w:p>
    <w:p w14:paraId="3600C625">
      <w:pPr>
        <w:pStyle w:val="3"/>
        <w:ind w:firstLine="480"/>
        <w:rPr>
          <w:color w:val="auto"/>
        </w:rPr>
      </w:pPr>
      <w:r>
        <w:rPr>
          <w:rFonts w:hint="eastAsia"/>
          <w:color w:val="auto"/>
        </w:rPr>
        <w:t>附图 5:现状监测点位图</w:t>
      </w:r>
    </w:p>
    <w:p w14:paraId="27521BA9">
      <w:pPr>
        <w:pStyle w:val="3"/>
        <w:ind w:firstLine="480"/>
        <w:rPr>
          <w:color w:val="auto"/>
        </w:rPr>
      </w:pPr>
      <w:r>
        <w:rPr>
          <w:rFonts w:hint="eastAsia"/>
          <w:color w:val="auto"/>
        </w:rPr>
        <w:t>附图 6：项目与土地利用规划位置关系图</w:t>
      </w:r>
    </w:p>
    <w:p w14:paraId="56BE4C16">
      <w:pPr>
        <w:pStyle w:val="3"/>
        <w:ind w:firstLine="480"/>
        <w:rPr>
          <w:color w:val="auto"/>
        </w:rPr>
      </w:pPr>
      <w:r>
        <w:rPr>
          <w:rFonts w:hint="eastAsia"/>
          <w:color w:val="auto"/>
        </w:rPr>
        <w:t>附件 1:委托书</w:t>
      </w:r>
    </w:p>
    <w:p w14:paraId="5D79CF3E">
      <w:pPr>
        <w:pStyle w:val="3"/>
        <w:ind w:firstLine="480"/>
        <w:rPr>
          <w:color w:val="auto"/>
        </w:rPr>
      </w:pPr>
      <w:r>
        <w:rPr>
          <w:rFonts w:hint="eastAsia"/>
          <w:color w:val="auto"/>
        </w:rPr>
        <w:t>附件 2:备案手续</w:t>
      </w:r>
    </w:p>
    <w:p w14:paraId="251062E7">
      <w:pPr>
        <w:pStyle w:val="3"/>
        <w:ind w:firstLine="480"/>
      </w:pPr>
      <w:r>
        <w:rPr>
          <w:rFonts w:hint="eastAsia"/>
        </w:rPr>
        <w:t>附件 3:营业执照</w:t>
      </w:r>
    </w:p>
    <w:p w14:paraId="00AF088C">
      <w:pPr>
        <w:pStyle w:val="3"/>
        <w:ind w:firstLine="480"/>
      </w:pPr>
      <w:r>
        <w:rPr>
          <w:rFonts w:hint="eastAsia"/>
        </w:rPr>
        <w:t>附件 4:法人身份证</w:t>
      </w:r>
    </w:p>
    <w:p w14:paraId="55E7810E">
      <w:pPr>
        <w:pStyle w:val="3"/>
        <w:ind w:firstLine="480"/>
      </w:pPr>
      <w:r>
        <w:rPr>
          <w:rFonts w:hint="eastAsia"/>
        </w:rPr>
        <w:t>附件 5:土地手续</w:t>
      </w:r>
    </w:p>
    <w:p w14:paraId="58F81C0C">
      <w:pPr>
        <w:pStyle w:val="3"/>
        <w:ind w:firstLine="480"/>
      </w:pPr>
      <w:r>
        <w:rPr>
          <w:rFonts w:hint="eastAsia"/>
        </w:rPr>
        <w:t>附件 6:初步研判结论</w:t>
      </w:r>
    </w:p>
    <w:p w14:paraId="7506CC96">
      <w:pPr>
        <w:pStyle w:val="3"/>
        <w:ind w:firstLine="480"/>
      </w:pPr>
    </w:p>
    <w:p w14:paraId="1E4881E4">
      <w:pPr>
        <w:pStyle w:val="3"/>
        <w:ind w:firstLine="480"/>
      </w:pPr>
    </w:p>
    <w:p w14:paraId="39F88971">
      <w:pPr>
        <w:pStyle w:val="3"/>
        <w:ind w:firstLine="480"/>
      </w:pPr>
    </w:p>
    <w:p w14:paraId="176107DE">
      <w:pPr>
        <w:pStyle w:val="3"/>
        <w:ind w:firstLine="480"/>
      </w:pPr>
    </w:p>
    <w:p w14:paraId="7D9F9C2D">
      <w:pPr>
        <w:pStyle w:val="3"/>
        <w:ind w:firstLine="480"/>
      </w:pPr>
    </w:p>
    <w:p w14:paraId="2D8D4233">
      <w:pPr>
        <w:pStyle w:val="3"/>
        <w:ind w:firstLine="480"/>
        <w:sectPr>
          <w:pgSz w:w="11906" w:h="16838"/>
          <w:pgMar w:top="1701" w:right="1531" w:bottom="1701" w:left="1531" w:header="851" w:footer="1077" w:gutter="0"/>
          <w:pgNumType w:start="1"/>
          <w:cols w:space="720" w:num="1"/>
          <w:docGrid w:linePitch="312" w:charSpace="0"/>
        </w:sectPr>
      </w:pPr>
    </w:p>
    <w:p w14:paraId="3DE63870">
      <w:pPr>
        <w:pStyle w:val="2"/>
        <w:rPr>
          <w:snapToGrid w:val="0"/>
        </w:rPr>
      </w:pPr>
      <w:bookmarkStart w:id="0" w:name="_Ref192707971"/>
      <w:bookmarkStart w:id="1" w:name="_Toc203094744"/>
      <w:bookmarkStart w:id="2" w:name="_Toc175609267"/>
      <w:r>
        <w:rPr>
          <w:rFonts w:hint="eastAsia"/>
          <w:snapToGrid w:val="0"/>
        </w:rPr>
        <w:t>建设项目基本情况</w:t>
      </w:r>
      <w:bookmarkEnd w:id="0"/>
      <w:bookmarkEnd w:id="1"/>
      <w:bookmarkEnd w:id="2"/>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599"/>
        <w:gridCol w:w="645"/>
        <w:gridCol w:w="2092"/>
        <w:gridCol w:w="1809"/>
        <w:gridCol w:w="3187"/>
      </w:tblGrid>
      <w:tr w14:paraId="4B1DA8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14" w:type="dxa"/>
            <w:gridSpan w:val="2"/>
            <w:tcMar>
              <w:top w:w="16" w:type="dxa"/>
              <w:left w:w="16" w:type="dxa"/>
              <w:right w:w="16" w:type="dxa"/>
            </w:tcMar>
            <w:vAlign w:val="center"/>
          </w:tcPr>
          <w:p w14:paraId="4410052B">
            <w:pPr>
              <w:snapToGrid w:val="0"/>
              <w:jc w:val="center"/>
              <w:rPr>
                <w:rFonts w:cs="宋体"/>
                <w:color w:val="auto"/>
                <w:sz w:val="24"/>
              </w:rPr>
            </w:pPr>
            <w:r>
              <w:rPr>
                <w:rFonts w:hint="eastAsia" w:cs="宋体"/>
                <w:color w:val="auto"/>
                <w:sz w:val="24"/>
              </w:rPr>
              <w:t>建设项目名称</w:t>
            </w:r>
          </w:p>
        </w:tc>
        <w:tc>
          <w:tcPr>
            <w:tcW w:w="6772" w:type="dxa"/>
            <w:gridSpan w:val="3"/>
            <w:vAlign w:val="center"/>
          </w:tcPr>
          <w:p w14:paraId="35A30C5A">
            <w:pPr>
              <w:snapToGrid w:val="0"/>
              <w:jc w:val="center"/>
              <w:rPr>
                <w:rFonts w:cs="宋体"/>
                <w:color w:val="auto"/>
                <w:sz w:val="24"/>
                <w:szCs w:val="24"/>
              </w:rPr>
            </w:pPr>
            <w:r>
              <w:rPr>
                <w:rFonts w:hint="eastAsia" w:cs="宋体"/>
                <w:color w:val="auto"/>
                <w:sz w:val="24"/>
                <w:szCs w:val="24"/>
              </w:rPr>
              <w:t>钦州港片区建筑垃圾消纳场资源化利用项目</w:t>
            </w:r>
          </w:p>
        </w:tc>
      </w:tr>
      <w:tr w14:paraId="539D24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14" w:type="dxa"/>
            <w:gridSpan w:val="2"/>
            <w:tcMar>
              <w:top w:w="16" w:type="dxa"/>
              <w:left w:w="16" w:type="dxa"/>
              <w:right w:w="16" w:type="dxa"/>
            </w:tcMar>
            <w:vAlign w:val="center"/>
          </w:tcPr>
          <w:p w14:paraId="4BD01507">
            <w:pPr>
              <w:snapToGrid w:val="0"/>
              <w:jc w:val="center"/>
              <w:rPr>
                <w:rFonts w:cs="宋体"/>
                <w:color w:val="auto"/>
                <w:sz w:val="24"/>
              </w:rPr>
            </w:pPr>
            <w:r>
              <w:rPr>
                <w:rFonts w:hint="eastAsia" w:cs="宋体"/>
                <w:color w:val="auto"/>
                <w:sz w:val="24"/>
              </w:rPr>
              <w:t>项目代码</w:t>
            </w:r>
          </w:p>
        </w:tc>
        <w:tc>
          <w:tcPr>
            <w:tcW w:w="6772" w:type="dxa"/>
            <w:gridSpan w:val="3"/>
            <w:vAlign w:val="center"/>
          </w:tcPr>
          <w:p w14:paraId="08C39E50">
            <w:pPr>
              <w:snapToGrid w:val="0"/>
              <w:jc w:val="center"/>
              <w:rPr>
                <w:rFonts w:cs="宋体"/>
                <w:color w:val="auto"/>
                <w:sz w:val="24"/>
                <w:szCs w:val="24"/>
              </w:rPr>
            </w:pPr>
            <w:r>
              <w:rPr>
                <w:rFonts w:hint="eastAsia" w:cs="宋体"/>
                <w:color w:val="auto"/>
                <w:sz w:val="24"/>
                <w:szCs w:val="24"/>
              </w:rPr>
              <w:t>2507-450704-04-01-133419</w:t>
            </w:r>
          </w:p>
        </w:tc>
      </w:tr>
      <w:tr w14:paraId="71A290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14" w:type="dxa"/>
            <w:gridSpan w:val="2"/>
            <w:tcMar>
              <w:top w:w="16" w:type="dxa"/>
              <w:left w:w="16" w:type="dxa"/>
              <w:right w:w="16" w:type="dxa"/>
            </w:tcMar>
            <w:vAlign w:val="center"/>
          </w:tcPr>
          <w:p w14:paraId="4E95C55D">
            <w:pPr>
              <w:snapToGrid w:val="0"/>
              <w:jc w:val="center"/>
              <w:rPr>
                <w:rFonts w:cs="宋体"/>
                <w:color w:val="auto"/>
                <w:sz w:val="24"/>
              </w:rPr>
            </w:pPr>
            <w:r>
              <w:rPr>
                <w:rFonts w:hint="eastAsia" w:cs="宋体"/>
                <w:color w:val="auto"/>
                <w:sz w:val="24"/>
              </w:rPr>
              <w:t>建设单位联系人</w:t>
            </w:r>
          </w:p>
        </w:tc>
        <w:tc>
          <w:tcPr>
            <w:tcW w:w="2075" w:type="dxa"/>
            <w:vAlign w:val="center"/>
          </w:tcPr>
          <w:p w14:paraId="62C14E8F">
            <w:pPr>
              <w:snapToGrid w:val="0"/>
              <w:jc w:val="center"/>
              <w:rPr>
                <w:rFonts w:cs="宋体"/>
                <w:color w:val="auto"/>
                <w:sz w:val="24"/>
                <w:szCs w:val="24"/>
              </w:rPr>
            </w:pPr>
          </w:p>
        </w:tc>
        <w:tc>
          <w:tcPr>
            <w:tcW w:w="1646" w:type="dxa"/>
            <w:vAlign w:val="center"/>
          </w:tcPr>
          <w:p w14:paraId="2CEFB29F">
            <w:pPr>
              <w:snapToGrid w:val="0"/>
              <w:jc w:val="center"/>
              <w:rPr>
                <w:rFonts w:cs="宋体"/>
                <w:color w:val="auto"/>
                <w:sz w:val="24"/>
                <w:szCs w:val="24"/>
              </w:rPr>
            </w:pPr>
            <w:r>
              <w:rPr>
                <w:rFonts w:hint="eastAsia" w:cs="宋体"/>
                <w:color w:val="auto"/>
                <w:sz w:val="24"/>
                <w:szCs w:val="24"/>
              </w:rPr>
              <w:t>联系方式</w:t>
            </w:r>
          </w:p>
        </w:tc>
        <w:tc>
          <w:tcPr>
            <w:tcW w:w="3051" w:type="dxa"/>
            <w:vAlign w:val="center"/>
          </w:tcPr>
          <w:p w14:paraId="02A43C1B">
            <w:pPr>
              <w:snapToGrid w:val="0"/>
              <w:jc w:val="center"/>
              <w:rPr>
                <w:rFonts w:cs="宋体"/>
                <w:b/>
                <w:bCs/>
                <w:color w:val="auto"/>
                <w:sz w:val="24"/>
                <w:szCs w:val="24"/>
              </w:rPr>
            </w:pPr>
          </w:p>
        </w:tc>
      </w:tr>
      <w:tr w14:paraId="1ADF61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14" w:type="dxa"/>
            <w:gridSpan w:val="2"/>
            <w:tcMar>
              <w:top w:w="16" w:type="dxa"/>
              <w:left w:w="16" w:type="dxa"/>
              <w:right w:w="16" w:type="dxa"/>
            </w:tcMar>
            <w:vAlign w:val="center"/>
          </w:tcPr>
          <w:p w14:paraId="047E38EC">
            <w:pPr>
              <w:snapToGrid w:val="0"/>
              <w:jc w:val="center"/>
              <w:rPr>
                <w:rFonts w:cs="宋体"/>
                <w:color w:val="auto"/>
                <w:sz w:val="24"/>
              </w:rPr>
            </w:pPr>
            <w:r>
              <w:rPr>
                <w:rFonts w:hint="eastAsia" w:cs="宋体"/>
                <w:color w:val="auto"/>
                <w:sz w:val="24"/>
              </w:rPr>
              <w:t>建设地点</w:t>
            </w:r>
          </w:p>
        </w:tc>
        <w:tc>
          <w:tcPr>
            <w:tcW w:w="6772" w:type="dxa"/>
            <w:gridSpan w:val="3"/>
            <w:vAlign w:val="center"/>
          </w:tcPr>
          <w:p w14:paraId="795A5E44">
            <w:pPr>
              <w:snapToGrid w:val="0"/>
              <w:jc w:val="center"/>
              <w:rPr>
                <w:rFonts w:cs="宋体"/>
                <w:color w:val="auto"/>
                <w:sz w:val="24"/>
                <w:szCs w:val="24"/>
              </w:rPr>
            </w:pPr>
            <w:r>
              <w:rPr>
                <w:rFonts w:hint="eastAsia" w:cs="宋体"/>
                <w:color w:val="auto"/>
                <w:sz w:val="24"/>
                <w:szCs w:val="24"/>
              </w:rPr>
              <w:t>广西壮族自治区钦州市保税港大街北面、陆海大道东面、中伟一期项目南面</w:t>
            </w:r>
          </w:p>
        </w:tc>
      </w:tr>
      <w:tr w14:paraId="1D7E19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14" w:type="dxa"/>
            <w:gridSpan w:val="2"/>
            <w:tcMar>
              <w:top w:w="16" w:type="dxa"/>
              <w:left w:w="16" w:type="dxa"/>
              <w:right w:w="16" w:type="dxa"/>
            </w:tcMar>
            <w:vAlign w:val="center"/>
          </w:tcPr>
          <w:p w14:paraId="069FA23D">
            <w:pPr>
              <w:snapToGrid w:val="0"/>
              <w:jc w:val="center"/>
              <w:rPr>
                <w:rFonts w:cs="宋体"/>
                <w:color w:val="auto"/>
                <w:sz w:val="24"/>
              </w:rPr>
            </w:pPr>
            <w:r>
              <w:rPr>
                <w:rFonts w:hint="eastAsia" w:cs="宋体"/>
                <w:color w:val="auto"/>
                <w:sz w:val="24"/>
              </w:rPr>
              <w:t>地理坐标</w:t>
            </w:r>
          </w:p>
        </w:tc>
        <w:tc>
          <w:tcPr>
            <w:tcW w:w="6772" w:type="dxa"/>
            <w:gridSpan w:val="3"/>
            <w:vAlign w:val="center"/>
          </w:tcPr>
          <w:p w14:paraId="351FBC0D">
            <w:pPr>
              <w:snapToGrid w:val="0"/>
              <w:jc w:val="center"/>
              <w:rPr>
                <w:color w:val="auto"/>
                <w:sz w:val="24"/>
                <w:szCs w:val="24"/>
              </w:rPr>
            </w:pPr>
            <w:r>
              <w:rPr>
                <w:rFonts w:hint="eastAsia"/>
                <w:color w:val="auto"/>
                <w:sz w:val="24"/>
                <w:szCs w:val="24"/>
              </w:rPr>
              <w:t>东经108°40′6.445″</w:t>
            </w:r>
            <w:r>
              <w:rPr>
                <w:color w:val="auto"/>
                <w:sz w:val="24"/>
                <w:szCs w:val="24"/>
              </w:rPr>
              <w:t>，</w:t>
            </w:r>
            <w:r>
              <w:rPr>
                <w:rFonts w:hint="eastAsia"/>
                <w:color w:val="auto"/>
                <w:sz w:val="24"/>
                <w:szCs w:val="24"/>
              </w:rPr>
              <w:t>北纬21°41′49.571″</w:t>
            </w:r>
          </w:p>
        </w:tc>
      </w:tr>
      <w:tr w14:paraId="548F6A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514" w:type="dxa"/>
            <w:gridSpan w:val="2"/>
            <w:tcMar>
              <w:top w:w="16" w:type="dxa"/>
              <w:left w:w="16" w:type="dxa"/>
              <w:right w:w="16" w:type="dxa"/>
            </w:tcMar>
            <w:vAlign w:val="center"/>
          </w:tcPr>
          <w:p w14:paraId="09B4DBA9">
            <w:pPr>
              <w:snapToGrid w:val="0"/>
              <w:jc w:val="center"/>
              <w:rPr>
                <w:rFonts w:cs="宋体"/>
                <w:color w:val="auto"/>
                <w:sz w:val="24"/>
              </w:rPr>
            </w:pPr>
            <w:r>
              <w:rPr>
                <w:rFonts w:hint="eastAsia" w:cs="宋体"/>
                <w:color w:val="auto"/>
                <w:sz w:val="24"/>
              </w:rPr>
              <w:t>国民经济</w:t>
            </w:r>
          </w:p>
          <w:p w14:paraId="7A5B97F7">
            <w:pPr>
              <w:snapToGrid w:val="0"/>
              <w:jc w:val="center"/>
              <w:rPr>
                <w:rFonts w:cs="宋体"/>
                <w:color w:val="auto"/>
                <w:sz w:val="24"/>
              </w:rPr>
            </w:pPr>
            <w:r>
              <w:rPr>
                <w:rFonts w:hint="eastAsia" w:cs="宋体"/>
                <w:color w:val="auto"/>
                <w:sz w:val="24"/>
              </w:rPr>
              <w:t>行业类别</w:t>
            </w:r>
          </w:p>
        </w:tc>
        <w:tc>
          <w:tcPr>
            <w:tcW w:w="2075" w:type="dxa"/>
            <w:vAlign w:val="center"/>
          </w:tcPr>
          <w:p w14:paraId="26E1DA10">
            <w:pPr>
              <w:snapToGrid w:val="0"/>
              <w:jc w:val="center"/>
              <w:rPr>
                <w:rFonts w:cs="宋体"/>
                <w:color w:val="auto"/>
                <w:sz w:val="24"/>
                <w:szCs w:val="24"/>
              </w:rPr>
            </w:pPr>
            <w:r>
              <w:rPr>
                <w:rFonts w:hint="eastAsia" w:cs="宋体"/>
                <w:color w:val="auto"/>
                <w:sz w:val="24"/>
                <w:szCs w:val="24"/>
              </w:rPr>
              <w:t>N7723 固体废物治理</w:t>
            </w:r>
          </w:p>
        </w:tc>
        <w:tc>
          <w:tcPr>
            <w:tcW w:w="1646" w:type="dxa"/>
            <w:vAlign w:val="center"/>
          </w:tcPr>
          <w:p w14:paraId="4177710D">
            <w:pPr>
              <w:snapToGrid w:val="0"/>
              <w:jc w:val="center"/>
              <w:rPr>
                <w:rFonts w:cs="宋体"/>
                <w:color w:val="auto"/>
                <w:sz w:val="24"/>
                <w:szCs w:val="24"/>
              </w:rPr>
            </w:pPr>
            <w:bookmarkStart w:id="3" w:name="_Hlk49843745"/>
            <w:r>
              <w:rPr>
                <w:rFonts w:hint="eastAsia" w:cs="宋体"/>
                <w:color w:val="auto"/>
                <w:sz w:val="24"/>
                <w:szCs w:val="24"/>
              </w:rPr>
              <w:t>建设项目</w:t>
            </w:r>
          </w:p>
          <w:p w14:paraId="1E38E660">
            <w:pPr>
              <w:snapToGrid w:val="0"/>
              <w:jc w:val="center"/>
              <w:rPr>
                <w:rFonts w:cs="宋体"/>
                <w:color w:val="auto"/>
                <w:sz w:val="24"/>
                <w:szCs w:val="24"/>
              </w:rPr>
            </w:pPr>
            <w:r>
              <w:rPr>
                <w:rFonts w:hint="eastAsia" w:cs="宋体"/>
                <w:color w:val="auto"/>
                <w:sz w:val="24"/>
                <w:szCs w:val="24"/>
              </w:rPr>
              <w:t>行业类别</w:t>
            </w:r>
            <w:bookmarkEnd w:id="3"/>
          </w:p>
        </w:tc>
        <w:tc>
          <w:tcPr>
            <w:tcW w:w="3051" w:type="dxa"/>
            <w:vAlign w:val="center"/>
          </w:tcPr>
          <w:p w14:paraId="07EAC4E0">
            <w:pPr>
              <w:snapToGrid w:val="0"/>
              <w:rPr>
                <w:rFonts w:cs="宋体"/>
                <w:color w:val="auto"/>
                <w:sz w:val="24"/>
                <w:szCs w:val="24"/>
              </w:rPr>
            </w:pPr>
            <w:r>
              <w:rPr>
                <w:rFonts w:hint="eastAsia" w:cs="宋体"/>
                <w:color w:val="auto"/>
                <w:sz w:val="24"/>
                <w:szCs w:val="24"/>
              </w:rPr>
              <w:t>四十七、生态环保和环境治理业-103 一般工业固体废物（含污水处理</w:t>
            </w:r>
            <w:r>
              <w:rPr>
                <w:rFonts w:hint="eastAsia" w:cs="宋体"/>
                <w:color w:val="auto"/>
                <w:sz w:val="24"/>
                <w:szCs w:val="24"/>
                <w:lang w:eastAsia="zh-CN"/>
              </w:rPr>
              <w:t>沉渣</w:t>
            </w:r>
            <w:r>
              <w:rPr>
                <w:rFonts w:hint="eastAsia" w:cs="宋体"/>
                <w:color w:val="auto"/>
                <w:sz w:val="24"/>
                <w:szCs w:val="24"/>
              </w:rPr>
              <w:t>）、建筑施工废弃物处置及综合利用</w:t>
            </w:r>
          </w:p>
        </w:tc>
      </w:tr>
      <w:tr w14:paraId="22BB0B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514" w:type="dxa"/>
            <w:gridSpan w:val="2"/>
            <w:tcMar>
              <w:top w:w="16" w:type="dxa"/>
              <w:left w:w="16" w:type="dxa"/>
              <w:right w:w="16" w:type="dxa"/>
            </w:tcMar>
            <w:vAlign w:val="center"/>
          </w:tcPr>
          <w:p w14:paraId="1CEB8E17">
            <w:pPr>
              <w:snapToGrid w:val="0"/>
              <w:jc w:val="center"/>
              <w:rPr>
                <w:rFonts w:cs="宋体"/>
                <w:color w:val="auto"/>
                <w:sz w:val="24"/>
              </w:rPr>
            </w:pPr>
            <w:r>
              <w:rPr>
                <w:rFonts w:hint="eastAsia" w:cs="宋体"/>
                <w:color w:val="auto"/>
                <w:sz w:val="24"/>
              </w:rPr>
              <w:t>建设性质</w:t>
            </w:r>
          </w:p>
        </w:tc>
        <w:tc>
          <w:tcPr>
            <w:tcW w:w="2075" w:type="dxa"/>
            <w:vAlign w:val="center"/>
          </w:tcPr>
          <w:p w14:paraId="13B6B95D">
            <w:pPr>
              <w:jc w:val="left"/>
              <w:rPr>
                <w:rFonts w:cs="宋体"/>
                <w:color w:val="auto"/>
                <w:sz w:val="24"/>
                <w:szCs w:val="24"/>
              </w:rPr>
            </w:pPr>
            <w:r>
              <w:rPr>
                <w:rFonts w:ascii="Segoe UI Symbol" w:hAnsi="Segoe UI Symbol" w:cs="Segoe UI Symbol"/>
                <w:color w:val="auto"/>
                <w:sz w:val="24"/>
                <w:szCs w:val="24"/>
              </w:rPr>
              <w:t>☑</w:t>
            </w:r>
            <w:r>
              <w:rPr>
                <w:rFonts w:hint="eastAsia" w:cs="宋体"/>
                <w:color w:val="auto"/>
                <w:sz w:val="24"/>
                <w:szCs w:val="24"/>
              </w:rPr>
              <w:t>新建（迁建）</w:t>
            </w:r>
          </w:p>
          <w:p w14:paraId="63F1D051">
            <w:pPr>
              <w:jc w:val="left"/>
              <w:rPr>
                <w:rFonts w:cs="宋体"/>
                <w:color w:val="auto"/>
                <w:sz w:val="24"/>
                <w:szCs w:val="24"/>
              </w:rPr>
            </w:pPr>
            <w:bookmarkStart w:id="4" w:name="OLE_LINK16"/>
            <w:r>
              <w:rPr>
                <w:rFonts w:hint="eastAsia" w:cs="宋体"/>
                <w:color w:val="auto"/>
                <w:sz w:val="24"/>
                <w:szCs w:val="24"/>
              </w:rPr>
              <w:t>□</w:t>
            </w:r>
            <w:bookmarkEnd w:id="4"/>
            <w:r>
              <w:rPr>
                <w:rFonts w:hint="eastAsia" w:cs="宋体"/>
                <w:color w:val="auto"/>
                <w:sz w:val="24"/>
                <w:szCs w:val="24"/>
              </w:rPr>
              <w:t>改建</w:t>
            </w:r>
          </w:p>
          <w:p w14:paraId="4ED1A1B8">
            <w:pPr>
              <w:jc w:val="left"/>
              <w:rPr>
                <w:rFonts w:cs="宋体"/>
                <w:color w:val="auto"/>
                <w:sz w:val="24"/>
                <w:szCs w:val="24"/>
              </w:rPr>
            </w:pPr>
            <w:r>
              <w:rPr>
                <w:rFonts w:hint="eastAsia" w:cs="宋体"/>
                <w:color w:val="auto"/>
                <w:sz w:val="24"/>
                <w:szCs w:val="24"/>
              </w:rPr>
              <w:t>□扩建</w:t>
            </w:r>
          </w:p>
          <w:p w14:paraId="5B35F811">
            <w:pPr>
              <w:jc w:val="left"/>
              <w:rPr>
                <w:rFonts w:cs="宋体"/>
                <w:color w:val="auto"/>
                <w:sz w:val="24"/>
                <w:szCs w:val="24"/>
              </w:rPr>
            </w:pPr>
            <w:r>
              <w:rPr>
                <w:rFonts w:hint="eastAsia" w:cs="宋体"/>
                <w:color w:val="auto"/>
                <w:sz w:val="24"/>
                <w:szCs w:val="24"/>
              </w:rPr>
              <w:t>□技术改造</w:t>
            </w:r>
          </w:p>
        </w:tc>
        <w:tc>
          <w:tcPr>
            <w:tcW w:w="1646" w:type="dxa"/>
            <w:vAlign w:val="center"/>
          </w:tcPr>
          <w:p w14:paraId="407A976A">
            <w:pPr>
              <w:snapToGrid w:val="0"/>
              <w:jc w:val="center"/>
              <w:rPr>
                <w:rFonts w:cs="宋体"/>
                <w:color w:val="auto"/>
                <w:sz w:val="24"/>
                <w:szCs w:val="24"/>
              </w:rPr>
            </w:pPr>
            <w:r>
              <w:rPr>
                <w:rFonts w:hint="eastAsia" w:cs="宋体"/>
                <w:color w:val="auto"/>
                <w:sz w:val="24"/>
                <w:szCs w:val="24"/>
              </w:rPr>
              <w:t>建设项目</w:t>
            </w:r>
          </w:p>
          <w:p w14:paraId="3A0FA549">
            <w:pPr>
              <w:snapToGrid w:val="0"/>
              <w:jc w:val="center"/>
              <w:rPr>
                <w:rFonts w:cs="宋体"/>
                <w:color w:val="auto"/>
                <w:sz w:val="24"/>
                <w:szCs w:val="24"/>
              </w:rPr>
            </w:pPr>
            <w:r>
              <w:rPr>
                <w:rFonts w:hint="eastAsia" w:cs="宋体"/>
                <w:color w:val="auto"/>
                <w:sz w:val="24"/>
                <w:szCs w:val="24"/>
              </w:rPr>
              <w:t>申报情形</w:t>
            </w:r>
          </w:p>
        </w:tc>
        <w:tc>
          <w:tcPr>
            <w:tcW w:w="3051" w:type="dxa"/>
            <w:vAlign w:val="center"/>
          </w:tcPr>
          <w:p w14:paraId="0544AAF4">
            <w:pPr>
              <w:jc w:val="left"/>
              <w:rPr>
                <w:rFonts w:cs="宋体"/>
                <w:color w:val="auto"/>
                <w:sz w:val="24"/>
                <w:szCs w:val="24"/>
              </w:rPr>
            </w:pPr>
            <w:r>
              <w:rPr>
                <w:rFonts w:ascii="Segoe UI Symbol" w:hAnsi="Segoe UI Symbol" w:cs="Segoe UI Symbol"/>
                <w:color w:val="auto"/>
                <w:sz w:val="24"/>
                <w:szCs w:val="24"/>
              </w:rPr>
              <w:t>☑</w:t>
            </w:r>
            <w:r>
              <w:rPr>
                <w:rFonts w:hint="eastAsia" w:cs="宋体"/>
                <w:color w:val="auto"/>
                <w:sz w:val="24"/>
                <w:szCs w:val="24"/>
              </w:rPr>
              <w:t>首次申报项目</w:t>
            </w:r>
            <w:r>
              <w:rPr>
                <w:rFonts w:cs="宋体"/>
                <w:color w:val="auto"/>
                <w:sz w:val="24"/>
                <w:szCs w:val="24"/>
              </w:rPr>
              <w:t xml:space="preserve">             </w:t>
            </w:r>
          </w:p>
          <w:p w14:paraId="365F066B">
            <w:pPr>
              <w:jc w:val="left"/>
              <w:rPr>
                <w:rFonts w:cs="宋体"/>
                <w:color w:val="auto"/>
                <w:sz w:val="24"/>
                <w:szCs w:val="24"/>
              </w:rPr>
            </w:pPr>
            <w:r>
              <w:rPr>
                <w:rFonts w:hint="eastAsia" w:cs="宋体"/>
                <w:color w:val="auto"/>
                <w:sz w:val="24"/>
                <w:szCs w:val="24"/>
              </w:rPr>
              <w:t>□不予批准后再次申报项目</w:t>
            </w:r>
          </w:p>
          <w:p w14:paraId="7685FE0D">
            <w:pPr>
              <w:jc w:val="left"/>
              <w:rPr>
                <w:rFonts w:cs="宋体"/>
                <w:color w:val="auto"/>
                <w:sz w:val="24"/>
                <w:szCs w:val="24"/>
              </w:rPr>
            </w:pPr>
            <w:r>
              <w:rPr>
                <w:rFonts w:hint="eastAsia" w:cs="宋体"/>
                <w:color w:val="auto"/>
                <w:sz w:val="24"/>
                <w:szCs w:val="24"/>
              </w:rPr>
              <w:sym w:font="Wingdings 2" w:char="00A3"/>
            </w:r>
            <w:r>
              <w:rPr>
                <w:rFonts w:hint="eastAsia" w:cs="宋体"/>
                <w:color w:val="auto"/>
                <w:sz w:val="24"/>
                <w:szCs w:val="24"/>
              </w:rPr>
              <w:t>超五年重新审核项目</w:t>
            </w:r>
            <w:r>
              <w:rPr>
                <w:rFonts w:cs="宋体"/>
                <w:color w:val="auto"/>
                <w:sz w:val="24"/>
                <w:szCs w:val="24"/>
              </w:rPr>
              <w:t xml:space="preserve">     </w:t>
            </w:r>
          </w:p>
          <w:p w14:paraId="0D7027FF">
            <w:pPr>
              <w:jc w:val="left"/>
              <w:rPr>
                <w:rFonts w:cs="宋体"/>
                <w:color w:val="auto"/>
                <w:sz w:val="24"/>
                <w:szCs w:val="24"/>
              </w:rPr>
            </w:pPr>
            <w:r>
              <w:rPr>
                <w:rFonts w:hint="eastAsia" w:cs="宋体"/>
                <w:color w:val="auto"/>
                <w:sz w:val="24"/>
                <w:szCs w:val="24"/>
              </w:rPr>
              <w:t>□重大变动重新报批项目</w:t>
            </w:r>
          </w:p>
        </w:tc>
      </w:tr>
      <w:tr w14:paraId="5EB92F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514" w:type="dxa"/>
            <w:gridSpan w:val="2"/>
            <w:tcMar>
              <w:top w:w="16" w:type="dxa"/>
              <w:left w:w="16" w:type="dxa"/>
              <w:right w:w="16" w:type="dxa"/>
            </w:tcMar>
            <w:vAlign w:val="center"/>
          </w:tcPr>
          <w:p w14:paraId="52161C4B">
            <w:pPr>
              <w:snapToGrid w:val="0"/>
              <w:jc w:val="center"/>
              <w:rPr>
                <w:rFonts w:cs="宋体"/>
                <w:color w:val="auto"/>
                <w:sz w:val="24"/>
              </w:rPr>
            </w:pPr>
            <w:r>
              <w:rPr>
                <w:rFonts w:hint="eastAsia" w:cs="宋体"/>
                <w:color w:val="auto"/>
                <w:sz w:val="24"/>
              </w:rPr>
              <w:t>项目审批（核准</w:t>
            </w:r>
            <w:r>
              <w:rPr>
                <w:rFonts w:cs="宋体"/>
                <w:color w:val="auto"/>
                <w:sz w:val="24"/>
              </w:rPr>
              <w:t>/</w:t>
            </w:r>
            <w:r>
              <w:rPr>
                <w:rFonts w:hint="eastAsia" w:cs="宋体"/>
                <w:color w:val="auto"/>
                <w:sz w:val="24"/>
              </w:rPr>
              <w:t>备案）部门（选填）</w:t>
            </w:r>
          </w:p>
        </w:tc>
        <w:tc>
          <w:tcPr>
            <w:tcW w:w="2075" w:type="dxa"/>
            <w:vAlign w:val="center"/>
          </w:tcPr>
          <w:p w14:paraId="35485212">
            <w:pPr>
              <w:snapToGrid w:val="0"/>
              <w:jc w:val="center"/>
              <w:rPr>
                <w:rFonts w:cs="宋体"/>
                <w:color w:val="auto"/>
                <w:sz w:val="24"/>
                <w:szCs w:val="24"/>
              </w:rPr>
            </w:pPr>
            <w:r>
              <w:rPr>
                <w:rFonts w:hint="eastAsia" w:cs="宋体"/>
                <w:color w:val="auto"/>
                <w:sz w:val="24"/>
                <w:szCs w:val="24"/>
                <w:lang w:eastAsia="zh-CN"/>
              </w:rPr>
              <w:t>中国—马来西亚</w:t>
            </w:r>
            <w:r>
              <w:rPr>
                <w:rFonts w:hint="eastAsia" w:cs="宋体"/>
                <w:color w:val="auto"/>
                <w:sz w:val="24"/>
                <w:szCs w:val="24"/>
              </w:rPr>
              <w:t>钦州产业园区行政审批局</w:t>
            </w:r>
          </w:p>
        </w:tc>
        <w:tc>
          <w:tcPr>
            <w:tcW w:w="1646" w:type="dxa"/>
            <w:vAlign w:val="center"/>
          </w:tcPr>
          <w:p w14:paraId="27853148">
            <w:pPr>
              <w:snapToGrid w:val="0"/>
              <w:jc w:val="center"/>
              <w:rPr>
                <w:rFonts w:cs="宋体"/>
                <w:color w:val="auto"/>
                <w:sz w:val="24"/>
                <w:szCs w:val="24"/>
              </w:rPr>
            </w:pPr>
            <w:r>
              <w:rPr>
                <w:rFonts w:hint="eastAsia" w:cs="宋体"/>
                <w:color w:val="auto"/>
                <w:sz w:val="24"/>
                <w:szCs w:val="24"/>
              </w:rPr>
              <w:t>项目审批（核准</w:t>
            </w:r>
            <w:r>
              <w:rPr>
                <w:rFonts w:cs="宋体"/>
                <w:color w:val="auto"/>
                <w:sz w:val="24"/>
                <w:szCs w:val="24"/>
              </w:rPr>
              <w:t>/</w:t>
            </w:r>
            <w:r>
              <w:rPr>
                <w:rFonts w:hint="eastAsia" w:cs="宋体"/>
                <w:color w:val="auto"/>
                <w:sz w:val="24"/>
                <w:szCs w:val="24"/>
              </w:rPr>
              <w:t>备案）文号（选填）</w:t>
            </w:r>
          </w:p>
        </w:tc>
        <w:tc>
          <w:tcPr>
            <w:tcW w:w="3051" w:type="dxa"/>
            <w:vAlign w:val="center"/>
          </w:tcPr>
          <w:p w14:paraId="3BC06395">
            <w:pPr>
              <w:snapToGrid w:val="0"/>
              <w:jc w:val="center"/>
              <w:rPr>
                <w:rFonts w:cs="宋体"/>
                <w:color w:val="auto"/>
                <w:sz w:val="24"/>
                <w:szCs w:val="24"/>
              </w:rPr>
            </w:pPr>
            <w:r>
              <w:rPr>
                <w:rFonts w:hint="eastAsia" w:cs="宋体"/>
                <w:color w:val="auto"/>
                <w:sz w:val="24"/>
                <w:szCs w:val="24"/>
              </w:rPr>
              <w:t>/</w:t>
            </w:r>
          </w:p>
        </w:tc>
      </w:tr>
      <w:tr w14:paraId="381F21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14" w:type="dxa"/>
            <w:gridSpan w:val="2"/>
            <w:tcMar>
              <w:top w:w="16" w:type="dxa"/>
              <w:left w:w="16" w:type="dxa"/>
              <w:right w:w="16" w:type="dxa"/>
            </w:tcMar>
            <w:vAlign w:val="center"/>
          </w:tcPr>
          <w:p w14:paraId="015E7DAA">
            <w:pPr>
              <w:snapToGrid w:val="0"/>
              <w:jc w:val="center"/>
              <w:rPr>
                <w:rFonts w:cs="宋体"/>
                <w:color w:val="auto"/>
                <w:sz w:val="24"/>
              </w:rPr>
            </w:pPr>
            <w:r>
              <w:rPr>
                <w:rFonts w:hint="eastAsia" w:cs="宋体"/>
                <w:color w:val="auto"/>
                <w:sz w:val="24"/>
              </w:rPr>
              <w:t>总投资（万元）</w:t>
            </w:r>
          </w:p>
        </w:tc>
        <w:tc>
          <w:tcPr>
            <w:tcW w:w="2075" w:type="dxa"/>
            <w:vAlign w:val="center"/>
          </w:tcPr>
          <w:p w14:paraId="2107944A">
            <w:pPr>
              <w:snapToGrid w:val="0"/>
              <w:jc w:val="center"/>
              <w:rPr>
                <w:rFonts w:cs="宋体"/>
                <w:color w:val="auto"/>
                <w:sz w:val="24"/>
                <w:szCs w:val="24"/>
              </w:rPr>
            </w:pPr>
            <w:r>
              <w:rPr>
                <w:rFonts w:hint="eastAsia" w:cs="宋体"/>
                <w:color w:val="auto"/>
                <w:sz w:val="24"/>
                <w:szCs w:val="24"/>
              </w:rPr>
              <w:t>262.1</w:t>
            </w:r>
          </w:p>
        </w:tc>
        <w:tc>
          <w:tcPr>
            <w:tcW w:w="1646" w:type="dxa"/>
            <w:tcMar>
              <w:top w:w="16" w:type="dxa"/>
              <w:left w:w="16" w:type="dxa"/>
              <w:right w:w="16" w:type="dxa"/>
            </w:tcMar>
            <w:vAlign w:val="center"/>
          </w:tcPr>
          <w:p w14:paraId="3AD090D5">
            <w:pPr>
              <w:snapToGrid w:val="0"/>
              <w:jc w:val="center"/>
              <w:rPr>
                <w:rFonts w:cs="宋体"/>
                <w:color w:val="auto"/>
                <w:sz w:val="24"/>
                <w:szCs w:val="24"/>
              </w:rPr>
            </w:pPr>
            <w:r>
              <w:rPr>
                <w:rFonts w:hint="eastAsia" w:cs="宋体"/>
                <w:color w:val="auto"/>
                <w:sz w:val="24"/>
                <w:szCs w:val="24"/>
              </w:rPr>
              <w:t>环保投资（万元）</w:t>
            </w:r>
          </w:p>
        </w:tc>
        <w:tc>
          <w:tcPr>
            <w:tcW w:w="3051" w:type="dxa"/>
            <w:vAlign w:val="center"/>
          </w:tcPr>
          <w:p w14:paraId="6E511853">
            <w:pPr>
              <w:snapToGrid w:val="0"/>
              <w:jc w:val="center"/>
              <w:rPr>
                <w:color w:val="auto"/>
                <w:sz w:val="24"/>
                <w:szCs w:val="24"/>
              </w:rPr>
            </w:pPr>
            <w:r>
              <w:rPr>
                <w:rFonts w:hint="eastAsia"/>
                <w:color w:val="auto"/>
                <w:sz w:val="24"/>
                <w:szCs w:val="24"/>
              </w:rPr>
              <w:t>20</w:t>
            </w:r>
          </w:p>
        </w:tc>
      </w:tr>
      <w:tr w14:paraId="1E6871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14" w:type="dxa"/>
            <w:gridSpan w:val="2"/>
            <w:tcMar>
              <w:top w:w="16" w:type="dxa"/>
              <w:left w:w="16" w:type="dxa"/>
              <w:right w:w="16" w:type="dxa"/>
            </w:tcMar>
            <w:vAlign w:val="center"/>
          </w:tcPr>
          <w:p w14:paraId="1D5C2865">
            <w:pPr>
              <w:snapToGrid w:val="0"/>
              <w:jc w:val="center"/>
              <w:rPr>
                <w:rFonts w:cs="宋体"/>
                <w:color w:val="auto"/>
                <w:sz w:val="24"/>
              </w:rPr>
            </w:pPr>
            <w:r>
              <w:rPr>
                <w:rFonts w:hint="eastAsia" w:cs="宋体"/>
                <w:color w:val="auto"/>
                <w:sz w:val="24"/>
              </w:rPr>
              <w:t>环保投资占比（</w:t>
            </w:r>
            <w:r>
              <w:rPr>
                <w:rFonts w:cs="宋体"/>
                <w:color w:val="auto"/>
                <w:sz w:val="24"/>
              </w:rPr>
              <w:t>%</w:t>
            </w:r>
            <w:r>
              <w:rPr>
                <w:rFonts w:hint="eastAsia" w:cs="宋体"/>
                <w:color w:val="auto"/>
                <w:sz w:val="24"/>
              </w:rPr>
              <w:t>）</w:t>
            </w:r>
          </w:p>
        </w:tc>
        <w:tc>
          <w:tcPr>
            <w:tcW w:w="2075" w:type="dxa"/>
            <w:vAlign w:val="center"/>
          </w:tcPr>
          <w:p w14:paraId="73865ACB">
            <w:pPr>
              <w:snapToGrid w:val="0"/>
              <w:jc w:val="center"/>
              <w:rPr>
                <w:rFonts w:cs="宋体"/>
                <w:color w:val="auto"/>
                <w:sz w:val="24"/>
                <w:szCs w:val="24"/>
              </w:rPr>
            </w:pPr>
            <w:r>
              <w:rPr>
                <w:rFonts w:hint="eastAsia" w:cs="宋体"/>
                <w:color w:val="auto"/>
                <w:sz w:val="24"/>
                <w:szCs w:val="24"/>
              </w:rPr>
              <w:t>7.63</w:t>
            </w:r>
          </w:p>
        </w:tc>
        <w:tc>
          <w:tcPr>
            <w:tcW w:w="1646" w:type="dxa"/>
            <w:tcMar>
              <w:top w:w="16" w:type="dxa"/>
              <w:left w:w="16" w:type="dxa"/>
              <w:right w:w="16" w:type="dxa"/>
            </w:tcMar>
            <w:vAlign w:val="center"/>
          </w:tcPr>
          <w:p w14:paraId="04560F1E">
            <w:pPr>
              <w:snapToGrid w:val="0"/>
              <w:jc w:val="center"/>
              <w:rPr>
                <w:rFonts w:cs="宋体"/>
                <w:color w:val="auto"/>
                <w:sz w:val="24"/>
                <w:szCs w:val="24"/>
              </w:rPr>
            </w:pPr>
            <w:r>
              <w:rPr>
                <w:rFonts w:hint="eastAsia" w:cs="宋体"/>
                <w:color w:val="auto"/>
                <w:sz w:val="24"/>
                <w:szCs w:val="24"/>
              </w:rPr>
              <w:t>施工工期</w:t>
            </w:r>
          </w:p>
        </w:tc>
        <w:tc>
          <w:tcPr>
            <w:tcW w:w="3051" w:type="dxa"/>
            <w:vAlign w:val="center"/>
          </w:tcPr>
          <w:p w14:paraId="748E9EA1">
            <w:pPr>
              <w:snapToGrid w:val="0"/>
              <w:jc w:val="center"/>
              <w:rPr>
                <w:rFonts w:cs="宋体"/>
                <w:color w:val="auto"/>
                <w:sz w:val="24"/>
                <w:szCs w:val="24"/>
              </w:rPr>
            </w:pPr>
            <w:r>
              <w:rPr>
                <w:rStyle w:val="47"/>
                <w:rFonts w:hint="eastAsia"/>
                <w:color w:val="auto"/>
                <w:szCs w:val="24"/>
              </w:rPr>
              <w:t>3个月</w:t>
            </w:r>
          </w:p>
        </w:tc>
      </w:tr>
      <w:tr w14:paraId="2500FB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14" w:type="dxa"/>
            <w:gridSpan w:val="2"/>
            <w:tcMar>
              <w:top w:w="16" w:type="dxa"/>
              <w:left w:w="16" w:type="dxa"/>
              <w:right w:w="16" w:type="dxa"/>
            </w:tcMar>
            <w:vAlign w:val="center"/>
          </w:tcPr>
          <w:p w14:paraId="27CB0B17">
            <w:pPr>
              <w:snapToGrid w:val="0"/>
              <w:jc w:val="center"/>
              <w:rPr>
                <w:rFonts w:cs="宋体"/>
                <w:color w:val="auto"/>
                <w:sz w:val="24"/>
              </w:rPr>
            </w:pPr>
            <w:r>
              <w:rPr>
                <w:rFonts w:hint="eastAsia" w:cs="宋体"/>
                <w:color w:val="auto"/>
                <w:sz w:val="24"/>
              </w:rPr>
              <w:t>是否开工建设</w:t>
            </w:r>
          </w:p>
        </w:tc>
        <w:tc>
          <w:tcPr>
            <w:tcW w:w="2075" w:type="dxa"/>
            <w:vAlign w:val="center"/>
          </w:tcPr>
          <w:p w14:paraId="3375443A">
            <w:pPr>
              <w:snapToGrid w:val="0"/>
              <w:rPr>
                <w:rFonts w:cs="宋体"/>
                <w:color w:val="auto"/>
                <w:sz w:val="24"/>
                <w:szCs w:val="24"/>
              </w:rPr>
            </w:pPr>
            <w:r>
              <w:rPr>
                <w:rFonts w:cs="宋体"/>
                <w:color w:val="auto"/>
                <w:sz w:val="24"/>
                <w:szCs w:val="24"/>
              </w:rPr>
              <w:sym w:font="Wingdings 2" w:char="F0A3"/>
            </w:r>
            <w:r>
              <w:rPr>
                <w:rFonts w:ascii="Segoe UI Symbol" w:hAnsi="Segoe UI Symbol" w:cs="Segoe UI Symbol"/>
                <w:color w:val="auto"/>
                <w:sz w:val="24"/>
                <w:szCs w:val="24"/>
              </w:rPr>
              <w:t>☑</w:t>
            </w:r>
            <w:r>
              <w:rPr>
                <w:rFonts w:hint="eastAsia" w:cs="宋体"/>
                <w:color w:val="auto"/>
                <w:sz w:val="24"/>
                <w:szCs w:val="24"/>
              </w:rPr>
              <w:t>否</w:t>
            </w:r>
          </w:p>
          <w:p w14:paraId="34C73ADD">
            <w:pPr>
              <w:snapToGrid w:val="0"/>
              <w:rPr>
                <w:rFonts w:cs="宋体"/>
                <w:color w:val="auto"/>
                <w:sz w:val="24"/>
                <w:szCs w:val="24"/>
              </w:rPr>
            </w:pPr>
            <w:r>
              <w:rPr>
                <w:rFonts w:cs="宋体"/>
                <w:color w:val="auto"/>
                <w:sz w:val="24"/>
                <w:szCs w:val="24"/>
              </w:rPr>
              <w:sym w:font="Wingdings 2" w:char="F0A3"/>
            </w:r>
            <w:r>
              <w:rPr>
                <w:rFonts w:hint="eastAsia" w:cs="宋体"/>
                <w:color w:val="auto"/>
                <w:sz w:val="24"/>
                <w:szCs w:val="24"/>
              </w:rPr>
              <w:t>是：</w:t>
            </w:r>
          </w:p>
        </w:tc>
        <w:tc>
          <w:tcPr>
            <w:tcW w:w="1646" w:type="dxa"/>
            <w:tcMar>
              <w:top w:w="16" w:type="dxa"/>
              <w:left w:w="16" w:type="dxa"/>
              <w:right w:w="16" w:type="dxa"/>
            </w:tcMar>
            <w:vAlign w:val="center"/>
          </w:tcPr>
          <w:p w14:paraId="5A2A094C">
            <w:pPr>
              <w:snapToGrid w:val="0"/>
              <w:jc w:val="center"/>
              <w:rPr>
                <w:rFonts w:cs="宋体"/>
                <w:color w:val="auto"/>
                <w:spacing w:val="-6"/>
                <w:sz w:val="24"/>
                <w:szCs w:val="24"/>
              </w:rPr>
            </w:pPr>
            <w:r>
              <w:rPr>
                <w:rFonts w:hint="eastAsia" w:cs="宋体"/>
                <w:color w:val="auto"/>
                <w:spacing w:val="-6"/>
                <w:sz w:val="24"/>
                <w:szCs w:val="24"/>
              </w:rPr>
              <w:t>用地（用海）</w:t>
            </w:r>
          </w:p>
          <w:p w14:paraId="19B3A0B9">
            <w:pPr>
              <w:snapToGrid w:val="0"/>
              <w:jc w:val="center"/>
              <w:rPr>
                <w:rFonts w:cs="宋体"/>
                <w:color w:val="auto"/>
                <w:sz w:val="24"/>
                <w:szCs w:val="24"/>
              </w:rPr>
            </w:pPr>
            <w:r>
              <w:rPr>
                <w:rFonts w:hint="eastAsia" w:cs="宋体"/>
                <w:color w:val="auto"/>
                <w:spacing w:val="-6"/>
                <w:sz w:val="24"/>
                <w:szCs w:val="24"/>
              </w:rPr>
              <w:t>面积（</w:t>
            </w:r>
            <w:r>
              <w:rPr>
                <w:rStyle w:val="47"/>
                <w:color w:val="auto"/>
                <w:szCs w:val="24"/>
              </w:rPr>
              <w:t>m</w:t>
            </w:r>
            <w:r>
              <w:rPr>
                <w:rStyle w:val="47"/>
                <w:color w:val="auto"/>
                <w:szCs w:val="24"/>
                <w:vertAlign w:val="superscript"/>
              </w:rPr>
              <w:t>2</w:t>
            </w:r>
            <w:r>
              <w:rPr>
                <w:rFonts w:hint="eastAsia" w:cs="宋体"/>
                <w:color w:val="auto"/>
                <w:spacing w:val="-6"/>
                <w:sz w:val="24"/>
                <w:szCs w:val="24"/>
              </w:rPr>
              <w:t>）</w:t>
            </w:r>
          </w:p>
        </w:tc>
        <w:tc>
          <w:tcPr>
            <w:tcW w:w="3051" w:type="dxa"/>
            <w:vAlign w:val="center"/>
          </w:tcPr>
          <w:p w14:paraId="1B299334">
            <w:pPr>
              <w:snapToGrid w:val="0"/>
              <w:jc w:val="center"/>
              <w:rPr>
                <w:rFonts w:cs="宋体"/>
                <w:color w:val="auto"/>
                <w:sz w:val="24"/>
                <w:szCs w:val="24"/>
              </w:rPr>
            </w:pPr>
            <w:r>
              <w:rPr>
                <w:rFonts w:hint="eastAsia" w:cs="宋体"/>
                <w:color w:val="auto"/>
                <w:sz w:val="24"/>
                <w:szCs w:val="24"/>
              </w:rPr>
              <w:t>20737.08m</w:t>
            </w:r>
            <w:r>
              <w:rPr>
                <w:rFonts w:hint="eastAsia" w:cs="宋体"/>
                <w:color w:val="auto"/>
                <w:sz w:val="24"/>
                <w:szCs w:val="24"/>
                <w:vertAlign w:val="superscript"/>
              </w:rPr>
              <w:t>2</w:t>
            </w:r>
          </w:p>
        </w:tc>
      </w:tr>
      <w:tr w14:paraId="1AE3C3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22" w:type="dxa"/>
            <w:vAlign w:val="center"/>
          </w:tcPr>
          <w:p w14:paraId="31D031C4">
            <w:pPr>
              <w:autoSpaceDE w:val="0"/>
              <w:autoSpaceDN w:val="0"/>
              <w:snapToGrid w:val="0"/>
              <w:jc w:val="center"/>
              <w:rPr>
                <w:rFonts w:cs="宋体"/>
                <w:color w:val="auto"/>
                <w:sz w:val="24"/>
              </w:rPr>
            </w:pPr>
            <w:r>
              <w:rPr>
                <w:rFonts w:hint="eastAsia" w:cs="宋体"/>
                <w:color w:val="auto"/>
                <w:sz w:val="24"/>
              </w:rPr>
              <w:t>专项评价设置情况</w:t>
            </w:r>
          </w:p>
        </w:tc>
        <w:tc>
          <w:tcPr>
            <w:tcW w:w="7564" w:type="dxa"/>
            <w:gridSpan w:val="4"/>
            <w:vAlign w:val="center"/>
          </w:tcPr>
          <w:p w14:paraId="39E09844">
            <w:pPr>
              <w:pStyle w:val="3"/>
              <w:ind w:firstLine="480"/>
              <w:rPr>
                <w:color w:val="auto"/>
              </w:rPr>
            </w:pPr>
            <w:r>
              <w:rPr>
                <w:rFonts w:hint="eastAsia"/>
                <w:color w:val="auto"/>
              </w:rPr>
              <w:t>根据《建设项目环境影响报告表编制技术指南（污染影响类）</w:t>
            </w:r>
            <w:r>
              <w:rPr>
                <w:rFonts w:hint="eastAsia"/>
                <w:color w:val="auto"/>
                <w:lang w:eastAsia="zh-CN"/>
              </w:rPr>
              <w:t>（试行）》</w:t>
            </w:r>
            <w:r>
              <w:rPr>
                <w:rFonts w:hint="eastAsia"/>
                <w:color w:val="auto"/>
              </w:rPr>
              <w:t>，大气、地表水、环境风险、生态专项评价设置原则见下表：</w:t>
            </w:r>
          </w:p>
          <w:p w14:paraId="03B76C46">
            <w:pPr>
              <w:pStyle w:val="48"/>
              <w:rPr>
                <w:color w:val="auto"/>
              </w:rPr>
            </w:pPr>
            <w:bookmarkStart w:id="5" w:name="_Ref186210523"/>
            <w:r>
              <w:rPr>
                <w:rFonts w:hint="eastAsia"/>
                <w:color w:val="auto"/>
              </w:rPr>
              <w:t xml:space="preserve">表1- </w:t>
            </w:r>
            <w:r>
              <w:rPr>
                <w:color w:val="auto"/>
              </w:rPr>
              <w:fldChar w:fldCharType="begin"/>
            </w:r>
            <w:r>
              <w:rPr>
                <w:color w:val="auto"/>
              </w:rPr>
              <w:instrText xml:space="preserve"> </w:instrText>
            </w:r>
            <w:r>
              <w:rPr>
                <w:rFonts w:hint="eastAsia"/>
                <w:color w:val="auto"/>
              </w:rPr>
              <w:instrText xml:space="preserve">SEQ 表1- \* ARABIC</w:instrText>
            </w:r>
            <w:r>
              <w:rPr>
                <w:color w:val="auto"/>
              </w:rPr>
              <w:instrText xml:space="preserve"> </w:instrText>
            </w:r>
            <w:r>
              <w:rPr>
                <w:color w:val="auto"/>
              </w:rPr>
              <w:fldChar w:fldCharType="separate"/>
            </w:r>
            <w:r>
              <w:rPr>
                <w:color w:val="auto"/>
              </w:rPr>
              <w:t>1</w:t>
            </w:r>
            <w:r>
              <w:rPr>
                <w:color w:val="auto"/>
              </w:rPr>
              <w:fldChar w:fldCharType="end"/>
            </w:r>
            <w:r>
              <w:rPr>
                <w:rFonts w:hint="eastAsia"/>
                <w:color w:val="auto"/>
              </w:rPr>
              <w:t>：专项评价设置原则表</w:t>
            </w:r>
            <w:bookmarkEnd w:id="5"/>
          </w:p>
          <w:tbl>
            <w:tblPr>
              <w:tblStyle w:val="4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861"/>
              <w:gridCol w:w="2552"/>
              <w:gridCol w:w="3935"/>
            </w:tblGrid>
            <w:tr w14:paraId="334BE7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861" w:type="dxa"/>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765851C4">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color w:val="auto"/>
                      <w14:ligatures w14:val="standardContextual"/>
                    </w:rPr>
                  </w:pPr>
                  <w:r>
                    <w:rPr>
                      <w:rFonts w:hint="eastAsia" w:ascii="Times New Roman" w:hAnsi="Times New Roman" w:eastAsia="宋体" w:cs="Times New Roman"/>
                      <w:b/>
                      <w:i w:val="0"/>
                      <w:color w:val="auto"/>
                      <w14:ligatures w14:val="standardContextual"/>
                    </w:rPr>
                    <w:t>专项评</w:t>
                  </w:r>
                  <w:r>
                    <w:rPr>
                      <w:rFonts w:hint="eastAsia" w:ascii="宋体" w:hAnsi="宋体" w:eastAsia="宋体" w:cs="宋体"/>
                      <w:b/>
                      <w:i w:val="0"/>
                      <w:color w:val="auto"/>
                      <w14:ligatures w14:val="standardContextual"/>
                    </w:rPr>
                    <w:t>价类别</w:t>
                  </w:r>
                </w:p>
              </w:tc>
              <w:tc>
                <w:tcPr>
                  <w:tcW w:w="2552"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3545CB5B">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color w:val="auto"/>
                      <w14:ligatures w14:val="standardContextual"/>
                    </w:rPr>
                  </w:pPr>
                  <w:r>
                    <w:rPr>
                      <w:rFonts w:hint="eastAsia" w:ascii="宋体" w:hAnsi="宋体" w:eastAsia="宋体" w:cs="宋体"/>
                      <w:b/>
                      <w:i w:val="0"/>
                      <w:color w:val="auto"/>
                      <w14:ligatures w14:val="standardContextual"/>
                    </w:rPr>
                    <w:t>设置原则</w:t>
                  </w:r>
                </w:p>
              </w:tc>
              <w:tc>
                <w:tcPr>
                  <w:tcW w:w="3935" w:type="dxa"/>
                  <w:tcBorders>
                    <w:top w:val="single" w:color="auto" w:sz="12" w:space="0"/>
                    <w:bottom w:val="single" w:color="auto" w:sz="12" w:space="0"/>
                    <w:right w:val="nil"/>
                    <w:insideH w:val="single" w:sz="12" w:space="0"/>
                    <w:insideV w:val="single" w:sz="4" w:space="0"/>
                    <w:tl2br w:val="nil"/>
                    <w:tr2bl w:val="nil"/>
                  </w:tcBorders>
                  <w:vAlign w:val="center"/>
                </w:tcPr>
                <w:p w14:paraId="51974556">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color w:val="auto"/>
                      <w14:ligatures w14:val="standardContextual"/>
                    </w:rPr>
                  </w:pPr>
                  <w:r>
                    <w:rPr>
                      <w:rFonts w:hint="eastAsia" w:ascii="宋体" w:hAnsi="宋体" w:eastAsia="宋体" w:cs="宋体"/>
                      <w:b/>
                      <w:i w:val="0"/>
                      <w:color w:val="auto"/>
                      <w14:ligatures w14:val="standardContextual"/>
                    </w:rPr>
                    <w:t>本项目是否设置专项</w:t>
                  </w:r>
                </w:p>
              </w:tc>
            </w:tr>
            <w:tr w14:paraId="350456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861" w:type="dxa"/>
                  <w:vAlign w:val="center"/>
                </w:tcPr>
                <w:p w14:paraId="020D80B0">
                  <w:pPr>
                    <w:widowControl w:val="0"/>
                    <w:overflowPunct w:val="0"/>
                    <w:autoSpaceDE w:val="0"/>
                    <w:autoSpaceDN w:val="0"/>
                    <w:snapToGrid w:val="0"/>
                    <w:jc w:val="center"/>
                    <w:rPr>
                      <w:color w:val="auto"/>
                      <w14:ligatures w14:val="standardContextual"/>
                    </w:rPr>
                  </w:pPr>
                  <w:r>
                    <w:rPr>
                      <w:rFonts w:hint="eastAsia"/>
                      <w:color w:val="auto"/>
                      <w14:ligatures w14:val="standardContextual"/>
                    </w:rPr>
                    <w:t>大气</w:t>
                  </w:r>
                </w:p>
              </w:tc>
              <w:tc>
                <w:tcPr>
                  <w:tcW w:w="2552" w:type="dxa"/>
                  <w:vAlign w:val="center"/>
                </w:tcPr>
                <w:p w14:paraId="5B0E90A4">
                  <w:pPr>
                    <w:widowControl w:val="0"/>
                    <w:overflowPunct w:val="0"/>
                    <w:autoSpaceDE w:val="0"/>
                    <w:autoSpaceDN w:val="0"/>
                    <w:snapToGrid w:val="0"/>
                    <w:jc w:val="center"/>
                    <w:rPr>
                      <w:color w:val="auto"/>
                      <w14:ligatures w14:val="standardContextual"/>
                    </w:rPr>
                  </w:pPr>
                  <w:r>
                    <w:rPr>
                      <w:rFonts w:hint="eastAsia"/>
                      <w:color w:val="auto"/>
                      <w14:ligatures w14:val="standardContextual"/>
                    </w:rPr>
                    <w:t>排放废气含有毒有害污染物</w:t>
                  </w:r>
                  <w:r>
                    <w:rPr>
                      <w:rFonts w:hint="eastAsia"/>
                      <w:color w:val="auto"/>
                      <w:vertAlign w:val="superscript"/>
                      <w14:ligatures w14:val="standardContextual"/>
                    </w:rPr>
                    <w:t>1</w:t>
                  </w:r>
                  <w:r>
                    <w:rPr>
                      <w:rFonts w:hint="eastAsia"/>
                      <w:color w:val="auto"/>
                      <w14:ligatures w14:val="standardContextual"/>
                    </w:rPr>
                    <w:t>、二噁英、苯并[a]芘、氰化物、氯气且厂界外500米范围内有环境空气保护目标</w:t>
                  </w:r>
                  <w:r>
                    <w:rPr>
                      <w:rFonts w:hint="eastAsia"/>
                      <w:color w:val="auto"/>
                      <w:vertAlign w:val="superscript"/>
                      <w14:ligatures w14:val="standardContextual"/>
                    </w:rPr>
                    <w:t>2</w:t>
                  </w:r>
                  <w:r>
                    <w:rPr>
                      <w:rFonts w:hint="eastAsia"/>
                      <w:color w:val="auto"/>
                      <w14:ligatures w14:val="standardContextual"/>
                    </w:rPr>
                    <w:t>的建设项目</w:t>
                  </w:r>
                </w:p>
              </w:tc>
              <w:tc>
                <w:tcPr>
                  <w:tcW w:w="3935" w:type="dxa"/>
                  <w:vAlign w:val="center"/>
                </w:tcPr>
                <w:p w14:paraId="58CFBFF7">
                  <w:pPr>
                    <w:widowControl w:val="0"/>
                    <w:overflowPunct w:val="0"/>
                    <w:autoSpaceDE w:val="0"/>
                    <w:autoSpaceDN w:val="0"/>
                    <w:snapToGrid w:val="0"/>
                    <w:jc w:val="center"/>
                    <w:rPr>
                      <w:color w:val="auto"/>
                      <w14:ligatures w14:val="standardContextual"/>
                    </w:rPr>
                  </w:pPr>
                  <w:r>
                    <w:rPr>
                      <w:rFonts w:hint="eastAsia"/>
                      <w:color w:val="auto"/>
                      <w14:ligatures w14:val="standardContextual"/>
                    </w:rPr>
                    <w:t>本项目排放的大气污染物主要为颗粒物，不涉及有毒有害污染物，不涉及设置原则中相关内容，无需设置该专项评价。</w:t>
                  </w:r>
                </w:p>
              </w:tc>
            </w:tr>
            <w:tr w14:paraId="1EFA25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861" w:type="dxa"/>
                  <w:vAlign w:val="center"/>
                </w:tcPr>
                <w:p w14:paraId="0269CD78">
                  <w:pPr>
                    <w:widowControl w:val="0"/>
                    <w:overflowPunct w:val="0"/>
                    <w:autoSpaceDE w:val="0"/>
                    <w:autoSpaceDN w:val="0"/>
                    <w:snapToGrid w:val="0"/>
                    <w:jc w:val="center"/>
                    <w:rPr>
                      <w:color w:val="auto"/>
                      <w14:ligatures w14:val="standardContextual"/>
                    </w:rPr>
                  </w:pPr>
                  <w:r>
                    <w:rPr>
                      <w:rFonts w:hint="eastAsia"/>
                      <w:color w:val="auto"/>
                      <w14:ligatures w14:val="standardContextual"/>
                    </w:rPr>
                    <w:t>地表水</w:t>
                  </w:r>
                </w:p>
              </w:tc>
              <w:tc>
                <w:tcPr>
                  <w:tcW w:w="2552" w:type="dxa"/>
                  <w:vAlign w:val="center"/>
                </w:tcPr>
                <w:p w14:paraId="2FFC2A05">
                  <w:pPr>
                    <w:widowControl w:val="0"/>
                    <w:overflowPunct w:val="0"/>
                    <w:autoSpaceDE w:val="0"/>
                    <w:autoSpaceDN w:val="0"/>
                    <w:snapToGrid w:val="0"/>
                    <w:jc w:val="center"/>
                    <w:rPr>
                      <w:color w:val="auto"/>
                      <w14:ligatures w14:val="standardContextual"/>
                    </w:rPr>
                  </w:pPr>
                  <w:r>
                    <w:rPr>
                      <w:rFonts w:hint="eastAsia"/>
                      <w:color w:val="auto"/>
                      <w14:ligatures w14:val="standardContextual"/>
                    </w:rPr>
                    <w:t>新增工业废水直排建设项目（槽罐车外送污水处理厂的除外）；新增废水直排的污水集中处理厂</w:t>
                  </w:r>
                </w:p>
              </w:tc>
              <w:tc>
                <w:tcPr>
                  <w:tcW w:w="3935" w:type="dxa"/>
                  <w:vAlign w:val="center"/>
                </w:tcPr>
                <w:p w14:paraId="77E4C8D9">
                  <w:pPr>
                    <w:widowControl w:val="0"/>
                    <w:overflowPunct w:val="0"/>
                    <w:autoSpaceDE w:val="0"/>
                    <w:autoSpaceDN w:val="0"/>
                    <w:snapToGrid w:val="0"/>
                    <w:jc w:val="center"/>
                    <w:rPr>
                      <w:color w:val="auto"/>
                      <w14:ligatures w14:val="standardContextual"/>
                    </w:rPr>
                  </w:pPr>
                  <w:r>
                    <w:rPr>
                      <w:rFonts w:hint="eastAsia"/>
                      <w:color w:val="auto"/>
                      <w14:ligatures w14:val="standardContextual"/>
                    </w:rPr>
                    <w:t>项目无废水直排，故不设置地表水专项评价。</w:t>
                  </w:r>
                </w:p>
              </w:tc>
            </w:tr>
            <w:tr w14:paraId="610553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861" w:type="dxa"/>
                  <w:vAlign w:val="center"/>
                </w:tcPr>
                <w:p w14:paraId="7D70B1AB">
                  <w:pPr>
                    <w:widowControl w:val="0"/>
                    <w:overflowPunct w:val="0"/>
                    <w:autoSpaceDE w:val="0"/>
                    <w:autoSpaceDN w:val="0"/>
                    <w:snapToGrid w:val="0"/>
                    <w:jc w:val="center"/>
                    <w:rPr>
                      <w:color w:val="auto"/>
                      <w14:ligatures w14:val="standardContextual"/>
                    </w:rPr>
                  </w:pPr>
                  <w:r>
                    <w:rPr>
                      <w:rFonts w:hint="eastAsia"/>
                      <w:color w:val="auto"/>
                      <w14:ligatures w14:val="standardContextual"/>
                    </w:rPr>
                    <w:t>环境风</w:t>
                  </w:r>
                </w:p>
                <w:p w14:paraId="675CDF29">
                  <w:pPr>
                    <w:widowControl w:val="0"/>
                    <w:overflowPunct w:val="0"/>
                    <w:autoSpaceDE w:val="0"/>
                    <w:autoSpaceDN w:val="0"/>
                    <w:snapToGrid w:val="0"/>
                    <w:jc w:val="center"/>
                    <w:rPr>
                      <w:color w:val="auto"/>
                      <w14:ligatures w14:val="standardContextual"/>
                    </w:rPr>
                  </w:pPr>
                  <w:r>
                    <w:rPr>
                      <w:rFonts w:hint="eastAsia"/>
                      <w:color w:val="auto"/>
                      <w14:ligatures w14:val="standardContextual"/>
                    </w:rPr>
                    <w:t>险</w:t>
                  </w:r>
                </w:p>
              </w:tc>
              <w:tc>
                <w:tcPr>
                  <w:tcW w:w="2552" w:type="dxa"/>
                  <w:vAlign w:val="center"/>
                </w:tcPr>
                <w:p w14:paraId="70EA136A">
                  <w:pPr>
                    <w:widowControl w:val="0"/>
                    <w:overflowPunct w:val="0"/>
                    <w:autoSpaceDE w:val="0"/>
                    <w:autoSpaceDN w:val="0"/>
                    <w:snapToGrid w:val="0"/>
                    <w:jc w:val="center"/>
                    <w:rPr>
                      <w:color w:val="auto"/>
                      <w14:ligatures w14:val="standardContextual"/>
                    </w:rPr>
                  </w:pPr>
                  <w:r>
                    <w:rPr>
                      <w:rFonts w:hint="eastAsia"/>
                      <w:color w:val="auto"/>
                      <w14:ligatures w14:val="standardContextual"/>
                    </w:rPr>
                    <w:t>有毒有害的易燃易爆危险物质存储量超过临界量</w:t>
                  </w:r>
                  <w:r>
                    <w:rPr>
                      <w:rFonts w:hint="eastAsia"/>
                      <w:color w:val="auto"/>
                      <w:vertAlign w:val="superscript"/>
                      <w14:ligatures w14:val="standardContextual"/>
                    </w:rPr>
                    <w:t>3</w:t>
                  </w:r>
                  <w:r>
                    <w:rPr>
                      <w:rFonts w:hint="eastAsia"/>
                      <w:color w:val="auto"/>
                      <w14:ligatures w14:val="standardContextual"/>
                    </w:rPr>
                    <w:t>的建设项目</w:t>
                  </w:r>
                </w:p>
              </w:tc>
              <w:tc>
                <w:tcPr>
                  <w:tcW w:w="3935" w:type="dxa"/>
                  <w:vAlign w:val="center"/>
                </w:tcPr>
                <w:p w14:paraId="5EF7BC72">
                  <w:pPr>
                    <w:widowControl w:val="0"/>
                    <w:overflowPunct w:val="0"/>
                    <w:autoSpaceDE w:val="0"/>
                    <w:autoSpaceDN w:val="0"/>
                    <w:snapToGrid w:val="0"/>
                    <w:jc w:val="center"/>
                    <w:rPr>
                      <w:color w:val="auto"/>
                      <w14:ligatures w14:val="standardContextual"/>
                    </w:rPr>
                  </w:pPr>
                  <w:r>
                    <w:rPr>
                      <w:rFonts w:hint="eastAsia"/>
                      <w:color w:val="auto"/>
                      <w14:ligatures w14:val="standardContextual"/>
                    </w:rPr>
                    <w:t>本项目不涉及设置原则中相关内容，无需设置该专项评价</w:t>
                  </w:r>
                </w:p>
              </w:tc>
            </w:tr>
            <w:tr w14:paraId="0F24C6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861" w:type="dxa"/>
                  <w:vAlign w:val="center"/>
                </w:tcPr>
                <w:p w14:paraId="246DD3DE">
                  <w:pPr>
                    <w:widowControl w:val="0"/>
                    <w:overflowPunct w:val="0"/>
                    <w:autoSpaceDE w:val="0"/>
                    <w:autoSpaceDN w:val="0"/>
                    <w:snapToGrid w:val="0"/>
                    <w:jc w:val="center"/>
                    <w:rPr>
                      <w:color w:val="auto"/>
                      <w14:ligatures w14:val="standardContextual"/>
                    </w:rPr>
                  </w:pPr>
                  <w:r>
                    <w:rPr>
                      <w:rFonts w:hint="eastAsia"/>
                      <w:color w:val="auto"/>
                      <w14:ligatures w14:val="standardContextual"/>
                    </w:rPr>
                    <w:t>生态</w:t>
                  </w:r>
                </w:p>
              </w:tc>
              <w:tc>
                <w:tcPr>
                  <w:tcW w:w="2552" w:type="dxa"/>
                  <w:vAlign w:val="center"/>
                </w:tcPr>
                <w:p w14:paraId="2465BC0C">
                  <w:pPr>
                    <w:widowControl w:val="0"/>
                    <w:overflowPunct w:val="0"/>
                    <w:autoSpaceDE w:val="0"/>
                    <w:autoSpaceDN w:val="0"/>
                    <w:snapToGrid w:val="0"/>
                    <w:jc w:val="center"/>
                    <w:rPr>
                      <w:color w:val="auto"/>
                      <w14:ligatures w14:val="standardContextual"/>
                    </w:rPr>
                  </w:pPr>
                  <w:r>
                    <w:rPr>
                      <w:rFonts w:hint="eastAsia"/>
                      <w:color w:val="auto"/>
                      <w14:ligatures w14:val="standardContextual"/>
                    </w:rPr>
                    <w:t>取水口下游500米范围内有重要水生生物的自然产卵场、索饵场、越冬场和洄游通道的新增河道取水的污染类建设项目</w:t>
                  </w:r>
                </w:p>
              </w:tc>
              <w:tc>
                <w:tcPr>
                  <w:tcW w:w="3935" w:type="dxa"/>
                  <w:vAlign w:val="center"/>
                </w:tcPr>
                <w:p w14:paraId="6DEBEE60">
                  <w:pPr>
                    <w:widowControl w:val="0"/>
                    <w:overflowPunct w:val="0"/>
                    <w:autoSpaceDE w:val="0"/>
                    <w:autoSpaceDN w:val="0"/>
                    <w:snapToGrid w:val="0"/>
                    <w:jc w:val="center"/>
                    <w:rPr>
                      <w:color w:val="auto"/>
                      <w14:ligatures w14:val="standardContextual"/>
                    </w:rPr>
                  </w:pPr>
                  <w:r>
                    <w:rPr>
                      <w:rFonts w:hint="eastAsia"/>
                      <w:color w:val="auto"/>
                      <w14:ligatures w14:val="standardContextual"/>
                    </w:rPr>
                    <w:t>本项目不涉及设置原则中相关内容，无需设置该专项评价</w:t>
                  </w:r>
                </w:p>
              </w:tc>
            </w:tr>
            <w:tr w14:paraId="0F3F9E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861" w:type="dxa"/>
                  <w:vAlign w:val="center"/>
                </w:tcPr>
                <w:p w14:paraId="10EB4592">
                  <w:pPr>
                    <w:widowControl w:val="0"/>
                    <w:overflowPunct w:val="0"/>
                    <w:autoSpaceDE w:val="0"/>
                    <w:autoSpaceDN w:val="0"/>
                    <w:snapToGrid w:val="0"/>
                    <w:jc w:val="center"/>
                    <w:rPr>
                      <w:color w:val="auto"/>
                      <w14:ligatures w14:val="standardContextual"/>
                    </w:rPr>
                  </w:pPr>
                  <w:r>
                    <w:rPr>
                      <w:rFonts w:hint="eastAsia"/>
                      <w:color w:val="auto"/>
                      <w14:ligatures w14:val="standardContextual"/>
                    </w:rPr>
                    <w:t>海洋</w:t>
                  </w:r>
                </w:p>
              </w:tc>
              <w:tc>
                <w:tcPr>
                  <w:tcW w:w="2552" w:type="dxa"/>
                  <w:vAlign w:val="center"/>
                </w:tcPr>
                <w:p w14:paraId="2CD8B421">
                  <w:pPr>
                    <w:widowControl w:val="0"/>
                    <w:overflowPunct w:val="0"/>
                    <w:autoSpaceDE w:val="0"/>
                    <w:autoSpaceDN w:val="0"/>
                    <w:snapToGrid w:val="0"/>
                    <w:jc w:val="center"/>
                    <w:rPr>
                      <w:color w:val="auto"/>
                      <w14:ligatures w14:val="standardContextual"/>
                    </w:rPr>
                  </w:pPr>
                  <w:r>
                    <w:rPr>
                      <w:rFonts w:hint="eastAsia"/>
                      <w:color w:val="auto"/>
                      <w14:ligatures w14:val="standardContextual"/>
                    </w:rPr>
                    <w:t>直接向海洋排放污染物的海洋建设项目</w:t>
                  </w:r>
                </w:p>
              </w:tc>
              <w:tc>
                <w:tcPr>
                  <w:tcW w:w="3935" w:type="dxa"/>
                  <w:vAlign w:val="center"/>
                </w:tcPr>
                <w:p w14:paraId="10831169">
                  <w:pPr>
                    <w:widowControl w:val="0"/>
                    <w:overflowPunct w:val="0"/>
                    <w:autoSpaceDE w:val="0"/>
                    <w:autoSpaceDN w:val="0"/>
                    <w:snapToGrid w:val="0"/>
                    <w:jc w:val="center"/>
                    <w:rPr>
                      <w:color w:val="auto"/>
                      <w14:ligatures w14:val="standardContextual"/>
                    </w:rPr>
                  </w:pPr>
                  <w:r>
                    <w:rPr>
                      <w:rFonts w:hint="eastAsia"/>
                      <w:color w:val="auto"/>
                      <w14:ligatures w14:val="standardContextual"/>
                    </w:rPr>
                    <w:t>本项目不涉及设置原则中相关内容，无需设置该专项</w:t>
                  </w:r>
                </w:p>
              </w:tc>
            </w:tr>
          </w:tbl>
          <w:p w14:paraId="6A543E3E">
            <w:pPr>
              <w:pStyle w:val="63"/>
              <w:spacing w:after="120"/>
              <w:rPr>
                <w:color w:val="auto"/>
              </w:rPr>
            </w:pPr>
            <w:r>
              <w:rPr>
                <w:rFonts w:hint="eastAsia"/>
                <w:color w:val="auto"/>
              </w:rPr>
              <w:t>注：1.废气中有毒有害污染物指纳入《有毒有害大气污染物名录》的污染物（不包括无排放标准的污染物）。</w:t>
            </w:r>
          </w:p>
          <w:p w14:paraId="3CE4BDC5">
            <w:pPr>
              <w:pStyle w:val="63"/>
              <w:spacing w:after="120"/>
              <w:rPr>
                <w:color w:val="auto"/>
              </w:rPr>
            </w:pPr>
            <w:r>
              <w:rPr>
                <w:rFonts w:hint="eastAsia"/>
                <w:color w:val="auto"/>
              </w:rPr>
              <w:t>2.环境空气保护目标指自然保护区、风景名胜区、居住区、文化区和农村地区中人群较集中的区域。</w:t>
            </w:r>
          </w:p>
          <w:p w14:paraId="45A7E376">
            <w:pPr>
              <w:pStyle w:val="63"/>
              <w:spacing w:after="120"/>
              <w:rPr>
                <w:color w:val="auto"/>
              </w:rPr>
            </w:pPr>
            <w:r>
              <w:rPr>
                <w:rFonts w:hint="eastAsia"/>
                <w:color w:val="auto"/>
              </w:rPr>
              <w:t>3.临界量及其计算方法可参考《建设项目环境风险评价技术导则》（HJ 169）附录B、附录C。</w:t>
            </w:r>
          </w:p>
          <w:p w14:paraId="192D03D4">
            <w:pPr>
              <w:pStyle w:val="3"/>
              <w:ind w:firstLine="480"/>
              <w:rPr>
                <w:color w:val="auto"/>
              </w:rPr>
            </w:pPr>
            <w:r>
              <w:rPr>
                <w:rFonts w:hint="eastAsia"/>
                <w:color w:val="auto"/>
              </w:rPr>
              <w:t>根据《建设项目环境影响报告表编制技术指南（污染影响类）</w:t>
            </w:r>
            <w:r>
              <w:rPr>
                <w:rFonts w:hint="eastAsia"/>
                <w:color w:val="auto"/>
                <w:lang w:eastAsia="zh-CN"/>
              </w:rPr>
              <w:t>（试行）》</w:t>
            </w:r>
            <w:r>
              <w:rPr>
                <w:rFonts w:hint="eastAsia"/>
                <w:color w:val="auto"/>
              </w:rPr>
              <w:t>，土壤及声环境不开展专项评价。地下水原则上不开展专项评价，涉及集中式饮用水水源和热水、矿泉水、温泉等特殊地下水资源保护区的开展地下水专项评价工作，本项目不涉及上述保护区，因此可不开展地下水专项评价。</w:t>
            </w:r>
          </w:p>
          <w:p w14:paraId="1B11F4A9">
            <w:pPr>
              <w:pStyle w:val="3"/>
              <w:ind w:firstLine="480"/>
              <w:rPr>
                <w:rFonts w:cs="宋体"/>
                <w:color w:val="auto"/>
              </w:rPr>
            </w:pPr>
            <w:r>
              <w:rPr>
                <w:rFonts w:hint="eastAsia"/>
                <w:color w:val="auto"/>
              </w:rPr>
              <w:t>综上判定，本次评价无须设置专项评价。</w:t>
            </w:r>
          </w:p>
        </w:tc>
      </w:tr>
      <w:tr w14:paraId="47967D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64" w:hRule="atLeast"/>
          <w:jc w:val="center"/>
        </w:trPr>
        <w:tc>
          <w:tcPr>
            <w:tcW w:w="722" w:type="dxa"/>
            <w:vAlign w:val="center"/>
          </w:tcPr>
          <w:p w14:paraId="2ED673E1">
            <w:pPr>
              <w:autoSpaceDE w:val="0"/>
              <w:autoSpaceDN w:val="0"/>
              <w:snapToGrid w:val="0"/>
              <w:jc w:val="center"/>
              <w:rPr>
                <w:rFonts w:cs="宋体"/>
                <w:color w:val="auto"/>
                <w:sz w:val="24"/>
              </w:rPr>
            </w:pPr>
            <w:bookmarkStart w:id="6" w:name="规划情况"/>
            <w:r>
              <w:rPr>
                <w:rFonts w:hint="eastAsia" w:cs="宋体"/>
                <w:color w:val="auto"/>
                <w:sz w:val="24"/>
              </w:rPr>
              <w:t>规划情况</w:t>
            </w:r>
            <w:bookmarkEnd w:id="6"/>
          </w:p>
        </w:tc>
        <w:tc>
          <w:tcPr>
            <w:tcW w:w="7564" w:type="dxa"/>
            <w:gridSpan w:val="4"/>
            <w:vAlign w:val="center"/>
          </w:tcPr>
          <w:p w14:paraId="22537723">
            <w:pPr>
              <w:pStyle w:val="3"/>
              <w:ind w:firstLine="0" w:firstLineChars="0"/>
              <w:jc w:val="left"/>
              <w:rPr>
                <w:color w:val="auto"/>
              </w:rPr>
            </w:pPr>
            <w:r>
              <w:rPr>
                <w:rFonts w:hint="eastAsia"/>
                <w:color w:val="auto"/>
              </w:rPr>
              <w:t>①规划文件名称：《钦州港大榄坪物流加工区总体规划修编（2022-2035）》</w:t>
            </w:r>
          </w:p>
          <w:p w14:paraId="742842C5">
            <w:pPr>
              <w:pStyle w:val="3"/>
              <w:ind w:firstLine="0" w:firstLineChars="0"/>
              <w:jc w:val="left"/>
              <w:rPr>
                <w:color w:val="auto"/>
              </w:rPr>
            </w:pPr>
            <w:r>
              <w:rPr>
                <w:rFonts w:hint="eastAsia"/>
                <w:color w:val="auto"/>
              </w:rPr>
              <w:t>②审查机关：钦州市人民政府</w:t>
            </w:r>
          </w:p>
        </w:tc>
      </w:tr>
      <w:tr w14:paraId="076EA8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722" w:type="dxa"/>
            <w:vAlign w:val="center"/>
          </w:tcPr>
          <w:p w14:paraId="526A4B5B">
            <w:pPr>
              <w:snapToGrid w:val="0"/>
              <w:jc w:val="center"/>
              <w:rPr>
                <w:rFonts w:cs="宋体"/>
                <w:color w:val="auto"/>
                <w:sz w:val="24"/>
              </w:rPr>
            </w:pPr>
            <w:r>
              <w:rPr>
                <w:rFonts w:hint="eastAsia" w:cs="宋体"/>
                <w:color w:val="auto"/>
                <w:sz w:val="24"/>
              </w:rPr>
              <w:t>规划环境影响评价情况</w:t>
            </w:r>
          </w:p>
        </w:tc>
        <w:tc>
          <w:tcPr>
            <w:tcW w:w="7564" w:type="dxa"/>
            <w:gridSpan w:val="4"/>
            <w:vAlign w:val="center"/>
          </w:tcPr>
          <w:p w14:paraId="50486425">
            <w:pPr>
              <w:pStyle w:val="3"/>
              <w:ind w:firstLine="0" w:firstLineChars="0"/>
              <w:rPr>
                <w:color w:val="auto"/>
              </w:rPr>
            </w:pPr>
            <w:r>
              <w:rPr>
                <w:rFonts w:hint="eastAsia"/>
                <w:color w:val="auto"/>
              </w:rPr>
              <w:t>①文件名称：《钦州港大榄坪物流加工区总体规划修编（2022-2035）环境影响报告书》</w:t>
            </w:r>
          </w:p>
          <w:p w14:paraId="0436BAA2">
            <w:pPr>
              <w:pStyle w:val="3"/>
              <w:ind w:firstLine="0" w:firstLineChars="0"/>
              <w:rPr>
                <w:color w:val="auto"/>
              </w:rPr>
            </w:pPr>
            <w:r>
              <w:rPr>
                <w:rFonts w:hint="eastAsia"/>
                <w:color w:val="auto"/>
              </w:rPr>
              <w:t xml:space="preserve">②规划年限：2025年~2035年 </w:t>
            </w:r>
          </w:p>
          <w:p w14:paraId="42A28E80">
            <w:pPr>
              <w:pStyle w:val="3"/>
              <w:ind w:firstLine="0" w:firstLineChars="0"/>
              <w:rPr>
                <w:color w:val="auto"/>
              </w:rPr>
            </w:pPr>
            <w:r>
              <w:rPr>
                <w:rFonts w:hint="eastAsia"/>
                <w:color w:val="auto"/>
              </w:rPr>
              <w:t xml:space="preserve">③审查机关：钦州市生态环境局 </w:t>
            </w:r>
          </w:p>
          <w:p w14:paraId="52D9C530">
            <w:pPr>
              <w:pStyle w:val="3"/>
              <w:ind w:firstLine="0" w:firstLineChars="0"/>
              <w:rPr>
                <w:color w:val="auto"/>
              </w:rPr>
            </w:pPr>
            <w:r>
              <w:rPr>
                <w:rFonts w:hint="eastAsia"/>
                <w:color w:val="auto"/>
              </w:rPr>
              <w:t>④审批文件名称及文号：《钦州港大榄坪物流加工区总体规划修编（2022-2035）环境影响报告书审查意见》（钦环函〔2023〕107号）</w:t>
            </w:r>
          </w:p>
        </w:tc>
      </w:tr>
      <w:tr w14:paraId="145891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22" w:type="dxa"/>
            <w:vAlign w:val="center"/>
          </w:tcPr>
          <w:p w14:paraId="3B372CE7">
            <w:pPr>
              <w:autoSpaceDE w:val="0"/>
              <w:autoSpaceDN w:val="0"/>
              <w:snapToGrid w:val="0"/>
              <w:jc w:val="center"/>
              <w:rPr>
                <w:rFonts w:cs="宋体"/>
                <w:color w:val="auto"/>
                <w:sz w:val="24"/>
              </w:rPr>
            </w:pPr>
            <w:r>
              <w:rPr>
                <w:rFonts w:hint="eastAsia" w:cs="宋体"/>
                <w:color w:val="auto"/>
                <w:sz w:val="24"/>
              </w:rPr>
              <w:t>规划及规划环境影响评价符合性分析</w:t>
            </w:r>
          </w:p>
        </w:tc>
        <w:tc>
          <w:tcPr>
            <w:tcW w:w="7564" w:type="dxa"/>
            <w:gridSpan w:val="4"/>
            <w:vAlign w:val="center"/>
          </w:tcPr>
          <w:p w14:paraId="06383D3E">
            <w:pPr>
              <w:pStyle w:val="7"/>
              <w:rPr>
                <w:color w:val="auto"/>
              </w:rPr>
            </w:pPr>
            <w:r>
              <w:rPr>
                <w:rFonts w:hint="eastAsia"/>
                <w:color w:val="auto"/>
              </w:rPr>
              <w:t>1、项目与《钦州港大榄坪物流加工区总体规划修编（2022-2035）》符合性分析</w:t>
            </w:r>
          </w:p>
          <w:p w14:paraId="59109DEB">
            <w:pPr>
              <w:pStyle w:val="3"/>
              <w:ind w:firstLine="480"/>
              <w:rPr>
                <w:color w:val="auto"/>
              </w:rPr>
            </w:pPr>
            <w:r>
              <w:rPr>
                <w:rFonts w:hint="eastAsia"/>
                <w:color w:val="auto"/>
              </w:rPr>
              <w:t>园区的战略定位为“广西北部湾新兴的临港汽车、装备产业加工及新能源电池材料制造基地；面向东盟、服务大西南，具有多式联运功能的现代物流服务中心；面向东盟自贸区的规模化、现代化的商品展示、交易与信息发布中心。</w:t>
            </w:r>
          </w:p>
          <w:p w14:paraId="7C8B9D84">
            <w:pPr>
              <w:pStyle w:val="3"/>
              <w:ind w:firstLine="480"/>
              <w:rPr>
                <w:color w:val="auto"/>
              </w:rPr>
            </w:pPr>
            <w:r>
              <w:rPr>
                <w:rFonts w:hint="eastAsia"/>
                <w:color w:val="auto"/>
              </w:rPr>
              <w:t>园区的主导功能为“应加大力度发展产业经济，为钦州港大榄坪物流加工区的发展提供产业支撑。核心发展装备制造业和新能源电池材料、新型材料产业。远期在钦州综合保税区政策的支持下，进一步发展转口贸易和出口加工业务功能。同时，为防止港口等基础设施制约区域经济合作和发展，应考虑在区域产业扩张之前，适当超前进行港口基础设施的规划布局和建设，使港口与城市及区域产业相互支撑，共同发展。”</w:t>
            </w:r>
          </w:p>
          <w:p w14:paraId="2349F57F">
            <w:pPr>
              <w:pStyle w:val="3"/>
              <w:ind w:firstLine="480"/>
              <w:rPr>
                <w:color w:val="auto"/>
              </w:rPr>
            </w:pPr>
            <w:r>
              <w:rPr>
                <w:rFonts w:hint="eastAsia"/>
                <w:color w:val="auto"/>
              </w:rPr>
              <w:t>园区的支撑配套功能为“</w:t>
            </w:r>
            <w:r>
              <w:rPr>
                <w:rFonts w:hint="eastAsia"/>
                <w:b/>
                <w:bCs/>
                <w:color w:val="auto"/>
              </w:rPr>
              <w:t>加快规划建设配套服务系统</w:t>
            </w:r>
            <w:r>
              <w:rPr>
                <w:rFonts w:hint="eastAsia"/>
                <w:b/>
                <w:bCs/>
                <w:color w:val="auto"/>
                <w:lang w:eastAsia="zh-CN"/>
              </w:rPr>
              <w:t>，以及</w:t>
            </w:r>
            <w:r>
              <w:rPr>
                <w:rFonts w:hint="eastAsia"/>
                <w:color w:val="auto"/>
              </w:rPr>
              <w:t>培育发展航运咨询服务、电子口岸、金融市场体系、完善法律法规建设等，从而加快航运和物流产业的升级和提升。从港口与产业和物流之间关系的层面，形成港口支持产业和物流、产业和物流支撑航运的互动发展局面。发展金融保险、进出口和转口贸易、咨询中介服务等国际商务功能；项目咨询、法律、会计、审计、资产评估等相关专业商业服务功能。同步发展以配套服务业为主的生活服务功能。”</w:t>
            </w:r>
          </w:p>
          <w:p w14:paraId="31A098F7">
            <w:pPr>
              <w:pStyle w:val="3"/>
              <w:ind w:firstLine="480"/>
              <w:rPr>
                <w:color w:val="auto"/>
              </w:rPr>
            </w:pPr>
            <w:r>
              <w:rPr>
                <w:rFonts w:hint="eastAsia"/>
                <w:color w:val="auto"/>
              </w:rPr>
              <w:t>拟建项目为N7723固体废物治理，属于服务产业。建设单位（钦州市钦州港市政管理有限公司）作为城市公共服务主体，承担着建筑垃圾处置的社会责任和推动绿色低碳发展的义务。项目建设符合园区规划要求中的“</w:t>
            </w:r>
            <w:r>
              <w:rPr>
                <w:rFonts w:hint="eastAsia"/>
                <w:b/>
                <w:bCs/>
                <w:color w:val="auto"/>
              </w:rPr>
              <w:t>加快规划建设配套服务系统</w:t>
            </w:r>
            <w:r>
              <w:rPr>
                <w:rFonts w:hint="eastAsia"/>
                <w:color w:val="auto"/>
              </w:rPr>
              <w:t>”要求。</w:t>
            </w:r>
          </w:p>
          <w:p w14:paraId="6A9EA814">
            <w:pPr>
              <w:pStyle w:val="7"/>
              <w:rPr>
                <w:color w:val="auto"/>
              </w:rPr>
            </w:pPr>
            <w:r>
              <w:rPr>
                <w:rFonts w:hint="eastAsia"/>
                <w:color w:val="auto"/>
                <w:lang w:eastAsia="zh-CN"/>
              </w:rPr>
              <w:t>2.</w:t>
            </w:r>
            <w:r>
              <w:rPr>
                <w:rFonts w:hint="eastAsia"/>
                <w:color w:val="auto"/>
              </w:rPr>
              <w:t>项目与园区规划环评及审查意见相符性分析</w:t>
            </w:r>
          </w:p>
          <w:p w14:paraId="16A9D3F3">
            <w:pPr>
              <w:pStyle w:val="48"/>
              <w:rPr>
                <w:color w:val="auto"/>
              </w:rPr>
            </w:pPr>
            <w:r>
              <w:rPr>
                <w:rFonts w:hint="eastAsia"/>
                <w:color w:val="auto"/>
              </w:rPr>
              <w:t xml:space="preserve">表1- </w:t>
            </w:r>
            <w:r>
              <w:rPr>
                <w:color w:val="auto"/>
              </w:rPr>
              <w:fldChar w:fldCharType="begin"/>
            </w:r>
            <w:r>
              <w:rPr>
                <w:color w:val="auto"/>
              </w:rPr>
              <w:instrText xml:space="preserve"> </w:instrText>
            </w:r>
            <w:r>
              <w:rPr>
                <w:rFonts w:hint="eastAsia"/>
                <w:color w:val="auto"/>
              </w:rPr>
              <w:instrText xml:space="preserve">SEQ 表1- \* ARABIC</w:instrText>
            </w:r>
            <w:r>
              <w:rPr>
                <w:color w:val="auto"/>
              </w:rPr>
              <w:instrText xml:space="preserve"> </w:instrText>
            </w:r>
            <w:r>
              <w:rPr>
                <w:color w:val="auto"/>
              </w:rPr>
              <w:fldChar w:fldCharType="separate"/>
            </w:r>
            <w:r>
              <w:rPr>
                <w:color w:val="auto"/>
              </w:rPr>
              <w:t>2</w:t>
            </w:r>
            <w:r>
              <w:rPr>
                <w:color w:val="auto"/>
              </w:rPr>
              <w:fldChar w:fldCharType="end"/>
            </w:r>
            <w:r>
              <w:rPr>
                <w:rFonts w:hint="eastAsia"/>
                <w:color w:val="auto"/>
              </w:rPr>
              <w:t>：项目与园区规划环评及审查意见相符性情况</w:t>
            </w:r>
          </w:p>
          <w:tbl>
            <w:tblPr>
              <w:tblStyle w:val="4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882"/>
              <w:gridCol w:w="4007"/>
              <w:gridCol w:w="2040"/>
              <w:gridCol w:w="588"/>
            </w:tblGrid>
            <w:tr w14:paraId="72C250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9" w:type="pc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197D8CBD">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14:ligatures w14:val="standardContextual"/>
                    </w:rPr>
                  </w:pPr>
                  <w:r>
                    <w:rPr>
                      <w:rFonts w:hint="eastAsia" w:ascii="Times New Roman" w:hAnsi="Times New Roman" w:eastAsia="宋体" w:cs="Times New Roman"/>
                      <w:b/>
                      <w:i w:val="0"/>
                      <w:color w:val="auto"/>
                      <w14:ligatures w14:val="standardContextual"/>
                    </w:rPr>
                    <w:t>项目</w:t>
                  </w:r>
                </w:p>
              </w:tc>
              <w:tc>
                <w:tcPr>
                  <w:tcW w:w="2667"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2A57808B">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14:ligatures w14:val="standardContextual"/>
                    </w:rPr>
                  </w:pPr>
                  <w:r>
                    <w:rPr>
                      <w:rFonts w:hint="eastAsia" w:ascii="Times New Roman" w:hAnsi="Times New Roman" w:eastAsia="宋体" w:cs="Times New Roman"/>
                      <w:b/>
                      <w:i w:val="0"/>
                      <w:color w:val="auto"/>
                      <w14:ligatures w14:val="standardContextual"/>
                    </w:rPr>
                    <w:t>规划环评及审查意见</w:t>
                  </w:r>
                </w:p>
              </w:tc>
              <w:tc>
                <w:tcPr>
                  <w:tcW w:w="1351"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79EB3108">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14:ligatures w14:val="standardContextual"/>
                    </w:rPr>
                  </w:pPr>
                  <w:r>
                    <w:rPr>
                      <w:rFonts w:hint="eastAsia" w:ascii="Times New Roman" w:hAnsi="Times New Roman" w:eastAsia="宋体" w:cs="Times New Roman"/>
                      <w:b/>
                      <w:i w:val="0"/>
                      <w:color w:val="auto"/>
                      <w14:ligatures w14:val="standardContextual"/>
                    </w:rPr>
                    <w:t>本项目情况</w:t>
                  </w:r>
                </w:p>
              </w:tc>
              <w:tc>
                <w:tcPr>
                  <w:tcW w:w="393" w:type="pct"/>
                  <w:tcBorders>
                    <w:top w:val="single" w:color="auto" w:sz="12" w:space="0"/>
                    <w:bottom w:val="single" w:color="auto" w:sz="12" w:space="0"/>
                    <w:right w:val="nil"/>
                    <w:insideH w:val="single" w:sz="12" w:space="0"/>
                    <w:insideV w:val="single" w:sz="4" w:space="0"/>
                    <w:tl2br w:val="nil"/>
                    <w:tr2bl w:val="nil"/>
                  </w:tcBorders>
                  <w:vAlign w:val="center"/>
                </w:tcPr>
                <w:p w14:paraId="4EC4E642">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14:ligatures w14:val="standardContextual"/>
                    </w:rPr>
                  </w:pPr>
                  <w:r>
                    <w:rPr>
                      <w:rFonts w:hint="eastAsia" w:ascii="Times New Roman" w:hAnsi="Times New Roman" w:eastAsia="宋体" w:cs="Times New Roman"/>
                      <w:b/>
                      <w:i w:val="0"/>
                      <w:color w:val="auto"/>
                      <w14:ligatures w14:val="standardContextual"/>
                    </w:rPr>
                    <w:t>相符性</w:t>
                  </w:r>
                </w:p>
              </w:tc>
            </w:tr>
            <w:tr w14:paraId="7CD7F6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9" w:type="pct"/>
                  <w:vAlign w:val="center"/>
                </w:tcPr>
                <w:p w14:paraId="38F43D11">
                  <w:pPr>
                    <w:widowControl w:val="0"/>
                    <w:overflowPunct w:val="0"/>
                    <w:autoSpaceDE w:val="0"/>
                    <w:autoSpaceDN w:val="0"/>
                    <w:snapToGrid w:val="0"/>
                    <w:jc w:val="center"/>
                    <w:rPr>
                      <w:color w:val="auto"/>
                      <w14:ligatures w14:val="standardContextual"/>
                    </w:rPr>
                  </w:pPr>
                  <w:r>
                    <w:rPr>
                      <w:rFonts w:hint="eastAsia"/>
                      <w:color w:val="auto"/>
                      <w14:ligatures w14:val="standardContextual"/>
                    </w:rPr>
                    <w:t>用地规划</w:t>
                  </w:r>
                </w:p>
              </w:tc>
              <w:tc>
                <w:tcPr>
                  <w:tcW w:w="2667" w:type="pct"/>
                  <w:vAlign w:val="center"/>
                </w:tcPr>
                <w:p w14:paraId="239B5A53">
                  <w:pPr>
                    <w:widowControl w:val="0"/>
                    <w:overflowPunct w:val="0"/>
                    <w:autoSpaceDE w:val="0"/>
                    <w:autoSpaceDN w:val="0"/>
                    <w:snapToGrid w:val="0"/>
                    <w:jc w:val="center"/>
                    <w:rPr>
                      <w:color w:val="auto"/>
                      <w14:ligatures w14:val="standardContextual"/>
                    </w:rPr>
                  </w:pPr>
                  <w:r>
                    <w:rPr>
                      <w:rFonts w:hint="eastAsia"/>
                      <w:color w:val="auto"/>
                      <w14:ligatures w14:val="standardContextual"/>
                    </w:rPr>
                    <w:t>园区土地利用划分为：仓储用地、工矿用地、交通运输用地、绿地与开敞空间用地、公用设施用地、区域交通设施用地等。</w:t>
                  </w:r>
                </w:p>
              </w:tc>
              <w:tc>
                <w:tcPr>
                  <w:tcW w:w="1351" w:type="pct"/>
                  <w:vAlign w:val="center"/>
                </w:tcPr>
                <w:p w14:paraId="19E4DA20">
                  <w:pPr>
                    <w:widowControl w:val="0"/>
                    <w:overflowPunct w:val="0"/>
                    <w:autoSpaceDE w:val="0"/>
                    <w:autoSpaceDN w:val="0"/>
                    <w:snapToGrid w:val="0"/>
                    <w:jc w:val="center"/>
                    <w:rPr>
                      <w:color w:val="auto"/>
                      <w14:ligatures w14:val="standardContextual"/>
                    </w:rPr>
                  </w:pPr>
                  <w:r>
                    <w:rPr>
                      <w:rFonts w:hint="eastAsia"/>
                      <w:color w:val="auto"/>
                      <w14:ligatures w14:val="standardContextual"/>
                    </w:rPr>
                    <w:t>本项目选址位于</w:t>
                  </w:r>
                  <w:r>
                    <w:rPr>
                      <w:rFonts w:hint="eastAsia"/>
                      <w:b/>
                      <w:bCs/>
                      <w:color w:val="auto"/>
                      <w14:ligatures w14:val="standardContextual"/>
                    </w:rPr>
                    <w:t>广西壮族自治区钦州市保税港大街北面、陆海大道东面、中伟一期项目南面，用地性质为工业用地</w:t>
                  </w:r>
                  <w:r>
                    <w:rPr>
                      <w:rFonts w:hint="eastAsia"/>
                      <w:color w:val="auto"/>
                      <w14:ligatures w14:val="standardContextual"/>
                    </w:rPr>
                    <w:t>，见附图6。</w:t>
                  </w:r>
                  <w:r>
                    <w:rPr>
                      <w:rFonts w:hint="eastAsia"/>
                      <w:color w:val="auto"/>
                      <w:lang w:eastAsia="zh-CN"/>
                      <w14:ligatures w14:val="standardContextual"/>
                    </w:rPr>
                    <w:t>中国—马来西亚</w:t>
                  </w:r>
                  <w:r>
                    <w:rPr>
                      <w:rFonts w:hint="eastAsia"/>
                      <w:color w:val="auto"/>
                      <w14:ligatures w14:val="standardContextual"/>
                    </w:rPr>
                    <w:t>钦州产业园区自然资源局于2025年4月24日出具了《关于钦州港片区建筑垃圾消纳场资源化利用项目临时选址的意见》，项目用地符合规划要求。</w:t>
                  </w:r>
                </w:p>
              </w:tc>
              <w:tc>
                <w:tcPr>
                  <w:tcW w:w="393" w:type="pct"/>
                  <w:vAlign w:val="center"/>
                </w:tcPr>
                <w:p w14:paraId="7B90CB66">
                  <w:pPr>
                    <w:widowControl w:val="0"/>
                    <w:overflowPunct w:val="0"/>
                    <w:autoSpaceDE w:val="0"/>
                    <w:autoSpaceDN w:val="0"/>
                    <w:snapToGrid w:val="0"/>
                    <w:jc w:val="center"/>
                    <w:rPr>
                      <w:color w:val="auto"/>
                      <w14:ligatures w14:val="standardContextual"/>
                    </w:rPr>
                  </w:pPr>
                  <w:r>
                    <w:rPr>
                      <w:rFonts w:hint="eastAsia"/>
                      <w:color w:val="auto"/>
                      <w14:ligatures w14:val="standardContextual"/>
                    </w:rPr>
                    <w:t>符合</w:t>
                  </w:r>
                </w:p>
              </w:tc>
            </w:tr>
            <w:tr w14:paraId="33D378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9" w:type="pct"/>
                  <w:vAlign w:val="center"/>
                </w:tcPr>
                <w:p w14:paraId="44264EA2">
                  <w:pPr>
                    <w:widowControl w:val="0"/>
                    <w:overflowPunct w:val="0"/>
                    <w:autoSpaceDE w:val="0"/>
                    <w:autoSpaceDN w:val="0"/>
                    <w:snapToGrid w:val="0"/>
                    <w:jc w:val="center"/>
                    <w:rPr>
                      <w:color w:val="auto"/>
                      <w14:ligatures w14:val="standardContextual"/>
                    </w:rPr>
                  </w:pPr>
                  <w:r>
                    <w:rPr>
                      <w:rFonts w:hint="eastAsia"/>
                      <w:color w:val="auto"/>
                      <w14:ligatures w14:val="standardContextual"/>
                    </w:rPr>
                    <w:t>空间布局约束</w:t>
                  </w:r>
                </w:p>
              </w:tc>
              <w:tc>
                <w:tcPr>
                  <w:tcW w:w="2667" w:type="pct"/>
                  <w:vAlign w:val="center"/>
                </w:tcPr>
                <w:p w14:paraId="27B7E2CB">
                  <w:pPr>
                    <w:widowControl w:val="0"/>
                    <w:overflowPunct w:val="0"/>
                    <w:autoSpaceDE w:val="0"/>
                    <w:autoSpaceDN w:val="0"/>
                    <w:snapToGrid w:val="0"/>
                    <w:jc w:val="center"/>
                    <w:rPr>
                      <w:color w:val="auto"/>
                      <w14:ligatures w14:val="standardContextual"/>
                    </w:rPr>
                  </w:pPr>
                  <w:r>
                    <w:rPr>
                      <w:rFonts w:hint="eastAsia"/>
                      <w:color w:val="auto"/>
                      <w14:ligatures w14:val="standardContextual"/>
                    </w:rPr>
                    <w:t>1.应按规划功能组团布局相应产业，入驻企业的选址须符合相应的行业准入条件和防护距离要求，企业的厂区布局设计要严格遵守《建筑设计防火规范》等相关规定，充分考虑总图布置在环保方面合理性。</w:t>
                  </w:r>
                </w:p>
                <w:p w14:paraId="54844103">
                  <w:pPr>
                    <w:widowControl w:val="0"/>
                    <w:overflowPunct w:val="0"/>
                    <w:autoSpaceDE w:val="0"/>
                    <w:autoSpaceDN w:val="0"/>
                    <w:snapToGrid w:val="0"/>
                    <w:jc w:val="center"/>
                    <w:rPr>
                      <w:color w:val="auto"/>
                      <w14:ligatures w14:val="standardContextual"/>
                    </w:rPr>
                  </w:pPr>
                  <w:r>
                    <w:rPr>
                      <w:rFonts w:hint="eastAsia"/>
                      <w:color w:val="auto"/>
                      <w14:ligatures w14:val="standardContextual"/>
                    </w:rPr>
                    <w:t>2.村屯用地周边严控布局潜在污染和环境风险突出的建设项目。</w:t>
                  </w:r>
                </w:p>
                <w:p w14:paraId="70BF03ED">
                  <w:pPr>
                    <w:widowControl w:val="0"/>
                    <w:overflowPunct w:val="0"/>
                    <w:autoSpaceDE w:val="0"/>
                    <w:autoSpaceDN w:val="0"/>
                    <w:snapToGrid w:val="0"/>
                    <w:jc w:val="center"/>
                    <w:rPr>
                      <w:color w:val="auto"/>
                      <w14:ligatures w14:val="standardContextual"/>
                    </w:rPr>
                  </w:pPr>
                  <w:r>
                    <w:rPr>
                      <w:rFonts w:hint="eastAsia"/>
                      <w:color w:val="auto"/>
                      <w14:ligatures w14:val="standardContextual"/>
                    </w:rPr>
                    <w:t>3.入园项目应符合园区产业定位，符合《广西生态保护正面清单》（2022）和《广西生态保护禁止事项清单（2022）》中的要求。</w:t>
                  </w:r>
                </w:p>
                <w:p w14:paraId="6B069441">
                  <w:pPr>
                    <w:widowControl w:val="0"/>
                    <w:overflowPunct w:val="0"/>
                    <w:autoSpaceDE w:val="0"/>
                    <w:autoSpaceDN w:val="0"/>
                    <w:snapToGrid w:val="0"/>
                    <w:jc w:val="center"/>
                    <w:rPr>
                      <w:color w:val="auto"/>
                      <w14:ligatures w14:val="standardContextual"/>
                    </w:rPr>
                  </w:pPr>
                  <w:r>
                    <w:rPr>
                      <w:rFonts w:hint="eastAsia"/>
                      <w:color w:val="auto"/>
                      <w14:ligatures w14:val="standardContextual"/>
                    </w:rPr>
                    <w:t>4.入驻企业应符合国家和行业环境保护标准、清洁生产标准和行业准入条件要求，符合国家产业政策、区域规划及政策要求，建设规模应符合国家产业政策的最小经济规模要求。禁止建设国家现行产业政策明令限制、禁止或淘汰的项目、落后生产工艺或设备、落后生产能力项目，禁止建设不符合园区规划产业定位或与产业链条无关联的项目。</w:t>
                  </w:r>
                </w:p>
                <w:p w14:paraId="767276E0">
                  <w:pPr>
                    <w:widowControl w:val="0"/>
                    <w:overflowPunct w:val="0"/>
                    <w:autoSpaceDE w:val="0"/>
                    <w:autoSpaceDN w:val="0"/>
                    <w:snapToGrid w:val="0"/>
                    <w:jc w:val="center"/>
                    <w:rPr>
                      <w:color w:val="auto"/>
                      <w14:ligatures w14:val="standardContextual"/>
                    </w:rPr>
                  </w:pPr>
                  <w:r>
                    <w:rPr>
                      <w:rFonts w:hint="eastAsia"/>
                      <w:color w:val="auto"/>
                      <w14:ligatures w14:val="standardContextual"/>
                    </w:rPr>
                    <w:t>5.有行业标准的，企业清洁生产水平至少达到国内领先水平。</w:t>
                  </w:r>
                </w:p>
                <w:p w14:paraId="2047538E">
                  <w:pPr>
                    <w:widowControl w:val="0"/>
                    <w:overflowPunct w:val="0"/>
                    <w:autoSpaceDE w:val="0"/>
                    <w:autoSpaceDN w:val="0"/>
                    <w:snapToGrid w:val="0"/>
                    <w:jc w:val="center"/>
                    <w:rPr>
                      <w:color w:val="auto"/>
                      <w14:ligatures w14:val="standardContextual"/>
                    </w:rPr>
                  </w:pPr>
                  <w:r>
                    <w:rPr>
                      <w:rFonts w:hint="eastAsia"/>
                      <w:color w:val="auto"/>
                      <w14:ligatures w14:val="standardContextual"/>
                    </w:rPr>
                    <w:t>6.危险化学品的仓储条件必须满足《危险化学品经营企业安全技术基本要求》（GB18265-2019）要求。</w:t>
                  </w:r>
                </w:p>
                <w:p w14:paraId="6B5D42E1">
                  <w:pPr>
                    <w:widowControl w:val="0"/>
                    <w:overflowPunct w:val="0"/>
                    <w:autoSpaceDE w:val="0"/>
                    <w:autoSpaceDN w:val="0"/>
                    <w:snapToGrid w:val="0"/>
                    <w:jc w:val="center"/>
                    <w:rPr>
                      <w:color w:val="auto"/>
                      <w14:ligatures w14:val="standardContextual"/>
                    </w:rPr>
                  </w:pPr>
                  <w:r>
                    <w:rPr>
                      <w:rFonts w:hint="eastAsia"/>
                      <w:color w:val="auto"/>
                      <w14:ligatures w14:val="standardContextual"/>
                    </w:rPr>
                    <w:t>7.入驻企业执行排污许可证制度，合理确定排污单位污</w:t>
                  </w:r>
                  <w:r>
                    <w:rPr>
                      <w:rFonts w:hint="eastAsia"/>
                      <w:color w:val="auto"/>
                      <w:lang w:eastAsia="zh-CN"/>
                      <w14:ligatures w14:val="standardContextual"/>
                    </w:rPr>
                    <w:t>染物</w:t>
                  </w:r>
                  <w:r>
                    <w:rPr>
                      <w:rFonts w:hint="eastAsia"/>
                      <w:color w:val="auto"/>
                      <w14:ligatures w14:val="standardContextual"/>
                    </w:rPr>
                    <w:t>排放种类、浓度、许可排放量等要求。</w:t>
                  </w:r>
                </w:p>
                <w:p w14:paraId="0420FBFD">
                  <w:pPr>
                    <w:widowControl w:val="0"/>
                    <w:overflowPunct w:val="0"/>
                    <w:autoSpaceDE w:val="0"/>
                    <w:autoSpaceDN w:val="0"/>
                    <w:snapToGrid w:val="0"/>
                    <w:jc w:val="center"/>
                    <w:rPr>
                      <w:color w:val="auto"/>
                      <w14:ligatures w14:val="standardContextual"/>
                    </w:rPr>
                  </w:pPr>
                  <w:r>
                    <w:rPr>
                      <w:rFonts w:hint="eastAsia"/>
                      <w:color w:val="auto"/>
                      <w14:ligatures w14:val="standardContextual"/>
                    </w:rPr>
                    <w:t>8</w:t>
                  </w:r>
                  <w:r>
                    <w:rPr>
                      <w:rFonts w:hint="eastAsia"/>
                      <w:color w:val="auto"/>
                      <w:lang w:eastAsia="zh-CN"/>
                      <w14:ligatures w14:val="standardContextual"/>
                    </w:rPr>
                    <w:t>.</w:t>
                  </w:r>
                  <w:r>
                    <w:rPr>
                      <w:rFonts w:hint="eastAsia"/>
                      <w:color w:val="auto"/>
                      <w14:ligatures w14:val="standardContextual"/>
                    </w:rPr>
                    <w:t>加工区围填海历史遗留问题应根据《国务院关于加强滨海湿地保护严格管控围填海的通知》（国发〔2018〕24 号）的有关规定，严格限制围填海用于房地产开发、低水平重复建设旅游休闲娱乐项目及污染海洋生态环境的项目，对入驻的项目，按照法定审批权限依法办理用海手续。</w:t>
                  </w:r>
                </w:p>
              </w:tc>
              <w:tc>
                <w:tcPr>
                  <w:tcW w:w="1351" w:type="pct"/>
                  <w:vAlign w:val="center"/>
                </w:tcPr>
                <w:p w14:paraId="0B063EE4">
                  <w:pPr>
                    <w:widowControl w:val="0"/>
                    <w:overflowPunct w:val="0"/>
                    <w:autoSpaceDE w:val="0"/>
                    <w:autoSpaceDN w:val="0"/>
                    <w:snapToGrid w:val="0"/>
                    <w:jc w:val="center"/>
                    <w:rPr>
                      <w:color w:val="auto"/>
                      <w14:ligatures w14:val="standardContextual"/>
                    </w:rPr>
                  </w:pPr>
                  <w:r>
                    <w:rPr>
                      <w:rFonts w:hint="eastAsia"/>
                      <w:color w:val="auto"/>
                      <w14:ligatures w14:val="standardContextual"/>
                    </w:rPr>
                    <w:t>1.项目无需设置环境防护距离，企业的厂区布局设计要严格遵守《建筑设计防火规范》等相关规定。</w:t>
                  </w:r>
                </w:p>
                <w:p w14:paraId="6C15962C">
                  <w:pPr>
                    <w:widowControl w:val="0"/>
                    <w:overflowPunct w:val="0"/>
                    <w:autoSpaceDE w:val="0"/>
                    <w:autoSpaceDN w:val="0"/>
                    <w:snapToGrid w:val="0"/>
                    <w:jc w:val="center"/>
                    <w:rPr>
                      <w:color w:val="auto"/>
                      <w14:ligatures w14:val="standardContextual"/>
                    </w:rPr>
                  </w:pPr>
                  <w:r>
                    <w:rPr>
                      <w:rFonts w:hint="eastAsia"/>
                      <w:color w:val="auto"/>
                      <w14:ligatures w14:val="standardContextual"/>
                    </w:rPr>
                    <w:t>2.项目周边500m范围内均为工业用地，不存在村屯用地。</w:t>
                  </w:r>
                </w:p>
                <w:p w14:paraId="0217B4F4">
                  <w:pPr>
                    <w:widowControl w:val="0"/>
                    <w:overflowPunct w:val="0"/>
                    <w:autoSpaceDE w:val="0"/>
                    <w:autoSpaceDN w:val="0"/>
                    <w:snapToGrid w:val="0"/>
                    <w:jc w:val="center"/>
                    <w:rPr>
                      <w:color w:val="auto"/>
                      <w14:ligatures w14:val="standardContextual"/>
                    </w:rPr>
                  </w:pPr>
                  <w:r>
                    <w:rPr>
                      <w:rFonts w:hint="eastAsia"/>
                      <w:color w:val="auto"/>
                      <w14:ligatures w14:val="standardContextual"/>
                    </w:rPr>
                    <w:t>3.拟建项目为N7723固体废物治理，属于服务产业；项目符合《广西生态保护正面清单》（2022）和《广西生态保护禁止事项清单（2022）》中的要求。</w:t>
                  </w:r>
                </w:p>
                <w:p w14:paraId="37211606">
                  <w:pPr>
                    <w:widowControl w:val="0"/>
                    <w:overflowPunct w:val="0"/>
                    <w:autoSpaceDE w:val="0"/>
                    <w:autoSpaceDN w:val="0"/>
                    <w:snapToGrid w:val="0"/>
                    <w:jc w:val="center"/>
                    <w:rPr>
                      <w:color w:val="auto"/>
                      <w14:ligatures w14:val="standardContextual"/>
                    </w:rPr>
                  </w:pPr>
                  <w:r>
                    <w:rPr>
                      <w:rFonts w:hint="eastAsia"/>
                      <w:color w:val="auto"/>
                      <w14:ligatures w14:val="standardContextual"/>
                    </w:rPr>
                    <w:t>4.本项目符合国家产业政策，满足行业准入条件，不涉及限制、禁止或淘汰的项目、落后生产工艺或设备、落后生产能力项目；项目建设符合园区规划要求中的“加快规划建设配套服务系统”要求，符合园区规划要求。</w:t>
                  </w:r>
                </w:p>
                <w:p w14:paraId="26339C37">
                  <w:pPr>
                    <w:widowControl w:val="0"/>
                    <w:overflowPunct w:val="0"/>
                    <w:autoSpaceDE w:val="0"/>
                    <w:autoSpaceDN w:val="0"/>
                    <w:snapToGrid w:val="0"/>
                    <w:jc w:val="center"/>
                    <w:rPr>
                      <w:color w:val="auto"/>
                      <w14:ligatures w14:val="standardContextual"/>
                    </w:rPr>
                  </w:pPr>
                  <w:r>
                    <w:rPr>
                      <w:rFonts w:hint="eastAsia"/>
                      <w:color w:val="auto"/>
                      <w14:ligatures w14:val="standardContextual"/>
                    </w:rPr>
                    <w:t>5、建筑垃圾处理行业尚未制定专门的清洁生产行业标准，项目营运期落实《建筑垃圾处理技术标准（CJJ/T134-2019）》中要求。</w:t>
                  </w:r>
                </w:p>
                <w:p w14:paraId="7F30263C">
                  <w:pPr>
                    <w:widowControl w:val="0"/>
                    <w:overflowPunct w:val="0"/>
                    <w:autoSpaceDE w:val="0"/>
                    <w:autoSpaceDN w:val="0"/>
                    <w:snapToGrid w:val="0"/>
                    <w:jc w:val="center"/>
                    <w:rPr>
                      <w:color w:val="auto"/>
                      <w14:ligatures w14:val="standardContextual"/>
                    </w:rPr>
                  </w:pPr>
                  <w:r>
                    <w:rPr>
                      <w:rFonts w:hint="eastAsia"/>
                      <w:color w:val="auto"/>
                      <w14:ligatures w14:val="standardContextual"/>
                    </w:rPr>
                    <w:t>6.本项目不涉及危险化学品仓储。</w:t>
                  </w:r>
                </w:p>
                <w:p w14:paraId="1A1FD9F1">
                  <w:pPr>
                    <w:widowControl w:val="0"/>
                    <w:overflowPunct w:val="0"/>
                    <w:autoSpaceDE w:val="0"/>
                    <w:autoSpaceDN w:val="0"/>
                    <w:snapToGrid w:val="0"/>
                    <w:jc w:val="center"/>
                    <w:rPr>
                      <w:color w:val="auto"/>
                      <w14:ligatures w14:val="standardContextual"/>
                    </w:rPr>
                  </w:pPr>
                  <w:r>
                    <w:rPr>
                      <w:rFonts w:hint="eastAsia"/>
                      <w:color w:val="auto"/>
                      <w14:ligatures w14:val="standardContextual"/>
                    </w:rPr>
                    <w:t>7.项目建成后会按要求执行排污许可证制度。</w:t>
                  </w:r>
                </w:p>
                <w:p w14:paraId="006FD83B">
                  <w:pPr>
                    <w:widowControl w:val="0"/>
                    <w:overflowPunct w:val="0"/>
                    <w:autoSpaceDE w:val="0"/>
                    <w:autoSpaceDN w:val="0"/>
                    <w:snapToGrid w:val="0"/>
                    <w:jc w:val="center"/>
                    <w:rPr>
                      <w:color w:val="auto"/>
                      <w14:ligatures w14:val="standardContextual"/>
                    </w:rPr>
                  </w:pPr>
                  <w:r>
                    <w:rPr>
                      <w:rFonts w:hint="eastAsia"/>
                      <w:color w:val="auto"/>
                      <w14:ligatures w14:val="standardContextual"/>
                    </w:rPr>
                    <w:t>8.项目不涉及围填海。</w:t>
                  </w:r>
                </w:p>
              </w:tc>
              <w:tc>
                <w:tcPr>
                  <w:tcW w:w="393" w:type="pct"/>
                  <w:vAlign w:val="center"/>
                </w:tcPr>
                <w:p w14:paraId="5DC6EF34">
                  <w:pPr>
                    <w:widowControl w:val="0"/>
                    <w:overflowPunct w:val="0"/>
                    <w:autoSpaceDE w:val="0"/>
                    <w:autoSpaceDN w:val="0"/>
                    <w:snapToGrid w:val="0"/>
                    <w:jc w:val="center"/>
                    <w:rPr>
                      <w:color w:val="auto"/>
                      <w14:ligatures w14:val="standardContextual"/>
                    </w:rPr>
                  </w:pPr>
                  <w:r>
                    <w:rPr>
                      <w:rFonts w:hint="eastAsia"/>
                      <w:color w:val="auto"/>
                      <w14:ligatures w14:val="standardContextual"/>
                    </w:rPr>
                    <w:t>符合</w:t>
                  </w:r>
                </w:p>
              </w:tc>
            </w:tr>
            <w:tr w14:paraId="689825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9" w:type="pct"/>
                  <w:vAlign w:val="center"/>
                </w:tcPr>
                <w:p w14:paraId="0143833F">
                  <w:pPr>
                    <w:widowControl w:val="0"/>
                    <w:overflowPunct w:val="0"/>
                    <w:autoSpaceDE w:val="0"/>
                    <w:autoSpaceDN w:val="0"/>
                    <w:snapToGrid w:val="0"/>
                    <w:jc w:val="center"/>
                    <w:rPr>
                      <w:color w:val="auto"/>
                      <w14:ligatures w14:val="standardContextual"/>
                    </w:rPr>
                  </w:pPr>
                  <w:r>
                    <w:rPr>
                      <w:rFonts w:hint="eastAsia"/>
                      <w:color w:val="auto"/>
                      <w:lang w:val="en-US" w:eastAsia="zh-CN"/>
                      <w14:ligatures w14:val="standardContextual"/>
                    </w:rPr>
                    <w:t>污</w:t>
                  </w:r>
                  <w:bookmarkStart w:id="111" w:name="_GoBack"/>
                  <w:r>
                    <w:rPr>
                      <w:rFonts w:hint="eastAsia"/>
                      <w:color w:val="auto"/>
                      <w14:ligatures w14:val="standardContextual"/>
                    </w:rPr>
                    <w:t>染物排放管</w:t>
                  </w:r>
                  <w:bookmarkEnd w:id="111"/>
                  <w:r>
                    <w:rPr>
                      <w:rFonts w:hint="eastAsia"/>
                      <w:color w:val="auto"/>
                      <w14:ligatures w14:val="standardContextual"/>
                    </w:rPr>
                    <w:t>控</w:t>
                  </w:r>
                </w:p>
              </w:tc>
              <w:tc>
                <w:tcPr>
                  <w:tcW w:w="2667" w:type="pct"/>
                  <w:vAlign w:val="center"/>
                </w:tcPr>
                <w:p w14:paraId="362CA95E">
                  <w:pPr>
                    <w:widowControl w:val="0"/>
                    <w:overflowPunct w:val="0"/>
                    <w:autoSpaceDE w:val="0"/>
                    <w:autoSpaceDN w:val="0"/>
                    <w:snapToGrid w:val="0"/>
                    <w:jc w:val="center"/>
                    <w:rPr>
                      <w:color w:val="auto"/>
                      <w14:ligatures w14:val="standardContextual"/>
                    </w:rPr>
                  </w:pPr>
                  <w:r>
                    <w:rPr>
                      <w:rFonts w:hint="eastAsia"/>
                      <w:color w:val="auto"/>
                      <w14:ligatures w14:val="standardContextual"/>
                    </w:rPr>
                    <w:t>1.大气污染物总量控制：近期：NOx304.41t/a，VOCs5.45t/a；远期NOx490.34t/a，VOCs303.31t/a</w:t>
                  </w:r>
                </w:p>
                <w:p w14:paraId="6A6A39B6">
                  <w:pPr>
                    <w:widowControl w:val="0"/>
                    <w:overflowPunct w:val="0"/>
                    <w:autoSpaceDE w:val="0"/>
                    <w:autoSpaceDN w:val="0"/>
                    <w:snapToGrid w:val="0"/>
                    <w:jc w:val="center"/>
                    <w:rPr>
                      <w:color w:val="auto"/>
                      <w14:ligatures w14:val="standardContextual"/>
                    </w:rPr>
                  </w:pPr>
                  <w:r>
                    <w:rPr>
                      <w:rFonts w:hint="eastAsia"/>
                      <w:color w:val="auto"/>
                      <w14:ligatures w14:val="standardContextual"/>
                    </w:rPr>
                    <w:t>废水污染物总量控制：近期：COD912.5t/a，NH3-N91.25t/a；远期COD4562.50t/a，NH3-N456.25t/a。</w:t>
                  </w:r>
                </w:p>
                <w:p w14:paraId="0834EEA9">
                  <w:pPr>
                    <w:widowControl w:val="0"/>
                    <w:overflowPunct w:val="0"/>
                    <w:autoSpaceDE w:val="0"/>
                    <w:autoSpaceDN w:val="0"/>
                    <w:snapToGrid w:val="0"/>
                    <w:jc w:val="center"/>
                    <w:rPr>
                      <w:color w:val="auto"/>
                      <w14:ligatures w14:val="standardContextual"/>
                    </w:rPr>
                  </w:pPr>
                  <w:r>
                    <w:rPr>
                      <w:rFonts w:hint="eastAsia"/>
                      <w:color w:val="auto"/>
                      <w14:ligatures w14:val="standardContextual"/>
                    </w:rPr>
                    <w:t>2.建设项目污染物排放应符合园区的总量控制要求，确保污染物达标排放，不造成区域环境质量降级。</w:t>
                  </w:r>
                </w:p>
                <w:p w14:paraId="71B48050">
                  <w:pPr>
                    <w:widowControl w:val="0"/>
                    <w:overflowPunct w:val="0"/>
                    <w:autoSpaceDE w:val="0"/>
                    <w:autoSpaceDN w:val="0"/>
                    <w:snapToGrid w:val="0"/>
                    <w:jc w:val="center"/>
                    <w:rPr>
                      <w:color w:val="auto"/>
                      <w14:ligatures w14:val="standardContextual"/>
                    </w:rPr>
                  </w:pPr>
                  <w:r>
                    <w:rPr>
                      <w:rFonts w:hint="eastAsia"/>
                      <w:color w:val="auto"/>
                      <w14:ligatures w14:val="standardContextual"/>
                    </w:rPr>
                    <w:t>3.新建“两高”项目应按照《关于加强重点行业建设项目区域削减措施监督管理的通知》要求，依据区域环境质量改善目标，制定配套区域污染物削减方案，采取有效的污染物区域削减措施，腾出足够的环境容量。</w:t>
                  </w:r>
                </w:p>
                <w:p w14:paraId="32C341EF">
                  <w:pPr>
                    <w:widowControl w:val="0"/>
                    <w:overflowPunct w:val="0"/>
                    <w:autoSpaceDE w:val="0"/>
                    <w:autoSpaceDN w:val="0"/>
                    <w:snapToGrid w:val="0"/>
                    <w:jc w:val="center"/>
                    <w:rPr>
                      <w:color w:val="auto"/>
                      <w14:ligatures w14:val="standardContextual"/>
                    </w:rPr>
                  </w:pPr>
                  <w:r>
                    <w:rPr>
                      <w:rFonts w:hint="eastAsia"/>
                      <w:color w:val="auto"/>
                      <w14:ligatures w14:val="standardContextual"/>
                    </w:rPr>
                    <w:t>4.新建、扩建、改建涉及重点重金属排放建设项目依照相关规定实行总量控制。加强园区挥发性有机物排放企业精细化管控，无组织废气排放控制以及高效收集和治污设施建设，大力提升挥发性有机物排放收集率、去除率和治理设施运行率，严格控制挥发性有机污染物排放。采用全密闭、连续化、自动化等生产技术以及高效工艺与设备等，减少工艺过程无组织排放。</w:t>
                  </w:r>
                </w:p>
                <w:p w14:paraId="07C54D49">
                  <w:pPr>
                    <w:widowControl w:val="0"/>
                    <w:overflowPunct w:val="0"/>
                    <w:autoSpaceDE w:val="0"/>
                    <w:autoSpaceDN w:val="0"/>
                    <w:snapToGrid w:val="0"/>
                    <w:jc w:val="center"/>
                    <w:rPr>
                      <w:color w:val="auto"/>
                      <w14:ligatures w14:val="standardContextual"/>
                    </w:rPr>
                  </w:pPr>
                  <w:r>
                    <w:rPr>
                      <w:rFonts w:hint="eastAsia"/>
                      <w:color w:val="auto"/>
                      <w14:ligatures w14:val="standardContextual"/>
                    </w:rPr>
                    <w:t>5.推进园区污水处理厂升级改造，实行“清污分流、雨污分流”，实现废水分类收集、分质处理，入园企业应在达到纳管标准后接入污水处理厂处理。</w:t>
                  </w:r>
                </w:p>
                <w:p w14:paraId="3732ACBB">
                  <w:pPr>
                    <w:widowControl w:val="0"/>
                    <w:overflowPunct w:val="0"/>
                    <w:autoSpaceDE w:val="0"/>
                    <w:autoSpaceDN w:val="0"/>
                    <w:snapToGrid w:val="0"/>
                    <w:jc w:val="center"/>
                    <w:rPr>
                      <w:color w:val="auto"/>
                      <w14:ligatures w14:val="standardContextual"/>
                    </w:rPr>
                  </w:pPr>
                  <w:r>
                    <w:rPr>
                      <w:rFonts w:hint="eastAsia"/>
                      <w:color w:val="auto"/>
                      <w14:ligatures w14:val="standardContextual"/>
                    </w:rPr>
                    <w:t>6.入园建设项目主要污染物排放应控制在区域环境承载能力范围内，并确保完成下达的主要污染物排放总量削减的约束性任务，保障环境质量达标。</w:t>
                  </w:r>
                </w:p>
                <w:p w14:paraId="2E195927">
                  <w:pPr>
                    <w:widowControl w:val="0"/>
                    <w:overflowPunct w:val="0"/>
                    <w:autoSpaceDE w:val="0"/>
                    <w:autoSpaceDN w:val="0"/>
                    <w:snapToGrid w:val="0"/>
                    <w:jc w:val="center"/>
                    <w:rPr>
                      <w:color w:val="auto"/>
                      <w14:ligatures w14:val="standardContextual"/>
                    </w:rPr>
                  </w:pPr>
                  <w:r>
                    <w:rPr>
                      <w:rFonts w:hint="eastAsia"/>
                      <w:color w:val="auto"/>
                      <w14:ligatures w14:val="standardContextual"/>
                    </w:rPr>
                    <w:t>7.园区污水处理厂执行《城镇污水处理厂污染物排放标准》（GB18918-2002）一级标准A 标准。园区污水处理厂要保障出水水质稳定达标排放。</w:t>
                  </w:r>
                </w:p>
                <w:p w14:paraId="160EC03C">
                  <w:pPr>
                    <w:widowControl w:val="0"/>
                    <w:overflowPunct w:val="0"/>
                    <w:autoSpaceDE w:val="0"/>
                    <w:autoSpaceDN w:val="0"/>
                    <w:snapToGrid w:val="0"/>
                    <w:jc w:val="center"/>
                    <w:rPr>
                      <w:color w:val="auto"/>
                      <w14:ligatures w14:val="standardContextual"/>
                    </w:rPr>
                  </w:pPr>
                  <w:r>
                    <w:rPr>
                      <w:rFonts w:hint="eastAsia"/>
                      <w:color w:val="auto"/>
                      <w14:ligatures w14:val="standardContextual"/>
                    </w:rPr>
                    <w:t>8.提升危险废物处置和利用能力，推动工业固体废物依法纳入排污许可管理，禁止进口洋垃圾，严厉打击涉固体废物环境违法行为。。</w:t>
                  </w:r>
                </w:p>
              </w:tc>
              <w:tc>
                <w:tcPr>
                  <w:tcW w:w="1351" w:type="pct"/>
                  <w:vAlign w:val="center"/>
                </w:tcPr>
                <w:p w14:paraId="6A65E8C2">
                  <w:pPr>
                    <w:widowControl w:val="0"/>
                    <w:overflowPunct w:val="0"/>
                    <w:autoSpaceDE w:val="0"/>
                    <w:autoSpaceDN w:val="0"/>
                    <w:snapToGrid w:val="0"/>
                    <w:jc w:val="center"/>
                    <w:rPr>
                      <w:color w:val="auto"/>
                      <w14:ligatures w14:val="standardContextual"/>
                    </w:rPr>
                  </w:pPr>
                  <w:r>
                    <w:rPr>
                      <w:rFonts w:hint="eastAsia"/>
                      <w:color w:val="auto"/>
                      <w14:ligatures w14:val="standardContextual"/>
                    </w:rPr>
                    <w:t>1.本项目大气污染物主要为颗粒物，不涉及NOx、VOCs总量控制指标。生产废水不外排，生活污水经化粪池处理后排入园区市政污水管网，最终进入</w:t>
                  </w:r>
                  <w:bookmarkStart w:id="7" w:name="OLE_LINK3"/>
                  <w:r>
                    <w:rPr>
                      <w:rFonts w:hint="eastAsia"/>
                      <w:color w:val="auto"/>
                      <w14:ligatures w14:val="standardContextual"/>
                    </w:rPr>
                    <w:t>大揽平污水处理厂</w:t>
                  </w:r>
                  <w:bookmarkEnd w:id="7"/>
                  <w:r>
                    <w:rPr>
                      <w:rFonts w:hint="eastAsia"/>
                      <w:color w:val="auto"/>
                      <w14:ligatures w14:val="standardContextual"/>
                    </w:rPr>
                    <w:t>处理，不涉及COD、氨氮总量控制指标。</w:t>
                  </w:r>
                </w:p>
                <w:p w14:paraId="79855688">
                  <w:pPr>
                    <w:widowControl w:val="0"/>
                    <w:overflowPunct w:val="0"/>
                    <w:autoSpaceDE w:val="0"/>
                    <w:autoSpaceDN w:val="0"/>
                    <w:snapToGrid w:val="0"/>
                    <w:jc w:val="center"/>
                    <w:rPr>
                      <w:color w:val="auto"/>
                      <w14:ligatures w14:val="standardContextual"/>
                    </w:rPr>
                  </w:pPr>
                  <w:r>
                    <w:rPr>
                      <w:rFonts w:hint="eastAsia"/>
                      <w:color w:val="auto"/>
                      <w14:ligatures w14:val="standardContextual"/>
                    </w:rPr>
                    <w:t>2.项目各项污染物达标排放，不造成区域环境质量降级。</w:t>
                  </w:r>
                </w:p>
                <w:p w14:paraId="43A8CC6C">
                  <w:pPr>
                    <w:widowControl w:val="0"/>
                    <w:overflowPunct w:val="0"/>
                    <w:autoSpaceDE w:val="0"/>
                    <w:autoSpaceDN w:val="0"/>
                    <w:snapToGrid w:val="0"/>
                    <w:jc w:val="center"/>
                    <w:rPr>
                      <w:color w:val="auto"/>
                      <w14:ligatures w14:val="standardContextual"/>
                    </w:rPr>
                  </w:pPr>
                  <w:r>
                    <w:rPr>
                      <w:rFonts w:hint="eastAsia"/>
                      <w:color w:val="auto"/>
                      <w14:ligatures w14:val="standardContextual"/>
                    </w:rPr>
                    <w:t>3.本项目不属于新建“两高”项目。</w:t>
                  </w:r>
                </w:p>
                <w:p w14:paraId="289489BB">
                  <w:pPr>
                    <w:widowControl w:val="0"/>
                    <w:overflowPunct w:val="0"/>
                    <w:autoSpaceDE w:val="0"/>
                    <w:autoSpaceDN w:val="0"/>
                    <w:snapToGrid w:val="0"/>
                    <w:jc w:val="center"/>
                    <w:rPr>
                      <w:color w:val="auto"/>
                      <w14:ligatures w14:val="standardContextual"/>
                    </w:rPr>
                  </w:pPr>
                  <w:r>
                    <w:rPr>
                      <w:rFonts w:hint="eastAsia"/>
                      <w:color w:val="auto"/>
                      <w14:ligatures w14:val="standardContextual"/>
                    </w:rPr>
                    <w:t>4.本项目不涉及重点重金属排放。不涉及挥发性有机物排放。</w:t>
                  </w:r>
                </w:p>
                <w:p w14:paraId="1122BB62">
                  <w:pPr>
                    <w:widowControl w:val="0"/>
                    <w:overflowPunct w:val="0"/>
                    <w:autoSpaceDE w:val="0"/>
                    <w:autoSpaceDN w:val="0"/>
                    <w:snapToGrid w:val="0"/>
                    <w:jc w:val="center"/>
                    <w:rPr>
                      <w:color w:val="auto"/>
                      <w14:ligatures w14:val="standardContextual"/>
                    </w:rPr>
                  </w:pPr>
                  <w:r>
                    <w:rPr>
                      <w:rFonts w:hint="eastAsia"/>
                      <w:color w:val="auto"/>
                      <w14:ligatures w14:val="standardContextual"/>
                    </w:rPr>
                    <w:t>5.本项目生产废水不外排，生活污水经化粪池处理后排入园区市政污水管网，最终进入揽平污水处理厂处理。</w:t>
                  </w:r>
                </w:p>
                <w:p w14:paraId="68EB20DC">
                  <w:pPr>
                    <w:widowControl w:val="0"/>
                    <w:overflowPunct w:val="0"/>
                    <w:autoSpaceDE w:val="0"/>
                    <w:autoSpaceDN w:val="0"/>
                    <w:snapToGrid w:val="0"/>
                    <w:jc w:val="center"/>
                    <w:rPr>
                      <w:color w:val="auto"/>
                      <w14:ligatures w14:val="standardContextual"/>
                    </w:rPr>
                  </w:pPr>
                  <w:r>
                    <w:rPr>
                      <w:rFonts w:hint="eastAsia"/>
                      <w:color w:val="auto"/>
                      <w14:ligatures w14:val="standardContextual"/>
                    </w:rPr>
                    <w:t>6.本项目污染物达标排放，不涉及主要污染物排放总量削减任务。</w:t>
                  </w:r>
                </w:p>
                <w:p w14:paraId="1BC9ABF9">
                  <w:pPr>
                    <w:widowControl w:val="0"/>
                    <w:overflowPunct w:val="0"/>
                    <w:autoSpaceDE w:val="0"/>
                    <w:autoSpaceDN w:val="0"/>
                    <w:snapToGrid w:val="0"/>
                    <w:jc w:val="center"/>
                    <w:rPr>
                      <w:color w:val="auto"/>
                      <w14:ligatures w14:val="standardContextual"/>
                    </w:rPr>
                  </w:pPr>
                  <w:r>
                    <w:rPr>
                      <w:rFonts w:hint="eastAsia"/>
                      <w:color w:val="auto"/>
                      <w14:ligatures w14:val="standardContextual"/>
                    </w:rPr>
                    <w:t>7.不涉及。</w:t>
                  </w:r>
                </w:p>
                <w:p w14:paraId="4EF1880D">
                  <w:pPr>
                    <w:widowControl w:val="0"/>
                    <w:overflowPunct w:val="0"/>
                    <w:autoSpaceDE w:val="0"/>
                    <w:autoSpaceDN w:val="0"/>
                    <w:snapToGrid w:val="0"/>
                    <w:jc w:val="center"/>
                    <w:rPr>
                      <w:color w:val="auto"/>
                      <w14:ligatures w14:val="standardContextual"/>
                    </w:rPr>
                  </w:pPr>
                  <w:r>
                    <w:rPr>
                      <w:rFonts w:hint="eastAsia"/>
                      <w:color w:val="auto"/>
                      <w14:ligatures w14:val="standardContextual"/>
                    </w:rPr>
                    <w:t>8.本项目为建筑垃圾处置项目，不涉及危险废物，不涉及工业固体废物，不涉及进口洋垃圾。</w:t>
                  </w:r>
                </w:p>
              </w:tc>
              <w:tc>
                <w:tcPr>
                  <w:tcW w:w="393" w:type="pct"/>
                  <w:vAlign w:val="center"/>
                </w:tcPr>
                <w:p w14:paraId="22FD404A">
                  <w:pPr>
                    <w:widowControl w:val="0"/>
                    <w:overflowPunct w:val="0"/>
                    <w:autoSpaceDE w:val="0"/>
                    <w:autoSpaceDN w:val="0"/>
                    <w:snapToGrid w:val="0"/>
                    <w:jc w:val="center"/>
                    <w:rPr>
                      <w:color w:val="auto"/>
                      <w14:ligatures w14:val="standardContextual"/>
                    </w:rPr>
                  </w:pPr>
                  <w:r>
                    <w:rPr>
                      <w:rFonts w:hint="eastAsia"/>
                      <w:color w:val="auto"/>
                      <w14:ligatures w14:val="standardContextual"/>
                    </w:rPr>
                    <w:t>符合</w:t>
                  </w:r>
                </w:p>
              </w:tc>
            </w:tr>
            <w:tr w14:paraId="7A1160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9" w:type="pct"/>
                  <w:vAlign w:val="center"/>
                </w:tcPr>
                <w:p w14:paraId="2FEB6DE4">
                  <w:pPr>
                    <w:widowControl w:val="0"/>
                    <w:overflowPunct w:val="0"/>
                    <w:autoSpaceDE w:val="0"/>
                    <w:autoSpaceDN w:val="0"/>
                    <w:snapToGrid w:val="0"/>
                    <w:jc w:val="center"/>
                    <w:rPr>
                      <w:color w:val="auto"/>
                      <w14:ligatures w14:val="standardContextual"/>
                    </w:rPr>
                  </w:pPr>
                  <w:r>
                    <w:rPr>
                      <w:rFonts w:hint="eastAsia"/>
                      <w:color w:val="auto"/>
                      <w14:ligatures w14:val="standardContextual"/>
                    </w:rPr>
                    <w:t>环境风险管控</w:t>
                  </w:r>
                </w:p>
              </w:tc>
              <w:tc>
                <w:tcPr>
                  <w:tcW w:w="2667" w:type="pct"/>
                  <w:vAlign w:val="center"/>
                </w:tcPr>
                <w:p w14:paraId="4C4CBCF5">
                  <w:pPr>
                    <w:widowControl w:val="0"/>
                    <w:overflowPunct w:val="0"/>
                    <w:autoSpaceDE w:val="0"/>
                    <w:autoSpaceDN w:val="0"/>
                    <w:snapToGrid w:val="0"/>
                    <w:jc w:val="center"/>
                    <w:rPr>
                      <w:color w:val="auto"/>
                      <w14:ligatures w14:val="standardContextual"/>
                    </w:rPr>
                  </w:pPr>
                  <w:r>
                    <w:rPr>
                      <w:rFonts w:hint="eastAsia"/>
                      <w:color w:val="auto"/>
                      <w14:ligatures w14:val="standardContextual"/>
                    </w:rPr>
                    <w:t>1.建立污染源头、过程处理和最终排放的“三级防控”机制，开展环境风险评估，制定突发环境事件应急预案并备案，配备应急能力和物资，建设环境应急队伍，并定期演练。企业、园区与地方人民政府环境应急预案应当有机衔接。</w:t>
                  </w:r>
                </w:p>
                <w:p w14:paraId="36F9D9B2">
                  <w:pPr>
                    <w:widowControl w:val="0"/>
                    <w:overflowPunct w:val="0"/>
                    <w:autoSpaceDE w:val="0"/>
                    <w:autoSpaceDN w:val="0"/>
                    <w:snapToGrid w:val="0"/>
                    <w:jc w:val="center"/>
                    <w:rPr>
                      <w:color w:val="auto"/>
                      <w14:ligatures w14:val="standardContextual"/>
                    </w:rPr>
                  </w:pPr>
                  <w:r>
                    <w:rPr>
                      <w:rFonts w:hint="eastAsia"/>
                      <w:color w:val="auto"/>
                      <w14:ligatures w14:val="standardContextual"/>
                    </w:rPr>
                    <w:t>2.涉及重大危险源的，需要建设危险化学品安全生产风险监测预警系统，以安全生产许可作为其前置条件。建立健全有毒有害化学物质环境管理制度，开展新污染物筛查、评估，推行重点行业重点化学物质生产使用信息调查和环境危害评估，识别有毒有害化学物质，建立新污染物清单。</w:t>
                  </w:r>
                </w:p>
                <w:p w14:paraId="2A216193">
                  <w:pPr>
                    <w:widowControl w:val="0"/>
                    <w:overflowPunct w:val="0"/>
                    <w:autoSpaceDE w:val="0"/>
                    <w:autoSpaceDN w:val="0"/>
                    <w:snapToGrid w:val="0"/>
                    <w:jc w:val="center"/>
                    <w:rPr>
                      <w:color w:val="auto"/>
                      <w14:ligatures w14:val="standardContextual"/>
                    </w:rPr>
                  </w:pPr>
                  <w:r>
                    <w:rPr>
                      <w:rFonts w:hint="eastAsia"/>
                      <w:color w:val="auto"/>
                      <w14:ligatures w14:val="standardContextual"/>
                    </w:rPr>
                    <w:t>3.园区应设立事故应急池，防止事故状态下园区废水污染海洋环境，威胁海洋安全。</w:t>
                  </w:r>
                </w:p>
                <w:p w14:paraId="5DA90B0F">
                  <w:pPr>
                    <w:widowControl w:val="0"/>
                    <w:overflowPunct w:val="0"/>
                    <w:autoSpaceDE w:val="0"/>
                    <w:autoSpaceDN w:val="0"/>
                    <w:snapToGrid w:val="0"/>
                    <w:jc w:val="center"/>
                    <w:rPr>
                      <w:color w:val="auto"/>
                      <w14:ligatures w14:val="standardContextual"/>
                    </w:rPr>
                  </w:pPr>
                  <w:r>
                    <w:rPr>
                      <w:rFonts w:hint="eastAsia"/>
                      <w:color w:val="auto"/>
                      <w14:ligatures w14:val="standardContextual"/>
                    </w:rPr>
                    <w:t>4.园区应积极参与区域污染联防联控，逐步建立一体化的综合防治体系。</w:t>
                  </w:r>
                </w:p>
                <w:p w14:paraId="391A234E">
                  <w:pPr>
                    <w:widowControl w:val="0"/>
                    <w:overflowPunct w:val="0"/>
                    <w:autoSpaceDE w:val="0"/>
                    <w:autoSpaceDN w:val="0"/>
                    <w:snapToGrid w:val="0"/>
                    <w:jc w:val="center"/>
                    <w:rPr>
                      <w:color w:val="auto"/>
                      <w14:ligatures w14:val="standardContextual"/>
                    </w:rPr>
                  </w:pPr>
                  <w:r>
                    <w:rPr>
                      <w:rFonts w:hint="eastAsia"/>
                      <w:color w:val="auto"/>
                      <w14:ligatures w14:val="standardContextual"/>
                    </w:rPr>
                    <w:t>5.土壤污染重点监管单位应当严格控制有毒有害物质排放，并按年度向生态环境主管部门报告排放情况；建立土壤污染隐患排查制度，保证持续有效防止有毒有害物质渗漏、流失、扬散；制定、实施自行监测方案，并将监测数据报生态环境主管部门。</w:t>
                  </w:r>
                </w:p>
                <w:p w14:paraId="3AC92D8B">
                  <w:pPr>
                    <w:widowControl w:val="0"/>
                    <w:overflowPunct w:val="0"/>
                    <w:autoSpaceDE w:val="0"/>
                    <w:autoSpaceDN w:val="0"/>
                    <w:snapToGrid w:val="0"/>
                    <w:jc w:val="center"/>
                    <w:rPr>
                      <w:color w:val="auto"/>
                      <w14:ligatures w14:val="standardContextual"/>
                    </w:rPr>
                  </w:pPr>
                  <w:r>
                    <w:rPr>
                      <w:rFonts w:hint="eastAsia"/>
                      <w:color w:val="auto"/>
                      <w14:ligatures w14:val="standardContextual"/>
                    </w:rPr>
                    <w:t>6.涉重企业要采用新技术、新工艺，实现全面达标排放。坚决淘汰不符合国家产业政策的落后生产工艺装备。</w:t>
                  </w:r>
                </w:p>
                <w:p w14:paraId="75E39533">
                  <w:pPr>
                    <w:widowControl w:val="0"/>
                    <w:overflowPunct w:val="0"/>
                    <w:autoSpaceDE w:val="0"/>
                    <w:autoSpaceDN w:val="0"/>
                    <w:snapToGrid w:val="0"/>
                    <w:jc w:val="center"/>
                    <w:rPr>
                      <w:color w:val="auto"/>
                      <w14:ligatures w14:val="standardContextual"/>
                    </w:rPr>
                  </w:pPr>
                  <w:r>
                    <w:rPr>
                      <w:rFonts w:hint="eastAsia"/>
                      <w:color w:val="auto"/>
                      <w14:ligatures w14:val="standardContextual"/>
                    </w:rPr>
                    <w:t>7.开展环境风险评估，制定突发环境事件应急预案并备案，配备应急能力和物资，建设环境应急队伍，并定期演练。企业、园区与地方人民政府环境应急预案应当有机衔接。</w:t>
                  </w:r>
                </w:p>
              </w:tc>
              <w:tc>
                <w:tcPr>
                  <w:tcW w:w="1351" w:type="pct"/>
                  <w:vAlign w:val="center"/>
                </w:tcPr>
                <w:p w14:paraId="312C55B6">
                  <w:pPr>
                    <w:widowControl w:val="0"/>
                    <w:overflowPunct w:val="0"/>
                    <w:autoSpaceDE w:val="0"/>
                    <w:autoSpaceDN w:val="0"/>
                    <w:snapToGrid w:val="0"/>
                    <w:jc w:val="center"/>
                    <w:rPr>
                      <w:color w:val="auto"/>
                      <w14:ligatures w14:val="standardContextual"/>
                    </w:rPr>
                  </w:pPr>
                  <w:r>
                    <w:rPr>
                      <w:rFonts w:hint="eastAsia"/>
                      <w:color w:val="auto"/>
                      <w14:ligatures w14:val="standardContextual"/>
                    </w:rPr>
                    <w:t>1.项目建成运营后按照要求开展环境风险评估，制定突发环境事件应急预案并备案，配备应急能力和物资，建设环境应急队伍，并定期演练。企业、园区与地方人民政府环境应急预案应当有机衔接。</w:t>
                  </w:r>
                </w:p>
                <w:p w14:paraId="072C339B">
                  <w:pPr>
                    <w:widowControl w:val="0"/>
                    <w:overflowPunct w:val="0"/>
                    <w:autoSpaceDE w:val="0"/>
                    <w:autoSpaceDN w:val="0"/>
                    <w:snapToGrid w:val="0"/>
                    <w:jc w:val="center"/>
                    <w:rPr>
                      <w:color w:val="auto"/>
                      <w14:ligatures w14:val="standardContextual"/>
                    </w:rPr>
                  </w:pPr>
                  <w:r>
                    <w:rPr>
                      <w:rFonts w:hint="eastAsia"/>
                      <w:color w:val="auto"/>
                      <w14:ligatures w14:val="standardContextual"/>
                    </w:rPr>
                    <w:t>2.本项目不涉及重大危险源。</w:t>
                  </w:r>
                </w:p>
                <w:p w14:paraId="642A8769">
                  <w:pPr>
                    <w:widowControl w:val="0"/>
                    <w:overflowPunct w:val="0"/>
                    <w:autoSpaceDE w:val="0"/>
                    <w:autoSpaceDN w:val="0"/>
                    <w:snapToGrid w:val="0"/>
                    <w:jc w:val="center"/>
                    <w:rPr>
                      <w:color w:val="auto"/>
                      <w14:ligatures w14:val="standardContextual"/>
                    </w:rPr>
                  </w:pPr>
                  <w:r>
                    <w:rPr>
                      <w:rFonts w:hint="eastAsia"/>
                      <w:color w:val="auto"/>
                      <w14:ligatures w14:val="standardContextual"/>
                    </w:rPr>
                    <w:t>3.不涉及。</w:t>
                  </w:r>
                </w:p>
                <w:p w14:paraId="2A24726A">
                  <w:pPr>
                    <w:widowControl w:val="0"/>
                    <w:overflowPunct w:val="0"/>
                    <w:autoSpaceDE w:val="0"/>
                    <w:autoSpaceDN w:val="0"/>
                    <w:snapToGrid w:val="0"/>
                    <w:jc w:val="center"/>
                    <w:rPr>
                      <w:color w:val="auto"/>
                      <w14:ligatures w14:val="standardContextual"/>
                    </w:rPr>
                  </w:pPr>
                  <w:r>
                    <w:rPr>
                      <w:rFonts w:hint="eastAsia"/>
                      <w:color w:val="auto"/>
                      <w14:ligatures w14:val="standardContextual"/>
                    </w:rPr>
                    <w:t>4.不涉及。</w:t>
                  </w:r>
                </w:p>
                <w:p w14:paraId="656F11B4">
                  <w:pPr>
                    <w:widowControl w:val="0"/>
                    <w:overflowPunct w:val="0"/>
                    <w:autoSpaceDE w:val="0"/>
                    <w:autoSpaceDN w:val="0"/>
                    <w:snapToGrid w:val="0"/>
                    <w:jc w:val="center"/>
                    <w:rPr>
                      <w:color w:val="auto"/>
                      <w14:ligatures w14:val="standardContextual"/>
                    </w:rPr>
                  </w:pPr>
                  <w:r>
                    <w:rPr>
                      <w:rFonts w:hint="eastAsia"/>
                      <w:color w:val="auto"/>
                      <w14:ligatures w14:val="standardContextual"/>
                    </w:rPr>
                    <w:t>5.本项目不涉及土壤有毒有害物质。</w:t>
                  </w:r>
                </w:p>
                <w:p w14:paraId="093BC44D">
                  <w:pPr>
                    <w:widowControl w:val="0"/>
                    <w:overflowPunct w:val="0"/>
                    <w:autoSpaceDE w:val="0"/>
                    <w:autoSpaceDN w:val="0"/>
                    <w:snapToGrid w:val="0"/>
                    <w:jc w:val="center"/>
                    <w:rPr>
                      <w:color w:val="auto"/>
                      <w14:ligatures w14:val="standardContextual"/>
                    </w:rPr>
                  </w:pPr>
                  <w:r>
                    <w:rPr>
                      <w:rFonts w:hint="eastAsia"/>
                      <w:color w:val="auto"/>
                      <w14:ligatures w14:val="standardContextual"/>
                    </w:rPr>
                    <w:t>6.本项目不涉及重金属。</w:t>
                  </w:r>
                </w:p>
                <w:p w14:paraId="36DFA968">
                  <w:pPr>
                    <w:widowControl w:val="0"/>
                    <w:overflowPunct w:val="0"/>
                    <w:autoSpaceDE w:val="0"/>
                    <w:autoSpaceDN w:val="0"/>
                    <w:snapToGrid w:val="0"/>
                    <w:jc w:val="center"/>
                    <w:rPr>
                      <w:color w:val="auto"/>
                      <w14:ligatures w14:val="standardContextual"/>
                    </w:rPr>
                  </w:pPr>
                  <w:r>
                    <w:rPr>
                      <w:rFonts w:hint="eastAsia"/>
                      <w:color w:val="auto"/>
                      <w14:ligatures w14:val="standardContextual"/>
                    </w:rPr>
                    <w:t>7.项目建成运营后按照要求开展环境风险评估，与园区环境应急预案实现有机衔接。</w:t>
                  </w:r>
                </w:p>
              </w:tc>
              <w:tc>
                <w:tcPr>
                  <w:tcW w:w="393" w:type="pct"/>
                  <w:vAlign w:val="center"/>
                </w:tcPr>
                <w:p w14:paraId="3D72D991">
                  <w:pPr>
                    <w:widowControl w:val="0"/>
                    <w:overflowPunct w:val="0"/>
                    <w:autoSpaceDE w:val="0"/>
                    <w:autoSpaceDN w:val="0"/>
                    <w:snapToGrid w:val="0"/>
                    <w:jc w:val="center"/>
                    <w:rPr>
                      <w:color w:val="auto"/>
                      <w14:ligatures w14:val="standardContextual"/>
                    </w:rPr>
                  </w:pPr>
                  <w:r>
                    <w:rPr>
                      <w:rFonts w:hint="eastAsia"/>
                      <w:color w:val="auto"/>
                      <w14:ligatures w14:val="standardContextual"/>
                    </w:rPr>
                    <w:t>符合</w:t>
                  </w:r>
                </w:p>
              </w:tc>
            </w:tr>
            <w:tr w14:paraId="189EBA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9" w:type="pct"/>
                  <w:vAlign w:val="center"/>
                </w:tcPr>
                <w:p w14:paraId="41A57C3F">
                  <w:pPr>
                    <w:widowControl w:val="0"/>
                    <w:overflowPunct w:val="0"/>
                    <w:autoSpaceDE w:val="0"/>
                    <w:autoSpaceDN w:val="0"/>
                    <w:snapToGrid w:val="0"/>
                    <w:jc w:val="center"/>
                    <w:rPr>
                      <w:color w:val="auto"/>
                      <w14:ligatures w14:val="standardContextual"/>
                    </w:rPr>
                  </w:pPr>
                  <w:r>
                    <w:rPr>
                      <w:rFonts w:hint="eastAsia"/>
                      <w:color w:val="auto"/>
                      <w14:ligatures w14:val="standardContextual"/>
                    </w:rPr>
                    <w:t>污染防治措施</w:t>
                  </w:r>
                </w:p>
              </w:tc>
              <w:tc>
                <w:tcPr>
                  <w:tcW w:w="2667" w:type="pct"/>
                  <w:vAlign w:val="center"/>
                </w:tcPr>
                <w:p w14:paraId="4BAD3A65">
                  <w:pPr>
                    <w:widowControl w:val="0"/>
                    <w:overflowPunct w:val="0"/>
                    <w:autoSpaceDE w:val="0"/>
                    <w:autoSpaceDN w:val="0"/>
                    <w:snapToGrid w:val="0"/>
                    <w:jc w:val="center"/>
                    <w:rPr>
                      <w:color w:val="auto"/>
                      <w14:ligatures w14:val="standardContextual"/>
                    </w:rPr>
                  </w:pPr>
                  <w:r>
                    <w:rPr>
                      <w:rFonts w:hint="eastAsia"/>
                      <w:color w:val="auto"/>
                      <w14:ligatures w14:val="standardContextual"/>
                    </w:rPr>
                    <w:t>1.大气环境保护对策与主要环境减缓措施：严格节能环保准入，优化产业空间布局；加快企业技术改造，提高科技创新能力；健全法律法规体系，严格依法监督管理；强化大气污染治理措施；严格执行大气污染物总量控制计划；行业挥发性有机物控制措施。</w:t>
                  </w:r>
                </w:p>
                <w:p w14:paraId="606D0EF2">
                  <w:pPr>
                    <w:widowControl w:val="0"/>
                    <w:overflowPunct w:val="0"/>
                    <w:autoSpaceDE w:val="0"/>
                    <w:autoSpaceDN w:val="0"/>
                    <w:snapToGrid w:val="0"/>
                    <w:jc w:val="center"/>
                    <w:rPr>
                      <w:color w:val="auto"/>
                      <w14:ligatures w14:val="standardContextual"/>
                    </w:rPr>
                  </w:pPr>
                  <w:r>
                    <w:rPr>
                      <w:rFonts w:hint="eastAsia"/>
                      <w:color w:val="auto"/>
                      <w14:ligatures w14:val="standardContextual"/>
                    </w:rPr>
                    <w:t>2.地表水环境保护对策与主要环境减缓措施：加工区采用雨污分流、清污分流的排水体制。根据《广西入河入海排污口监督管理工作方案（2022-2025 年）》：对工业及其他各类园区或开发区内企业的排污</w:t>
                  </w:r>
                </w:p>
                <w:p w14:paraId="12EF20BB">
                  <w:pPr>
                    <w:widowControl w:val="0"/>
                    <w:overflowPunct w:val="0"/>
                    <w:autoSpaceDE w:val="0"/>
                    <w:autoSpaceDN w:val="0"/>
                    <w:snapToGrid w:val="0"/>
                    <w:jc w:val="center"/>
                    <w:rPr>
                      <w:color w:val="auto"/>
                      <w14:ligatures w14:val="standardContextual"/>
                    </w:rPr>
                  </w:pPr>
                  <w:r>
                    <w:rPr>
                      <w:rFonts w:hint="eastAsia"/>
                      <w:color w:val="auto"/>
                      <w14:ligatures w14:val="standardContextual"/>
                    </w:rPr>
                    <w:t>口，应尽可能清理合并，污水由园区或开发区污水集中处理设施统一集中处理。园区废水统一排入大榄坪污水处理厂集中处理。</w:t>
                  </w:r>
                </w:p>
                <w:p w14:paraId="00FC582D">
                  <w:pPr>
                    <w:widowControl w:val="0"/>
                    <w:overflowPunct w:val="0"/>
                    <w:autoSpaceDE w:val="0"/>
                    <w:autoSpaceDN w:val="0"/>
                    <w:snapToGrid w:val="0"/>
                    <w:jc w:val="center"/>
                    <w:rPr>
                      <w:color w:val="auto"/>
                      <w14:ligatures w14:val="standardContextual"/>
                    </w:rPr>
                  </w:pPr>
                  <w:r>
                    <w:rPr>
                      <w:rFonts w:hint="eastAsia"/>
                      <w:color w:val="auto"/>
                      <w14:ligatures w14:val="standardContextual"/>
                    </w:rPr>
                    <w:t>3.地下水环境污染防治措施：规划区入驻的项目用水均不取用地下水。源头控制措施，分区防治措施，地下水污染监控，风险事故应急响应，入园企业严格执行地下水防渗要求。</w:t>
                  </w:r>
                </w:p>
                <w:p w14:paraId="7A58457C">
                  <w:pPr>
                    <w:widowControl w:val="0"/>
                    <w:overflowPunct w:val="0"/>
                    <w:autoSpaceDE w:val="0"/>
                    <w:autoSpaceDN w:val="0"/>
                    <w:snapToGrid w:val="0"/>
                    <w:jc w:val="center"/>
                    <w:rPr>
                      <w:color w:val="auto"/>
                      <w14:ligatures w14:val="standardContextual"/>
                    </w:rPr>
                  </w:pPr>
                  <w:r>
                    <w:rPr>
                      <w:rFonts w:hint="eastAsia"/>
                      <w:color w:val="auto"/>
                      <w14:ligatures w14:val="standardContextual"/>
                    </w:rPr>
                    <w:t>4.噪声环境保护对策与主要环境减缓措施：将工业用地、公共设施用地等较嘈杂的用地与居住用地等需要安静的用地分隔开来，入园企业也要注意将生产区与办公区分离开来；运营噪声较大、昼夜连续生产、以噪声影响为主的项目，应考虑布设在周边敏感点的远端，远离敏感人群，并划定适当的防护距离；在工业园内主次干道等道路两侧设计合理的绿化带，可以有效地降低工业及交通噪声的影响范围及程度；对于具体项目应从工程选址、总图布置、设备选型、操作工艺等方面尽量减少声源对环境产生的影响。</w:t>
                  </w:r>
                </w:p>
                <w:p w14:paraId="049C615F">
                  <w:pPr>
                    <w:widowControl w:val="0"/>
                    <w:overflowPunct w:val="0"/>
                    <w:autoSpaceDE w:val="0"/>
                    <w:autoSpaceDN w:val="0"/>
                    <w:snapToGrid w:val="0"/>
                    <w:jc w:val="center"/>
                    <w:rPr>
                      <w:color w:val="auto"/>
                      <w14:ligatures w14:val="standardContextual"/>
                    </w:rPr>
                  </w:pPr>
                  <w:r>
                    <w:rPr>
                      <w:rFonts w:hint="eastAsia"/>
                      <w:color w:val="auto"/>
                      <w14:ligatures w14:val="standardContextual"/>
                    </w:rPr>
                    <w:t>5.固废环境保护对策与主要环境减缓措施：固体废物根据不同的类别进行不同的处理处置。对于一般固体废物中可以综合利用的工业固体废物要进行综合利用；对不能综合利用的固体废物，送至规范的临时堆场或填埋场；危险废物应集中送至有资质的废物处置单位安全处置。建议建立园区内固体废物交换信息中心，鼓励和促进企业间进行废物交换。</w:t>
                  </w:r>
                </w:p>
              </w:tc>
              <w:tc>
                <w:tcPr>
                  <w:tcW w:w="1351" w:type="pct"/>
                  <w:vAlign w:val="center"/>
                </w:tcPr>
                <w:p w14:paraId="66F8CB5A">
                  <w:pPr>
                    <w:widowControl w:val="0"/>
                    <w:overflowPunct w:val="0"/>
                    <w:autoSpaceDE w:val="0"/>
                    <w:autoSpaceDN w:val="0"/>
                    <w:snapToGrid w:val="0"/>
                    <w:jc w:val="center"/>
                    <w:rPr>
                      <w:color w:val="auto"/>
                      <w14:ligatures w14:val="standardContextual"/>
                    </w:rPr>
                  </w:pPr>
                  <w:r>
                    <w:rPr>
                      <w:rFonts w:hint="eastAsia"/>
                      <w:color w:val="auto"/>
                      <w14:ligatures w14:val="standardContextual"/>
                    </w:rPr>
                    <w:t>1.本项目废气处理后达标排放，不涉及污染物总量控制要求，不涉及挥发性有机物。</w:t>
                  </w:r>
                </w:p>
                <w:p w14:paraId="06FBD229">
                  <w:pPr>
                    <w:widowControl w:val="0"/>
                    <w:overflowPunct w:val="0"/>
                    <w:autoSpaceDE w:val="0"/>
                    <w:autoSpaceDN w:val="0"/>
                    <w:snapToGrid w:val="0"/>
                    <w:jc w:val="center"/>
                    <w:rPr>
                      <w:color w:val="auto"/>
                      <w14:ligatures w14:val="standardContextual"/>
                    </w:rPr>
                  </w:pPr>
                  <w:r>
                    <w:rPr>
                      <w:rFonts w:hint="eastAsia"/>
                      <w:color w:val="auto"/>
                      <w14:ligatures w14:val="standardContextual"/>
                    </w:rPr>
                    <w:t>2.本项目排水采用雨污分流制。无生产废水外排，生活污水经化粪池处理后排入园区市政污水管网，最终进入大榄坪污水处理厂处理。</w:t>
                  </w:r>
                </w:p>
                <w:p w14:paraId="044AE0C2">
                  <w:pPr>
                    <w:widowControl w:val="0"/>
                    <w:overflowPunct w:val="0"/>
                    <w:autoSpaceDE w:val="0"/>
                    <w:autoSpaceDN w:val="0"/>
                    <w:snapToGrid w:val="0"/>
                    <w:jc w:val="center"/>
                    <w:rPr>
                      <w:color w:val="auto"/>
                      <w14:ligatures w14:val="standardContextual"/>
                    </w:rPr>
                  </w:pPr>
                  <w:r>
                    <w:rPr>
                      <w:rFonts w:hint="eastAsia"/>
                      <w:color w:val="auto"/>
                      <w14:ligatures w14:val="standardContextual"/>
                    </w:rPr>
                    <w:t>3、项目用水采用市政管网，不取用地下水，严格执行地下水防渗要求。</w:t>
                  </w:r>
                </w:p>
                <w:p w14:paraId="0667B0EB">
                  <w:pPr>
                    <w:widowControl w:val="0"/>
                    <w:overflowPunct w:val="0"/>
                    <w:autoSpaceDE w:val="0"/>
                    <w:autoSpaceDN w:val="0"/>
                    <w:snapToGrid w:val="0"/>
                    <w:jc w:val="center"/>
                    <w:rPr>
                      <w:color w:val="auto"/>
                      <w14:ligatures w14:val="standardContextual"/>
                    </w:rPr>
                  </w:pPr>
                  <w:r>
                    <w:rPr>
                      <w:rFonts w:hint="eastAsia"/>
                      <w:color w:val="auto"/>
                      <w14:ligatures w14:val="standardContextual"/>
                    </w:rPr>
                    <w:t>4.本项目生产区与办公区分离，周围50m内无噪声敏感点，经隔声、吸声、减振后，噪声影响可接受。</w:t>
                  </w:r>
                </w:p>
                <w:p w14:paraId="7E501CE0">
                  <w:pPr>
                    <w:widowControl w:val="0"/>
                    <w:overflowPunct w:val="0"/>
                    <w:autoSpaceDE w:val="0"/>
                    <w:autoSpaceDN w:val="0"/>
                    <w:snapToGrid w:val="0"/>
                    <w:jc w:val="center"/>
                    <w:rPr>
                      <w:color w:val="auto"/>
                      <w14:ligatures w14:val="standardContextual"/>
                    </w:rPr>
                  </w:pPr>
                  <w:r>
                    <w:rPr>
                      <w:rFonts w:hint="eastAsia"/>
                      <w:color w:val="auto"/>
                      <w14:ligatures w14:val="standardContextual"/>
                    </w:rPr>
                    <w:t>5.本项目为N7723 固体废物治理，对于二次产生的固体废物按要求进行收集、贮存、处置。</w:t>
                  </w:r>
                </w:p>
              </w:tc>
              <w:tc>
                <w:tcPr>
                  <w:tcW w:w="393" w:type="pct"/>
                  <w:vAlign w:val="center"/>
                </w:tcPr>
                <w:p w14:paraId="6270B363">
                  <w:pPr>
                    <w:widowControl w:val="0"/>
                    <w:overflowPunct w:val="0"/>
                    <w:autoSpaceDE w:val="0"/>
                    <w:autoSpaceDN w:val="0"/>
                    <w:snapToGrid w:val="0"/>
                    <w:jc w:val="center"/>
                    <w:rPr>
                      <w:color w:val="auto"/>
                      <w14:ligatures w14:val="standardContextual"/>
                    </w:rPr>
                  </w:pPr>
                  <w:r>
                    <w:rPr>
                      <w:rFonts w:hint="eastAsia"/>
                      <w:color w:val="auto"/>
                      <w14:ligatures w14:val="standardContextual"/>
                    </w:rPr>
                    <w:t>符合</w:t>
                  </w:r>
                </w:p>
              </w:tc>
            </w:tr>
            <w:tr w14:paraId="6D490C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9" w:type="pct"/>
                  <w:vAlign w:val="center"/>
                </w:tcPr>
                <w:p w14:paraId="3621F99A">
                  <w:pPr>
                    <w:widowControl w:val="0"/>
                    <w:overflowPunct w:val="0"/>
                    <w:autoSpaceDE w:val="0"/>
                    <w:autoSpaceDN w:val="0"/>
                    <w:snapToGrid w:val="0"/>
                    <w:jc w:val="center"/>
                    <w:rPr>
                      <w:color w:val="auto"/>
                      <w14:ligatures w14:val="standardContextual"/>
                    </w:rPr>
                  </w:pPr>
                  <w:r>
                    <w:rPr>
                      <w:rFonts w:hint="eastAsia"/>
                      <w:color w:val="auto"/>
                      <w14:ligatures w14:val="standardContextual"/>
                    </w:rPr>
                    <w:t>规划优化调整意见</w:t>
                  </w:r>
                </w:p>
              </w:tc>
              <w:tc>
                <w:tcPr>
                  <w:tcW w:w="2667" w:type="pct"/>
                  <w:vAlign w:val="center"/>
                </w:tcPr>
                <w:p w14:paraId="50714928">
                  <w:pPr>
                    <w:widowControl w:val="0"/>
                    <w:overflowPunct w:val="0"/>
                    <w:autoSpaceDE w:val="0"/>
                    <w:autoSpaceDN w:val="0"/>
                    <w:snapToGrid w:val="0"/>
                    <w:jc w:val="center"/>
                    <w:rPr>
                      <w:color w:val="auto"/>
                      <w14:ligatures w14:val="standardContextual"/>
                    </w:rPr>
                  </w:pPr>
                  <w:r>
                    <w:rPr>
                      <w:rFonts w:hint="eastAsia"/>
                      <w:color w:val="auto"/>
                      <w14:ligatures w14:val="standardContextual"/>
                    </w:rPr>
                    <w:t>大榄坪污水处理厂加快推进升级改造，接收园区产生的生产废水。</w:t>
                  </w:r>
                </w:p>
              </w:tc>
              <w:tc>
                <w:tcPr>
                  <w:tcW w:w="1351" w:type="pct"/>
                  <w:vAlign w:val="center"/>
                </w:tcPr>
                <w:p w14:paraId="251076EC">
                  <w:pPr>
                    <w:widowControl w:val="0"/>
                    <w:overflowPunct w:val="0"/>
                    <w:autoSpaceDE w:val="0"/>
                    <w:autoSpaceDN w:val="0"/>
                    <w:snapToGrid w:val="0"/>
                    <w:jc w:val="center"/>
                    <w:rPr>
                      <w:color w:val="auto"/>
                      <w14:ligatures w14:val="standardContextual"/>
                    </w:rPr>
                  </w:pPr>
                  <w:r>
                    <w:rPr>
                      <w:rFonts w:hint="eastAsia"/>
                      <w:color w:val="auto"/>
                      <w14:ligatures w14:val="standardContextual"/>
                    </w:rPr>
                    <w:t>本项目生产废水经沉淀池沉淀后回用不外排。</w:t>
                  </w:r>
                </w:p>
              </w:tc>
              <w:tc>
                <w:tcPr>
                  <w:tcW w:w="393" w:type="pct"/>
                  <w:vAlign w:val="center"/>
                </w:tcPr>
                <w:p w14:paraId="03AF0B16">
                  <w:pPr>
                    <w:widowControl w:val="0"/>
                    <w:overflowPunct w:val="0"/>
                    <w:autoSpaceDE w:val="0"/>
                    <w:autoSpaceDN w:val="0"/>
                    <w:snapToGrid w:val="0"/>
                    <w:jc w:val="center"/>
                    <w:rPr>
                      <w:color w:val="auto"/>
                      <w14:ligatures w14:val="standardContextual"/>
                    </w:rPr>
                  </w:pPr>
                  <w:r>
                    <w:rPr>
                      <w:rFonts w:hint="eastAsia"/>
                      <w:color w:val="auto"/>
                      <w14:ligatures w14:val="standardContextual"/>
                    </w:rPr>
                    <w:t>符合</w:t>
                  </w:r>
                </w:p>
              </w:tc>
            </w:tr>
          </w:tbl>
          <w:p w14:paraId="4EC2703C">
            <w:pPr>
              <w:pStyle w:val="3"/>
              <w:ind w:firstLine="480"/>
              <w:rPr>
                <w:color w:val="auto"/>
              </w:rPr>
            </w:pPr>
          </w:p>
        </w:tc>
      </w:tr>
      <w:tr w14:paraId="3F8161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22" w:type="dxa"/>
            <w:vAlign w:val="center"/>
          </w:tcPr>
          <w:p w14:paraId="24C83956">
            <w:pPr>
              <w:autoSpaceDE w:val="0"/>
              <w:autoSpaceDN w:val="0"/>
              <w:snapToGrid w:val="0"/>
              <w:jc w:val="center"/>
              <w:rPr>
                <w:rFonts w:cs="宋体"/>
                <w:color w:val="auto"/>
                <w:sz w:val="24"/>
              </w:rPr>
            </w:pPr>
            <w:r>
              <w:rPr>
                <w:rFonts w:hint="eastAsia" w:cs="宋体"/>
                <w:color w:val="auto"/>
                <w:sz w:val="24"/>
              </w:rPr>
              <w:t>其他符合性分析</w:t>
            </w:r>
          </w:p>
        </w:tc>
        <w:tc>
          <w:tcPr>
            <w:tcW w:w="7564" w:type="dxa"/>
            <w:gridSpan w:val="4"/>
            <w:vAlign w:val="center"/>
          </w:tcPr>
          <w:p w14:paraId="304C54DC">
            <w:pPr>
              <w:pStyle w:val="7"/>
              <w:rPr>
                <w:color w:val="auto"/>
              </w:rPr>
            </w:pPr>
            <w:r>
              <w:rPr>
                <w:rFonts w:hint="eastAsia"/>
                <w:color w:val="auto"/>
              </w:rPr>
              <w:t>1、产业政策符合性分析</w:t>
            </w:r>
          </w:p>
          <w:p w14:paraId="154E4F12">
            <w:pPr>
              <w:pStyle w:val="3"/>
              <w:ind w:firstLine="480"/>
              <w:rPr>
                <w:color w:val="auto"/>
              </w:rPr>
            </w:pPr>
            <w:r>
              <w:rPr>
                <w:rFonts w:hint="eastAsia"/>
                <w:color w:val="auto"/>
              </w:rPr>
              <w:t>根据《产业结构调整指导目录（20</w:t>
            </w:r>
            <w:r>
              <w:rPr>
                <w:color w:val="auto"/>
              </w:rPr>
              <w:t>24</w:t>
            </w:r>
            <w:r>
              <w:rPr>
                <w:rFonts w:hint="eastAsia"/>
                <w:color w:val="auto"/>
              </w:rPr>
              <w:t>年本）》（国家发展和改革委员会令第</w:t>
            </w:r>
            <w:r>
              <w:rPr>
                <w:color w:val="auto"/>
              </w:rPr>
              <w:t>7</w:t>
            </w:r>
            <w:r>
              <w:rPr>
                <w:rFonts w:hint="eastAsia"/>
                <w:color w:val="auto"/>
              </w:rPr>
              <w:t>号），本项目属于鼓励类中“四十二、环境保护与资源节约综合利用”中8、“城市矿产”基地和资源循环利用基地建设，煤矸石、粉煤灰、尾矿（共伴生矿）、冶炼渣、工业副产石膏、赤泥、建筑垃圾等工业废弃物循环利用。项目建设符合国家产业政策要求。</w:t>
            </w:r>
          </w:p>
          <w:p w14:paraId="68F5A664">
            <w:pPr>
              <w:pStyle w:val="3"/>
              <w:ind w:firstLine="480"/>
              <w:rPr>
                <w:color w:val="auto"/>
              </w:rPr>
            </w:pPr>
            <w:r>
              <w:rPr>
                <w:rFonts w:hint="eastAsia"/>
                <w:color w:val="auto"/>
              </w:rPr>
              <w:t>根据《广西工业产业结构调整指导目录（2021年本）》，本项目不属于限制类、淘汰类行业。</w:t>
            </w:r>
          </w:p>
          <w:p w14:paraId="67F7F55E">
            <w:pPr>
              <w:pStyle w:val="3"/>
              <w:ind w:firstLine="480"/>
              <w:rPr>
                <w:color w:val="auto"/>
              </w:rPr>
            </w:pPr>
            <w:r>
              <w:rPr>
                <w:rFonts w:hint="eastAsia"/>
                <w:color w:val="auto"/>
              </w:rPr>
              <w:t>本项目已在</w:t>
            </w:r>
            <w:r>
              <w:rPr>
                <w:rFonts w:hint="eastAsia"/>
                <w:color w:val="auto"/>
                <w:lang w:eastAsia="zh-CN"/>
              </w:rPr>
              <w:t>中国—马来西亚</w:t>
            </w:r>
            <w:r>
              <w:rPr>
                <w:rFonts w:hint="eastAsia"/>
                <w:color w:val="auto"/>
              </w:rPr>
              <w:t>钦州产业园区行政审批局进行备案，项目代码为“</w:t>
            </w:r>
            <w:r>
              <w:rPr>
                <w:color w:val="auto"/>
              </w:rPr>
              <w:t>2507-450704-04-01-133419</w:t>
            </w:r>
            <w:r>
              <w:rPr>
                <w:rFonts w:hint="eastAsia"/>
                <w:color w:val="auto"/>
              </w:rPr>
              <w:t>”，符合国家有关产业政策的要求。</w:t>
            </w:r>
          </w:p>
          <w:p w14:paraId="2975EE75">
            <w:pPr>
              <w:pStyle w:val="7"/>
              <w:rPr>
                <w:color w:val="auto"/>
              </w:rPr>
            </w:pPr>
            <w:r>
              <w:rPr>
                <w:rFonts w:hint="eastAsia"/>
                <w:color w:val="auto"/>
              </w:rPr>
              <w:t>2、选址可行性分析</w:t>
            </w:r>
          </w:p>
          <w:p w14:paraId="6392464D">
            <w:pPr>
              <w:pStyle w:val="3"/>
              <w:ind w:firstLine="480"/>
              <w:rPr>
                <w:color w:val="auto"/>
              </w:rPr>
            </w:pPr>
            <w:r>
              <w:rPr>
                <w:rFonts w:hint="eastAsia"/>
                <w:color w:val="auto"/>
              </w:rPr>
              <w:t>（1）规划选址符合性分析</w:t>
            </w:r>
          </w:p>
          <w:p w14:paraId="1C23A576">
            <w:pPr>
              <w:pStyle w:val="3"/>
              <w:ind w:firstLine="480"/>
              <w:rPr>
                <w:color w:val="auto"/>
              </w:rPr>
            </w:pPr>
            <w:r>
              <w:rPr>
                <w:rFonts w:hint="eastAsia"/>
                <w:color w:val="auto"/>
              </w:rPr>
              <w:t>根据《自然资源要素支撑产业高质量发展指导目录（2024年本）》（自然资发〔2024〕273号）的通知，项目选址位于广西壮族自治区钦州市保税港大街北面、陆海大道东面、中伟一期项目南面，用地性质属于工业用地/工业，不属于禁止类和限制类中的建设项目，不属于该文件中限批或禁批的范围。</w:t>
            </w:r>
          </w:p>
          <w:p w14:paraId="10E399CA">
            <w:pPr>
              <w:pStyle w:val="3"/>
              <w:ind w:firstLine="480"/>
              <w:rPr>
                <w:color w:val="auto"/>
              </w:rPr>
            </w:pPr>
            <w:r>
              <w:rPr>
                <w:rFonts w:hint="eastAsia"/>
                <w:color w:val="auto"/>
              </w:rPr>
              <w:t>（2）选址所在地环境敏感度分析</w:t>
            </w:r>
          </w:p>
          <w:p w14:paraId="06024FED">
            <w:pPr>
              <w:pStyle w:val="3"/>
              <w:ind w:firstLine="480"/>
              <w:rPr>
                <w:rFonts w:hint="eastAsia"/>
                <w:color w:val="auto"/>
              </w:rPr>
            </w:pPr>
            <w:r>
              <w:rPr>
                <w:rFonts w:hint="eastAsia"/>
                <w:color w:val="auto"/>
              </w:rPr>
              <w:t>项目选址位于广西壮族自治区钦州市保税港大街北面、陆海大道东面、中伟一期项目南面，不属于生活饮用水源地和地下水补给区、风景名胜区、温泉疗养区、水产养殖区、基本农田保护区、自然保护区等需要特殊保护区域。</w:t>
            </w:r>
          </w:p>
          <w:p w14:paraId="56E44FC8">
            <w:pPr>
              <w:pStyle w:val="3"/>
              <w:ind w:firstLine="480"/>
              <w:rPr>
                <w:color w:val="auto"/>
                <w:u w:val="single"/>
              </w:rPr>
            </w:pPr>
            <w:r>
              <w:rPr>
                <w:rFonts w:hint="eastAsia"/>
                <w:color w:val="auto"/>
                <w:u w:val="single"/>
              </w:rPr>
              <w:t>（3）外环境相容性分析</w:t>
            </w:r>
          </w:p>
          <w:p w14:paraId="451C4682">
            <w:pPr>
              <w:pStyle w:val="3"/>
              <w:ind w:firstLine="480"/>
              <w:rPr>
                <w:color w:val="auto"/>
              </w:rPr>
            </w:pPr>
            <w:r>
              <w:rPr>
                <w:rFonts w:hint="eastAsia"/>
                <w:color w:val="auto"/>
                <w:u w:val="single"/>
              </w:rPr>
              <w:t>项目所在地块南侧为空地，西侧为陆海大道，北侧为广西中伟新能源科技有限公司，东侧为</w:t>
            </w:r>
            <w:bookmarkStart w:id="8" w:name="OLE_LINK5"/>
            <w:r>
              <w:rPr>
                <w:rFonts w:hint="eastAsia"/>
                <w:color w:val="auto"/>
                <w:u w:val="single"/>
              </w:rPr>
              <w:t>大揽平污水处理厂</w:t>
            </w:r>
            <w:bookmarkEnd w:id="8"/>
            <w:r>
              <w:rPr>
                <w:rFonts w:hint="eastAsia"/>
                <w:color w:val="auto"/>
                <w:u w:val="single"/>
              </w:rPr>
              <w:t>。广西中伟新能源科技有限公司主要从事锂电池新能源材料生产加工，该企业按要求建设废气、废水等污染防治措施，产生的污染物均能够得到有效处置。</w:t>
            </w:r>
            <w:r>
              <w:rPr>
                <w:rFonts w:hint="eastAsia"/>
                <w:color w:val="auto"/>
                <w:u w:val="single"/>
                <w:lang w:val="en-US" w:eastAsia="zh-CN"/>
              </w:rPr>
              <w:t>大榄坪</w:t>
            </w:r>
            <w:r>
              <w:rPr>
                <w:rFonts w:hint="eastAsia"/>
                <w:color w:val="auto"/>
                <w:u w:val="single"/>
              </w:rPr>
              <w:t>污水处理厂目前由广西钦州北投水务有限公司负责运营，服务范围为大榄坪工业区，污水处理工艺为“A/A/O曝气氧化沟+化学辅助除磷”，排水去向为钦州港大榄坪污水深海排放区（A2排放区）。因此，本项目交通便利，周围无环境制约因素，周围企业不存在卫生</w:t>
            </w:r>
            <w:r>
              <w:rPr>
                <w:rFonts w:hint="eastAsia"/>
                <w:color w:val="auto"/>
              </w:rPr>
              <w:t>或安全防护距离要求，从环境保护角度来看，本项目与周围环境相容。</w:t>
            </w:r>
          </w:p>
          <w:p w14:paraId="6E4D471F">
            <w:pPr>
              <w:pStyle w:val="7"/>
              <w:rPr>
                <w:color w:val="auto"/>
              </w:rPr>
            </w:pPr>
            <w:r>
              <w:rPr>
                <w:rFonts w:hint="eastAsia"/>
                <w:color w:val="auto"/>
              </w:rPr>
              <w:t>3、与“三线一单”符合性分析</w:t>
            </w:r>
          </w:p>
          <w:p w14:paraId="0A028EAB">
            <w:pPr>
              <w:pStyle w:val="3"/>
              <w:ind w:firstLine="480"/>
              <w:rPr>
                <w:color w:val="auto"/>
              </w:rPr>
            </w:pPr>
            <w:r>
              <w:rPr>
                <w:rFonts w:hint="eastAsia"/>
                <w:color w:val="auto"/>
              </w:rPr>
              <w:t>（1）生态保护红线</w:t>
            </w:r>
          </w:p>
          <w:p w14:paraId="15E2DA78">
            <w:pPr>
              <w:pStyle w:val="3"/>
              <w:ind w:firstLine="480"/>
              <w:rPr>
                <w:color w:val="auto"/>
              </w:rPr>
            </w:pPr>
            <w:r>
              <w:rPr>
                <w:rFonts w:hint="eastAsia"/>
                <w:color w:val="auto"/>
              </w:rPr>
              <w:t>项目位于工业园区内，所在土地不涉及基本草原、国家级公益林、自然保护区、森林公园、湿地、林地。符合项目所在占地面积内的规划主导生态功能区范围内，且不在风景区、自然保护区等生态保护区内，符合生态保护红线要求。</w:t>
            </w:r>
          </w:p>
          <w:p w14:paraId="71BF35E5">
            <w:pPr>
              <w:pStyle w:val="3"/>
              <w:ind w:firstLine="480"/>
              <w:rPr>
                <w:color w:val="auto"/>
              </w:rPr>
            </w:pPr>
            <w:r>
              <w:rPr>
                <w:rFonts w:hint="eastAsia"/>
                <w:color w:val="auto"/>
              </w:rPr>
              <w:t>（2）环境质量底线</w:t>
            </w:r>
          </w:p>
          <w:p w14:paraId="278C1846">
            <w:pPr>
              <w:pStyle w:val="3"/>
              <w:ind w:firstLine="480"/>
              <w:rPr>
                <w:color w:val="auto"/>
              </w:rPr>
            </w:pPr>
            <w:r>
              <w:rPr>
                <w:rFonts w:hint="eastAsia"/>
                <w:color w:val="auto"/>
              </w:rPr>
              <w:t>根据项目环境功能区区划，项目区域环境空气质量执行《环境空气质量标准》（GB3095-2012）中</w:t>
            </w:r>
            <w:r>
              <w:rPr>
                <w:rFonts w:hint="eastAsia"/>
                <w:b/>
                <w:bCs/>
                <w:color w:val="auto"/>
              </w:rPr>
              <w:t>二类区</w:t>
            </w:r>
            <w:r>
              <w:rPr>
                <w:rFonts w:hint="eastAsia"/>
                <w:color w:val="auto"/>
              </w:rPr>
              <w:t>标准，海域环境质量执行海水水质标准（</w:t>
            </w:r>
            <w:r>
              <w:rPr>
                <w:color w:val="auto"/>
              </w:rPr>
              <w:t>GB 3097-1997</w:t>
            </w:r>
            <w:r>
              <w:rPr>
                <w:rFonts w:hint="eastAsia"/>
                <w:color w:val="auto"/>
              </w:rPr>
              <w:t>）第四类标准限值，声环境执行《声环境质量标准》（GB3095-2008）</w:t>
            </w:r>
            <w:r>
              <w:rPr>
                <w:rFonts w:hint="eastAsia"/>
                <w:b/>
                <w:bCs/>
                <w:color w:val="auto"/>
              </w:rPr>
              <w:t>3类</w:t>
            </w:r>
            <w:r>
              <w:rPr>
                <w:rFonts w:hint="eastAsia"/>
                <w:color w:val="auto"/>
              </w:rPr>
              <w:t>标准。目前，项目所在区域环境质量均能达到相应环境质量标准要求。</w:t>
            </w:r>
          </w:p>
          <w:p w14:paraId="04F025E3">
            <w:pPr>
              <w:pStyle w:val="3"/>
              <w:ind w:firstLine="480"/>
              <w:rPr>
                <w:color w:val="auto"/>
              </w:rPr>
            </w:pPr>
            <w:r>
              <w:rPr>
                <w:rFonts w:hint="eastAsia"/>
                <w:color w:val="auto"/>
              </w:rPr>
              <w:t>根据工程分析确定的污染物源强，通过大气环境、水环境、声环境影响分析，项目采取相应的治理措施后，污染物实现达标排放对区域环境空气、水环境、声环境影响较小，废气、废水、固废、噪声均能达到合理处置，不会突破项目所在地的环境质量底线。本项目的建设符合环境质量底线要求。</w:t>
            </w:r>
          </w:p>
          <w:p w14:paraId="0BEA3B27">
            <w:pPr>
              <w:pStyle w:val="3"/>
              <w:ind w:firstLine="480"/>
              <w:rPr>
                <w:color w:val="auto"/>
              </w:rPr>
            </w:pPr>
            <w:r>
              <w:rPr>
                <w:rFonts w:hint="eastAsia"/>
                <w:color w:val="auto"/>
              </w:rPr>
              <w:t>（3）资源利用上线管控要求</w:t>
            </w:r>
          </w:p>
          <w:p w14:paraId="7E8E2286">
            <w:pPr>
              <w:pStyle w:val="3"/>
              <w:ind w:firstLine="480"/>
              <w:rPr>
                <w:color w:val="auto"/>
              </w:rPr>
            </w:pPr>
            <w:r>
              <w:rPr>
                <w:rFonts w:hint="eastAsia"/>
                <w:color w:val="auto"/>
              </w:rPr>
              <w:t>项目在运营过程中会消耗生物质燃料、水源、电源等，且项目布局合理，极大地节约了资源的利用，符合资源利用上限的要求。</w:t>
            </w:r>
          </w:p>
          <w:p w14:paraId="2DCF7195">
            <w:pPr>
              <w:pStyle w:val="3"/>
              <w:ind w:firstLine="480"/>
              <w:rPr>
                <w:color w:val="auto"/>
              </w:rPr>
            </w:pPr>
            <w:r>
              <w:rPr>
                <w:rFonts w:hint="eastAsia"/>
                <w:color w:val="auto"/>
              </w:rPr>
              <w:t>（4）环境准入负面清单</w:t>
            </w:r>
          </w:p>
          <w:p w14:paraId="2FDDF87E">
            <w:pPr>
              <w:pStyle w:val="3"/>
              <w:ind w:firstLine="480"/>
              <w:rPr>
                <w:color w:val="auto"/>
              </w:rPr>
            </w:pPr>
            <w:r>
              <w:rPr>
                <w:rFonts w:hint="eastAsia"/>
                <w:color w:val="auto"/>
              </w:rPr>
              <w:t>根据《广西壮族自治区人民政府办公厅关于印发北钦防一体化产业协同发展限制布局清单（工业类2021年版）的通知》（桂政办函〔2021〕4号），钦州市限制布局产业：（1）炼铁、炼钢；（2）铝冶炼；（3）平板玻璃制造。钦州高新技术产业开发区的限制布局产业：（1）纸浆制造；（2）原油加工及石油制品制造；（3）水泥制造；（4）建筑陶瓷制品制造；（5）有色金属冶炼。</w:t>
            </w:r>
            <w:r>
              <w:rPr>
                <w:rFonts w:hint="eastAsia"/>
                <w:b/>
                <w:bCs/>
                <w:color w:val="auto"/>
              </w:rPr>
              <w:t>本项目为N7723 固体废物治理</w:t>
            </w:r>
            <w:r>
              <w:rPr>
                <w:rFonts w:hint="eastAsia"/>
                <w:color w:val="auto"/>
              </w:rPr>
              <w:t>，不属于《北钦防一体化产业协同发展限制布局清单（工业类2021年版）》中钦州市及钦州市高新技术产业开发园区的限制布局产业。符合北钦防一体化产业协同发展限制布局清单要求。</w:t>
            </w:r>
          </w:p>
          <w:p w14:paraId="7192D2DC">
            <w:pPr>
              <w:pStyle w:val="3"/>
              <w:ind w:firstLine="480"/>
              <w:rPr>
                <w:color w:val="auto"/>
              </w:rPr>
            </w:pPr>
            <w:r>
              <w:rPr>
                <w:rFonts w:hint="eastAsia"/>
                <w:color w:val="auto"/>
              </w:rPr>
              <w:t>根据《广西工业产业结构调整指导目录（2021年本）》，本项目不属于限制类、淘汰类行业。</w:t>
            </w:r>
          </w:p>
          <w:p w14:paraId="28B04101">
            <w:pPr>
              <w:pStyle w:val="3"/>
              <w:ind w:firstLine="480"/>
              <w:rPr>
                <w:color w:val="auto"/>
              </w:rPr>
            </w:pPr>
            <w:r>
              <w:rPr>
                <w:rFonts w:hint="eastAsia"/>
                <w:color w:val="auto"/>
              </w:rPr>
              <w:t>根据《市场准入负面清单(2022年版)》，本项目不属于负面清单所列类别。</w:t>
            </w:r>
          </w:p>
          <w:p w14:paraId="742FB970">
            <w:pPr>
              <w:pStyle w:val="3"/>
              <w:ind w:firstLine="480"/>
              <w:rPr>
                <w:color w:val="auto"/>
              </w:rPr>
            </w:pPr>
            <w:r>
              <w:rPr>
                <w:rFonts w:hint="eastAsia"/>
                <w:color w:val="auto"/>
              </w:rPr>
              <w:t>根据《广西壮族自治区重点生态功能区县产业准入负面清单调整方案》(2024年4月16日)，本项目不在重点生态功能区范围内，不涉及重点生态功能区的产业准入。</w:t>
            </w:r>
          </w:p>
          <w:p w14:paraId="43C142E9">
            <w:pPr>
              <w:pStyle w:val="3"/>
              <w:ind w:firstLine="480"/>
              <w:rPr>
                <w:color w:val="auto"/>
              </w:rPr>
            </w:pPr>
            <w:r>
              <w:rPr>
                <w:rFonts w:hint="eastAsia"/>
                <w:color w:val="auto"/>
              </w:rPr>
              <w:t>综上所述，本项目符合“三线一单”的要求。</w:t>
            </w:r>
          </w:p>
          <w:p w14:paraId="701D6BAA">
            <w:pPr>
              <w:pStyle w:val="7"/>
              <w:rPr>
                <w:color w:val="auto"/>
              </w:rPr>
            </w:pPr>
            <w:r>
              <w:rPr>
                <w:rFonts w:hint="eastAsia"/>
                <w:color w:val="auto"/>
              </w:rPr>
              <w:t>4、与《钦州市生态环境分区管控动态更新成果（2023版）》相符性分析</w:t>
            </w:r>
          </w:p>
          <w:p w14:paraId="51EBAEE5">
            <w:pPr>
              <w:pStyle w:val="3"/>
              <w:ind w:firstLine="480"/>
              <w:rPr>
                <w:color w:val="auto"/>
              </w:rPr>
            </w:pPr>
            <w:r>
              <w:rPr>
                <w:rFonts w:hint="eastAsia"/>
                <w:color w:val="auto"/>
              </w:rPr>
              <w:t>根据生态环境部办公厅关于印发《2023年生态环境分区管控成果动态更新工作方案》的通知（环办环评函〔2023〕81号）以及自治区工作要求，重点围绕“三区三线”划定成果和国家、自治区以及钦州市重大战略规划、“十四五”环境质量、能源资源管理目标和要求等，对钦州市生态环境分区管控成果进行更新调整。调整后全市陆域共划分为64个环境管控单元。其中，优先保护单元34个，面积占比16.32%；重点管控单元26个，面积占比25.28%；一般管控单元4个，面积占比58.41%。近岸海域共划分为63个环境管控单元，其中，优先保护单元25个，面积占比10.78%；重点管控单元31个，面积占比6.74%；一般管控单元7个，面积占比82.48%。</w:t>
            </w:r>
          </w:p>
          <w:p w14:paraId="731E0AF7">
            <w:pPr>
              <w:pStyle w:val="3"/>
              <w:ind w:firstLine="480"/>
              <w:rPr>
                <w:color w:val="auto"/>
              </w:rPr>
            </w:pPr>
            <w:r>
              <w:rPr>
                <w:rFonts w:hint="eastAsia"/>
                <w:color w:val="auto"/>
              </w:rPr>
              <w:t>陆域环境管控单元：</w:t>
            </w:r>
          </w:p>
          <w:p w14:paraId="62979226">
            <w:pPr>
              <w:pStyle w:val="3"/>
              <w:ind w:firstLine="480"/>
              <w:rPr>
                <w:color w:val="auto"/>
              </w:rPr>
            </w:pPr>
            <w:r>
              <w:rPr>
                <w:rFonts w:hint="eastAsia"/>
                <w:color w:val="auto"/>
              </w:rPr>
              <w:t>优先保护单元主要包括：生态保护红线、自然保护地、县级以上饮用水水源保护区、环境空气一类功能区等生态功能区域，全市划定优先保护单位34个。</w:t>
            </w:r>
          </w:p>
          <w:p w14:paraId="6BCEB5B6">
            <w:pPr>
              <w:pStyle w:val="3"/>
              <w:ind w:firstLine="480"/>
              <w:rPr>
                <w:color w:val="auto"/>
              </w:rPr>
            </w:pPr>
            <w:r>
              <w:rPr>
                <w:rFonts w:hint="eastAsia"/>
                <w:color w:val="auto"/>
              </w:rPr>
              <w:t>重点管控单元主要包括工业园区、县级以上城镇中心城区及规划区、矿产开采区、钦州港区等开发强度高、污染物排放强度大的区域，以及环境问题相对集中的区域，全市划定重点管控单元26个。</w:t>
            </w:r>
          </w:p>
          <w:p w14:paraId="741DF542">
            <w:pPr>
              <w:pStyle w:val="3"/>
              <w:ind w:firstLine="480"/>
              <w:rPr>
                <w:color w:val="auto"/>
              </w:rPr>
            </w:pPr>
            <w:r>
              <w:rPr>
                <w:rFonts w:hint="eastAsia"/>
                <w:color w:val="auto"/>
              </w:rPr>
              <w:t>一般管控单元为优先保护单元、重点保护单元以外的区域，衔接乡镇边界形成管控单元，全市划定一般管控单元4个。</w:t>
            </w:r>
          </w:p>
          <w:p w14:paraId="3C56E5C7">
            <w:pPr>
              <w:pStyle w:val="3"/>
              <w:ind w:firstLine="480"/>
              <w:rPr>
                <w:color w:val="auto"/>
              </w:rPr>
            </w:pPr>
            <w:r>
              <w:rPr>
                <w:rFonts w:hint="eastAsia"/>
                <w:color w:val="auto"/>
              </w:rPr>
              <w:t>近岸海域环境管控单元：</w:t>
            </w:r>
          </w:p>
          <w:p w14:paraId="6CB9E66C">
            <w:pPr>
              <w:pStyle w:val="3"/>
              <w:ind w:firstLine="480"/>
              <w:rPr>
                <w:color w:val="auto"/>
              </w:rPr>
            </w:pPr>
            <w:r>
              <w:rPr>
                <w:rFonts w:hint="eastAsia"/>
                <w:color w:val="auto"/>
              </w:rPr>
              <w:t>优先保护单元主要包括海洋生态保护红线的海域，全市划定优先保护单位25个。</w:t>
            </w:r>
          </w:p>
          <w:p w14:paraId="32C9A2FD">
            <w:pPr>
              <w:pStyle w:val="3"/>
              <w:ind w:firstLine="480"/>
              <w:rPr>
                <w:color w:val="auto"/>
              </w:rPr>
            </w:pPr>
            <w:r>
              <w:rPr>
                <w:rFonts w:hint="eastAsia"/>
                <w:color w:val="auto"/>
              </w:rPr>
              <w:t>重点管控单元主要包括港口码头、倾废、排污混合、工业与城镇用海、矿产与能源开发利用、特殊利用以及现状水质超标的海域，全市划定重点管控单元31个。</w:t>
            </w:r>
          </w:p>
          <w:p w14:paraId="332D56A6">
            <w:pPr>
              <w:pStyle w:val="3"/>
              <w:ind w:firstLine="480"/>
              <w:rPr>
                <w:color w:val="auto"/>
              </w:rPr>
            </w:pPr>
            <w:r>
              <w:rPr>
                <w:rFonts w:hint="eastAsia"/>
                <w:color w:val="auto"/>
              </w:rPr>
              <w:t>一般管控单元为优先保护单元、重点保护单元以外的区域，全市划定一般管控单元7个。</w:t>
            </w:r>
          </w:p>
          <w:p w14:paraId="6ACCFC5E">
            <w:pPr>
              <w:pStyle w:val="3"/>
              <w:ind w:firstLine="480"/>
              <w:rPr>
                <w:color w:val="auto"/>
              </w:rPr>
            </w:pPr>
            <w:r>
              <w:rPr>
                <w:rFonts w:hint="eastAsia"/>
                <w:color w:val="auto"/>
              </w:rPr>
              <w:t>根据项目研判初步结论（详见附件6），项目涉及1个环境管控单元，其中优先保护类0个，重点管控类1个，一般管控类0个。</w:t>
            </w:r>
          </w:p>
          <w:p w14:paraId="47EA4916">
            <w:pPr>
              <w:pStyle w:val="3"/>
              <w:ind w:firstLine="480"/>
              <w:rPr>
                <w:color w:val="auto"/>
              </w:rPr>
            </w:pPr>
            <w:r>
              <w:rPr>
                <w:rFonts w:hint="eastAsia"/>
                <w:color w:val="auto"/>
              </w:rPr>
              <w:t>根据《钦州市生态环境分区管控动态更新成果（2023版）》可知，项目选址属于“钦州港经济技术开发区重点管控单元”（具体位置见附图4），环境管控单元编码为</w:t>
            </w:r>
            <w:r>
              <w:rPr>
                <w:color w:val="auto"/>
              </w:rPr>
              <w:t>ZH4507022000</w:t>
            </w:r>
            <w:r>
              <w:rPr>
                <w:rFonts w:hint="eastAsia"/>
                <w:color w:val="auto"/>
              </w:rPr>
              <w:t>5，管控单元类别为重点管控单元。</w:t>
            </w:r>
          </w:p>
          <w:p w14:paraId="626E5625">
            <w:pPr>
              <w:pStyle w:val="3"/>
              <w:ind w:firstLine="480"/>
              <w:rPr>
                <w:color w:val="auto"/>
              </w:rPr>
            </w:pPr>
            <w:r>
              <w:rPr>
                <w:rFonts w:hint="eastAsia"/>
                <w:color w:val="auto"/>
              </w:rPr>
              <w:t>与本项目建设有关的生态环境准入及管控要求如下：</w:t>
            </w:r>
          </w:p>
          <w:p w14:paraId="59E111D6">
            <w:pPr>
              <w:pStyle w:val="48"/>
              <w:rPr>
                <w:color w:val="auto"/>
              </w:rPr>
            </w:pPr>
            <w:bookmarkStart w:id="9" w:name="_Ref175248391"/>
            <w:bookmarkStart w:id="10" w:name="_Ref175248448"/>
            <w:r>
              <w:rPr>
                <w:rFonts w:hint="eastAsia"/>
                <w:color w:val="auto"/>
              </w:rPr>
              <w:t xml:space="preserve">表1- </w:t>
            </w:r>
            <w:r>
              <w:rPr>
                <w:color w:val="auto"/>
              </w:rPr>
              <w:fldChar w:fldCharType="begin"/>
            </w:r>
            <w:r>
              <w:rPr>
                <w:color w:val="auto"/>
              </w:rPr>
              <w:instrText xml:space="preserve"> </w:instrText>
            </w:r>
            <w:r>
              <w:rPr>
                <w:rFonts w:hint="eastAsia"/>
                <w:color w:val="auto"/>
              </w:rPr>
              <w:instrText xml:space="preserve">SEQ 表1- \* ARABIC</w:instrText>
            </w:r>
            <w:r>
              <w:rPr>
                <w:color w:val="auto"/>
              </w:rPr>
              <w:instrText xml:space="preserve"> </w:instrText>
            </w:r>
            <w:r>
              <w:rPr>
                <w:color w:val="auto"/>
              </w:rPr>
              <w:fldChar w:fldCharType="separate"/>
            </w:r>
            <w:r>
              <w:rPr>
                <w:color w:val="auto"/>
              </w:rPr>
              <w:t>3</w:t>
            </w:r>
            <w:r>
              <w:rPr>
                <w:color w:val="auto"/>
              </w:rPr>
              <w:fldChar w:fldCharType="end"/>
            </w:r>
            <w:bookmarkEnd w:id="9"/>
            <w:r>
              <w:rPr>
                <w:rFonts w:hint="eastAsia"/>
                <w:color w:val="auto"/>
              </w:rPr>
              <w:t>：项目与重点管控单元生态环境准入及管控要求的符合性</w:t>
            </w:r>
            <w:bookmarkEnd w:id="10"/>
          </w:p>
          <w:tbl>
            <w:tblPr>
              <w:tblStyle w:val="4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568"/>
              <w:gridCol w:w="3792"/>
              <w:gridCol w:w="2320"/>
              <w:gridCol w:w="837"/>
            </w:tblGrid>
            <w:tr w14:paraId="792919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78" w:type="pc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12E27FBF">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14:ligatures w14:val="standardContextual"/>
                    </w:rPr>
                  </w:pPr>
                  <w:bookmarkStart w:id="11" w:name="_Hlk183124714"/>
                  <w:r>
                    <w:rPr>
                      <w:rFonts w:hint="default" w:ascii="Times New Roman" w:hAnsi="Times New Roman" w:eastAsia="宋体" w:cs="Times New Roman"/>
                      <w:b/>
                      <w:i w:val="0"/>
                      <w:color w:val="auto"/>
                      <w14:ligatures w14:val="standardContextual"/>
                    </w:rPr>
                    <w:t>管控类别</w:t>
                  </w:r>
                </w:p>
              </w:tc>
              <w:tc>
                <w:tcPr>
                  <w:tcW w:w="2522"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164B7BA3">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14:ligatures w14:val="standardContextual"/>
                    </w:rPr>
                  </w:pPr>
                  <w:r>
                    <w:rPr>
                      <w:rFonts w:hint="default" w:ascii="Times New Roman" w:hAnsi="Times New Roman" w:eastAsia="宋体" w:cs="Times New Roman"/>
                      <w:b/>
                      <w:i w:val="0"/>
                      <w:color w:val="auto"/>
                      <w14:ligatures w14:val="standardContextual"/>
                    </w:rPr>
                    <w:t>生态环境准入及管控要求</w:t>
                  </w:r>
                </w:p>
              </w:tc>
              <w:tc>
                <w:tcPr>
                  <w:tcW w:w="1543"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68D2C6FF">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14:ligatures w14:val="standardContextual"/>
                    </w:rPr>
                  </w:pPr>
                  <w:r>
                    <w:rPr>
                      <w:rFonts w:hint="default" w:ascii="Times New Roman" w:hAnsi="Times New Roman" w:eastAsia="宋体" w:cs="Times New Roman"/>
                      <w:b/>
                      <w:i w:val="0"/>
                      <w:color w:val="auto"/>
                      <w14:ligatures w14:val="standardContextual"/>
                    </w:rPr>
                    <w:t>本项目情况</w:t>
                  </w:r>
                </w:p>
              </w:tc>
              <w:tc>
                <w:tcPr>
                  <w:tcW w:w="557" w:type="pct"/>
                  <w:tcBorders>
                    <w:top w:val="single" w:color="auto" w:sz="12" w:space="0"/>
                    <w:bottom w:val="single" w:color="auto" w:sz="12" w:space="0"/>
                    <w:right w:val="nil"/>
                    <w:insideH w:val="single" w:sz="12" w:space="0"/>
                    <w:insideV w:val="single" w:sz="4" w:space="0"/>
                    <w:tl2br w:val="nil"/>
                    <w:tr2bl w:val="nil"/>
                  </w:tcBorders>
                  <w:vAlign w:val="center"/>
                </w:tcPr>
                <w:p w14:paraId="3DE8F82C">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14:ligatures w14:val="standardContextual"/>
                    </w:rPr>
                  </w:pPr>
                  <w:r>
                    <w:rPr>
                      <w:rFonts w:hint="eastAsia" w:ascii="Times New Roman" w:hAnsi="Times New Roman" w:eastAsia="宋体" w:cs="Times New Roman"/>
                      <w:b/>
                      <w:i w:val="0"/>
                      <w:color w:val="auto"/>
                      <w14:ligatures w14:val="standardContextual"/>
                    </w:rPr>
                    <w:t>符合性</w:t>
                  </w:r>
                </w:p>
              </w:tc>
            </w:tr>
            <w:tr w14:paraId="744A50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8" w:hRule="atLeast"/>
                <w:jc w:val="center"/>
              </w:trPr>
              <w:tc>
                <w:tcPr>
                  <w:tcW w:w="378" w:type="pct"/>
                  <w:vMerge w:val="restart"/>
                  <w:vAlign w:val="center"/>
                </w:tcPr>
                <w:p w14:paraId="38D65088">
                  <w:pPr>
                    <w:widowControl w:val="0"/>
                    <w:overflowPunct w:val="0"/>
                    <w:autoSpaceDE w:val="0"/>
                    <w:autoSpaceDN w:val="0"/>
                    <w:snapToGrid w:val="0"/>
                    <w:jc w:val="center"/>
                    <w:rPr>
                      <w:color w:val="auto"/>
                      <w14:ligatures w14:val="standardContextual"/>
                    </w:rPr>
                  </w:pPr>
                  <w:r>
                    <w:rPr>
                      <w:color w:val="auto"/>
                      <w14:ligatures w14:val="standardContextual"/>
                    </w:rPr>
                    <w:t>空间布局约束</w:t>
                  </w:r>
                </w:p>
              </w:tc>
              <w:tc>
                <w:tcPr>
                  <w:tcW w:w="2522" w:type="pct"/>
                  <w:vAlign w:val="center"/>
                </w:tcPr>
                <w:p w14:paraId="10DC3A9D">
                  <w:pPr>
                    <w:widowControl w:val="0"/>
                    <w:overflowPunct w:val="0"/>
                    <w:autoSpaceDE w:val="0"/>
                    <w:autoSpaceDN w:val="0"/>
                    <w:snapToGrid w:val="0"/>
                    <w:jc w:val="center"/>
                    <w:rPr>
                      <w:color w:val="auto"/>
                      <w14:ligatures w14:val="standardContextual"/>
                    </w:rPr>
                  </w:pPr>
                  <w:r>
                    <w:rPr>
                      <w:rFonts w:hint="eastAsia"/>
                      <w:color w:val="auto"/>
                      <w14:ligatures w14:val="standardContextual"/>
                    </w:rPr>
                    <w:t>1.引进项目清洁生产水平须达到国内同行业先进水平。不得引进与园区产业定位不符的产业。</w:t>
                  </w:r>
                </w:p>
              </w:tc>
              <w:tc>
                <w:tcPr>
                  <w:tcW w:w="1543" w:type="pct"/>
                  <w:vAlign w:val="center"/>
                </w:tcPr>
                <w:p w14:paraId="2EF6D58D">
                  <w:pPr>
                    <w:widowControl w:val="0"/>
                    <w:overflowPunct w:val="0"/>
                    <w:autoSpaceDE w:val="0"/>
                    <w:autoSpaceDN w:val="0"/>
                    <w:snapToGrid w:val="0"/>
                    <w:jc w:val="center"/>
                    <w:rPr>
                      <w:color w:val="auto"/>
                      <w14:ligatures w14:val="standardContextual"/>
                    </w:rPr>
                  </w:pPr>
                  <w:r>
                    <w:rPr>
                      <w:rFonts w:hint="eastAsia"/>
                      <w:color w:val="auto"/>
                      <w14:ligatures w14:val="standardContextual"/>
                    </w:rPr>
                    <w:t>建筑垃圾处理行业尚未制定专门的清洁生产行业标准，项目营运期落实《建筑垃圾处理技术标准（CJJ/T134-2019）》中要求。</w:t>
                  </w:r>
                </w:p>
                <w:p w14:paraId="6BC15E44">
                  <w:pPr>
                    <w:widowControl w:val="0"/>
                    <w:overflowPunct w:val="0"/>
                    <w:autoSpaceDE w:val="0"/>
                    <w:autoSpaceDN w:val="0"/>
                    <w:snapToGrid w:val="0"/>
                    <w:jc w:val="center"/>
                    <w:rPr>
                      <w:color w:val="auto"/>
                      <w14:ligatures w14:val="standardContextual"/>
                    </w:rPr>
                  </w:pPr>
                  <w:r>
                    <w:rPr>
                      <w:rFonts w:hint="eastAsia"/>
                      <w:color w:val="auto"/>
                      <w14:ligatures w14:val="standardContextual"/>
                    </w:rPr>
                    <w:t>本项目属于服务产业，符合园区规划要求中的“加快规划建设配套服务系统”要求。</w:t>
                  </w:r>
                </w:p>
              </w:tc>
              <w:tc>
                <w:tcPr>
                  <w:tcW w:w="557" w:type="pct"/>
                  <w:vAlign w:val="center"/>
                </w:tcPr>
                <w:p w14:paraId="7447D4E0">
                  <w:pPr>
                    <w:widowControl w:val="0"/>
                    <w:overflowPunct w:val="0"/>
                    <w:autoSpaceDE w:val="0"/>
                    <w:autoSpaceDN w:val="0"/>
                    <w:snapToGrid w:val="0"/>
                    <w:jc w:val="center"/>
                    <w:rPr>
                      <w:color w:val="auto"/>
                      <w14:ligatures w14:val="standardContextual"/>
                    </w:rPr>
                  </w:pPr>
                  <w:r>
                    <w:rPr>
                      <w:rFonts w:hint="eastAsia"/>
                      <w:color w:val="auto"/>
                      <w14:ligatures w14:val="standardContextual"/>
                    </w:rPr>
                    <w:t>符合</w:t>
                  </w:r>
                </w:p>
              </w:tc>
            </w:tr>
            <w:tr w14:paraId="3AED8E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6" w:hRule="atLeast"/>
                <w:jc w:val="center"/>
              </w:trPr>
              <w:tc>
                <w:tcPr>
                  <w:tcW w:w="378" w:type="pct"/>
                  <w:vMerge w:val="continue"/>
                  <w:vAlign w:val="center"/>
                </w:tcPr>
                <w:p w14:paraId="6F52C6B7">
                  <w:pPr>
                    <w:widowControl w:val="0"/>
                    <w:overflowPunct w:val="0"/>
                    <w:autoSpaceDE w:val="0"/>
                    <w:autoSpaceDN w:val="0"/>
                    <w:snapToGrid w:val="0"/>
                    <w:jc w:val="center"/>
                    <w:rPr>
                      <w:color w:val="auto"/>
                      <w14:ligatures w14:val="standardContextual"/>
                    </w:rPr>
                  </w:pPr>
                </w:p>
              </w:tc>
              <w:tc>
                <w:tcPr>
                  <w:tcW w:w="2522" w:type="pct"/>
                  <w:vAlign w:val="center"/>
                </w:tcPr>
                <w:p w14:paraId="559E5C1B">
                  <w:pPr>
                    <w:widowControl w:val="0"/>
                    <w:overflowPunct w:val="0"/>
                    <w:autoSpaceDE w:val="0"/>
                    <w:autoSpaceDN w:val="0"/>
                    <w:snapToGrid w:val="0"/>
                    <w:jc w:val="center"/>
                    <w:rPr>
                      <w:color w:val="auto"/>
                      <w14:ligatures w14:val="standardContextual"/>
                    </w:rPr>
                  </w:pPr>
                  <w:r>
                    <w:rPr>
                      <w:rFonts w:hint="eastAsia"/>
                      <w:color w:val="auto"/>
                      <w14:ligatures w14:val="standardContextual"/>
                    </w:rPr>
                    <w:t>2. 居住用地周边严控布局潜在污染扰民和环境风险突出的建设项目。</w:t>
                  </w:r>
                </w:p>
              </w:tc>
              <w:tc>
                <w:tcPr>
                  <w:tcW w:w="1543" w:type="pct"/>
                  <w:vAlign w:val="center"/>
                </w:tcPr>
                <w:p w14:paraId="37405AF1">
                  <w:pPr>
                    <w:widowControl w:val="0"/>
                    <w:overflowPunct w:val="0"/>
                    <w:autoSpaceDE w:val="0"/>
                    <w:autoSpaceDN w:val="0"/>
                    <w:snapToGrid w:val="0"/>
                    <w:jc w:val="center"/>
                    <w:rPr>
                      <w:color w:val="auto"/>
                      <w14:ligatures w14:val="standardContextual"/>
                    </w:rPr>
                  </w:pPr>
                  <w:r>
                    <w:rPr>
                      <w:rFonts w:hint="eastAsia"/>
                      <w:color w:val="auto"/>
                      <w14:ligatures w14:val="standardContextual"/>
                    </w:rPr>
                    <w:t>本项目周边500米内无居住用地。</w:t>
                  </w:r>
                </w:p>
              </w:tc>
              <w:tc>
                <w:tcPr>
                  <w:tcW w:w="557" w:type="pct"/>
                  <w:vAlign w:val="center"/>
                </w:tcPr>
                <w:p w14:paraId="65A25352">
                  <w:pPr>
                    <w:widowControl w:val="0"/>
                    <w:overflowPunct w:val="0"/>
                    <w:autoSpaceDE w:val="0"/>
                    <w:autoSpaceDN w:val="0"/>
                    <w:snapToGrid w:val="0"/>
                    <w:jc w:val="center"/>
                    <w:rPr>
                      <w:color w:val="auto"/>
                      <w14:ligatures w14:val="standardContextual"/>
                    </w:rPr>
                  </w:pPr>
                  <w:r>
                    <w:rPr>
                      <w:rFonts w:hint="eastAsia"/>
                      <w:color w:val="auto"/>
                      <w14:ligatures w14:val="standardContextual"/>
                    </w:rPr>
                    <w:t>符合</w:t>
                  </w:r>
                </w:p>
              </w:tc>
            </w:tr>
            <w:tr w14:paraId="167E7F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6" w:hRule="atLeast"/>
                <w:jc w:val="center"/>
              </w:trPr>
              <w:tc>
                <w:tcPr>
                  <w:tcW w:w="378" w:type="pct"/>
                  <w:vMerge w:val="continue"/>
                  <w:vAlign w:val="center"/>
                </w:tcPr>
                <w:p w14:paraId="5D39B9A7">
                  <w:pPr>
                    <w:widowControl w:val="0"/>
                    <w:overflowPunct w:val="0"/>
                    <w:autoSpaceDE w:val="0"/>
                    <w:autoSpaceDN w:val="0"/>
                    <w:snapToGrid w:val="0"/>
                    <w:jc w:val="center"/>
                    <w:rPr>
                      <w:color w:val="auto"/>
                      <w14:ligatures w14:val="standardContextual"/>
                    </w:rPr>
                  </w:pPr>
                </w:p>
              </w:tc>
              <w:tc>
                <w:tcPr>
                  <w:tcW w:w="2522" w:type="pct"/>
                  <w:vAlign w:val="center"/>
                </w:tcPr>
                <w:p w14:paraId="0A941E6D">
                  <w:pPr>
                    <w:widowControl w:val="0"/>
                    <w:overflowPunct w:val="0"/>
                    <w:autoSpaceDE w:val="0"/>
                    <w:autoSpaceDN w:val="0"/>
                    <w:snapToGrid w:val="0"/>
                    <w:jc w:val="center"/>
                    <w:rPr>
                      <w:color w:val="auto"/>
                      <w14:ligatures w14:val="standardContextual"/>
                    </w:rPr>
                  </w:pPr>
                  <w:r>
                    <w:rPr>
                      <w:rFonts w:hint="eastAsia"/>
                      <w:color w:val="auto"/>
                      <w14:ligatures w14:val="standardContextual"/>
                    </w:rPr>
                    <w:t>3．严格“两高”建设项目环境准入，新建、改建、扩建“两高”项目须符合生态环境保护法律法规和相关法定规划，满足重点污染物总量控制、相关规划环评和相应行业建设项目环境准入条件等要求。</w:t>
                  </w:r>
                </w:p>
              </w:tc>
              <w:tc>
                <w:tcPr>
                  <w:tcW w:w="1543" w:type="pct"/>
                  <w:vAlign w:val="center"/>
                </w:tcPr>
                <w:p w14:paraId="6F5FFE82">
                  <w:pPr>
                    <w:widowControl w:val="0"/>
                    <w:overflowPunct w:val="0"/>
                    <w:autoSpaceDE w:val="0"/>
                    <w:autoSpaceDN w:val="0"/>
                    <w:snapToGrid w:val="0"/>
                    <w:jc w:val="center"/>
                    <w:rPr>
                      <w:color w:val="auto"/>
                      <w14:ligatures w14:val="standardContextual"/>
                    </w:rPr>
                  </w:pPr>
                  <w:r>
                    <w:rPr>
                      <w:rFonts w:hint="eastAsia"/>
                      <w:color w:val="auto"/>
                      <w14:ligatures w14:val="standardContextual"/>
                    </w:rPr>
                    <w:t>本项目不属于“两高”建设项目。</w:t>
                  </w:r>
                </w:p>
              </w:tc>
              <w:tc>
                <w:tcPr>
                  <w:tcW w:w="557" w:type="pct"/>
                  <w:vAlign w:val="center"/>
                </w:tcPr>
                <w:p w14:paraId="50B3A2EF">
                  <w:pPr>
                    <w:widowControl w:val="0"/>
                    <w:overflowPunct w:val="0"/>
                    <w:autoSpaceDE w:val="0"/>
                    <w:autoSpaceDN w:val="0"/>
                    <w:snapToGrid w:val="0"/>
                    <w:jc w:val="center"/>
                    <w:rPr>
                      <w:color w:val="auto"/>
                      <w14:ligatures w14:val="standardContextual"/>
                    </w:rPr>
                  </w:pPr>
                  <w:r>
                    <w:rPr>
                      <w:rFonts w:hint="eastAsia"/>
                      <w:color w:val="auto"/>
                      <w14:ligatures w14:val="standardContextual"/>
                    </w:rPr>
                    <w:t>符合</w:t>
                  </w:r>
                </w:p>
              </w:tc>
            </w:tr>
            <w:tr w14:paraId="7639DC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6" w:hRule="atLeast"/>
                <w:jc w:val="center"/>
              </w:trPr>
              <w:tc>
                <w:tcPr>
                  <w:tcW w:w="378" w:type="pct"/>
                  <w:vMerge w:val="continue"/>
                  <w:vAlign w:val="center"/>
                </w:tcPr>
                <w:p w14:paraId="469180A7">
                  <w:pPr>
                    <w:widowControl w:val="0"/>
                    <w:overflowPunct w:val="0"/>
                    <w:autoSpaceDE w:val="0"/>
                    <w:autoSpaceDN w:val="0"/>
                    <w:snapToGrid w:val="0"/>
                    <w:jc w:val="center"/>
                    <w:rPr>
                      <w:color w:val="auto"/>
                      <w14:ligatures w14:val="standardContextual"/>
                    </w:rPr>
                  </w:pPr>
                </w:p>
              </w:tc>
              <w:tc>
                <w:tcPr>
                  <w:tcW w:w="2522" w:type="pct"/>
                  <w:vAlign w:val="center"/>
                </w:tcPr>
                <w:p w14:paraId="57015CFC">
                  <w:pPr>
                    <w:widowControl w:val="0"/>
                    <w:overflowPunct w:val="0"/>
                    <w:autoSpaceDE w:val="0"/>
                    <w:autoSpaceDN w:val="0"/>
                    <w:snapToGrid w:val="0"/>
                    <w:jc w:val="center"/>
                    <w:rPr>
                      <w:color w:val="auto"/>
                      <w14:ligatures w14:val="standardContextual"/>
                    </w:rPr>
                  </w:pPr>
                  <w:r>
                    <w:rPr>
                      <w:rFonts w:hint="eastAsia"/>
                      <w:color w:val="auto"/>
                      <w14:ligatures w14:val="standardContextual"/>
                    </w:rPr>
                    <w:t>4. 园区产业准入执行《广西壮族自治区人民政府办公厅关于印发北钦防一体化产业协同发展限制布局清单（工业类 2021年版）的通知》（桂政办函〔2021〕4号）要求，限制新建水泥制造、建筑陶瓷制品制造、制革及毛皮加工等工业项目。</w:t>
                  </w:r>
                </w:p>
              </w:tc>
              <w:tc>
                <w:tcPr>
                  <w:tcW w:w="1543" w:type="pct"/>
                  <w:vAlign w:val="center"/>
                </w:tcPr>
                <w:p w14:paraId="6A5912F9">
                  <w:pPr>
                    <w:widowControl w:val="0"/>
                    <w:overflowPunct w:val="0"/>
                    <w:autoSpaceDE w:val="0"/>
                    <w:autoSpaceDN w:val="0"/>
                    <w:snapToGrid w:val="0"/>
                    <w:jc w:val="center"/>
                    <w:rPr>
                      <w:color w:val="auto"/>
                      <w14:ligatures w14:val="standardContextual"/>
                    </w:rPr>
                  </w:pPr>
                  <w:r>
                    <w:rPr>
                      <w:rFonts w:hint="eastAsia"/>
                      <w:color w:val="auto"/>
                      <w14:ligatures w14:val="standardContextual"/>
                    </w:rPr>
                    <w:t>本项目不属于桂政办函2021〕4号文的限制工业。不属于水泥制品、建筑陶瓷制品制造、制革及毛皮加工等工业项目。</w:t>
                  </w:r>
                </w:p>
              </w:tc>
              <w:tc>
                <w:tcPr>
                  <w:tcW w:w="557" w:type="pct"/>
                  <w:vAlign w:val="center"/>
                </w:tcPr>
                <w:p w14:paraId="406C3D11">
                  <w:pPr>
                    <w:widowControl w:val="0"/>
                    <w:overflowPunct w:val="0"/>
                    <w:autoSpaceDE w:val="0"/>
                    <w:autoSpaceDN w:val="0"/>
                    <w:snapToGrid w:val="0"/>
                    <w:jc w:val="center"/>
                    <w:rPr>
                      <w:color w:val="auto"/>
                      <w14:ligatures w14:val="standardContextual"/>
                    </w:rPr>
                  </w:pPr>
                  <w:r>
                    <w:rPr>
                      <w:rFonts w:hint="eastAsia"/>
                      <w:color w:val="auto"/>
                      <w14:ligatures w14:val="standardContextual"/>
                    </w:rPr>
                    <w:t>符合</w:t>
                  </w:r>
                </w:p>
              </w:tc>
            </w:tr>
            <w:tr w14:paraId="4E783C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6" w:hRule="atLeast"/>
                <w:jc w:val="center"/>
              </w:trPr>
              <w:tc>
                <w:tcPr>
                  <w:tcW w:w="378" w:type="pct"/>
                  <w:vMerge w:val="continue"/>
                  <w:vAlign w:val="center"/>
                </w:tcPr>
                <w:p w14:paraId="479FEEF7">
                  <w:pPr>
                    <w:widowControl w:val="0"/>
                    <w:overflowPunct w:val="0"/>
                    <w:autoSpaceDE w:val="0"/>
                    <w:autoSpaceDN w:val="0"/>
                    <w:snapToGrid w:val="0"/>
                    <w:jc w:val="center"/>
                    <w:rPr>
                      <w:color w:val="auto"/>
                      <w14:ligatures w14:val="standardContextual"/>
                    </w:rPr>
                  </w:pPr>
                </w:p>
              </w:tc>
              <w:tc>
                <w:tcPr>
                  <w:tcW w:w="2522" w:type="pct"/>
                  <w:vAlign w:val="center"/>
                </w:tcPr>
                <w:p w14:paraId="5D9F4D6D">
                  <w:pPr>
                    <w:widowControl w:val="0"/>
                    <w:overflowPunct w:val="0"/>
                    <w:autoSpaceDE w:val="0"/>
                    <w:autoSpaceDN w:val="0"/>
                    <w:snapToGrid w:val="0"/>
                    <w:jc w:val="center"/>
                    <w:rPr>
                      <w:color w:val="auto"/>
                      <w14:ligatures w14:val="standardContextual"/>
                    </w:rPr>
                  </w:pPr>
                  <w:r>
                    <w:rPr>
                      <w:rFonts w:hint="eastAsia"/>
                      <w:color w:val="auto"/>
                      <w14:ligatures w14:val="standardContextual"/>
                    </w:rPr>
                    <w:t>5．严格执行危险化学品“禁限控”目录，新建危险化学品生产项目必须进入一般或较低安全风险等级的化工园区。</w:t>
                  </w:r>
                </w:p>
              </w:tc>
              <w:tc>
                <w:tcPr>
                  <w:tcW w:w="1543" w:type="pct"/>
                  <w:vAlign w:val="center"/>
                </w:tcPr>
                <w:p w14:paraId="436A2451">
                  <w:pPr>
                    <w:widowControl w:val="0"/>
                    <w:overflowPunct w:val="0"/>
                    <w:autoSpaceDE w:val="0"/>
                    <w:autoSpaceDN w:val="0"/>
                    <w:snapToGrid w:val="0"/>
                    <w:jc w:val="center"/>
                    <w:rPr>
                      <w:color w:val="auto"/>
                      <w14:ligatures w14:val="standardContextual"/>
                    </w:rPr>
                  </w:pPr>
                  <w:r>
                    <w:rPr>
                      <w:rFonts w:hint="eastAsia"/>
                      <w:color w:val="auto"/>
                      <w14:ligatures w14:val="standardContextual"/>
                    </w:rPr>
                    <w:t>本项目不涉及危险化学品。</w:t>
                  </w:r>
                </w:p>
              </w:tc>
              <w:tc>
                <w:tcPr>
                  <w:tcW w:w="557" w:type="pct"/>
                  <w:vAlign w:val="center"/>
                </w:tcPr>
                <w:p w14:paraId="5A000979">
                  <w:pPr>
                    <w:widowControl w:val="0"/>
                    <w:overflowPunct w:val="0"/>
                    <w:autoSpaceDE w:val="0"/>
                    <w:autoSpaceDN w:val="0"/>
                    <w:snapToGrid w:val="0"/>
                    <w:jc w:val="center"/>
                    <w:rPr>
                      <w:color w:val="auto"/>
                      <w14:ligatures w14:val="standardContextual"/>
                    </w:rPr>
                  </w:pPr>
                  <w:r>
                    <w:rPr>
                      <w:rFonts w:hint="eastAsia"/>
                      <w:color w:val="auto"/>
                      <w14:ligatures w14:val="standardContextual"/>
                    </w:rPr>
                    <w:t>符合</w:t>
                  </w:r>
                </w:p>
              </w:tc>
            </w:tr>
            <w:tr w14:paraId="7A529C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6" w:hRule="atLeast"/>
                <w:jc w:val="center"/>
              </w:trPr>
              <w:tc>
                <w:tcPr>
                  <w:tcW w:w="378" w:type="pct"/>
                  <w:vMerge w:val="continue"/>
                  <w:vAlign w:val="center"/>
                </w:tcPr>
                <w:p w14:paraId="5DC4013C">
                  <w:pPr>
                    <w:widowControl w:val="0"/>
                    <w:overflowPunct w:val="0"/>
                    <w:autoSpaceDE w:val="0"/>
                    <w:autoSpaceDN w:val="0"/>
                    <w:snapToGrid w:val="0"/>
                    <w:jc w:val="center"/>
                    <w:rPr>
                      <w:color w:val="auto"/>
                      <w14:ligatures w14:val="standardContextual"/>
                    </w:rPr>
                  </w:pPr>
                </w:p>
              </w:tc>
              <w:tc>
                <w:tcPr>
                  <w:tcW w:w="2522" w:type="pct"/>
                  <w:vAlign w:val="center"/>
                </w:tcPr>
                <w:p w14:paraId="43704113">
                  <w:pPr>
                    <w:widowControl w:val="0"/>
                    <w:overflowPunct w:val="0"/>
                    <w:autoSpaceDE w:val="0"/>
                    <w:autoSpaceDN w:val="0"/>
                    <w:snapToGrid w:val="0"/>
                    <w:jc w:val="center"/>
                    <w:rPr>
                      <w:color w:val="auto"/>
                      <w14:ligatures w14:val="standardContextual"/>
                    </w:rPr>
                  </w:pPr>
                  <w:r>
                    <w:rPr>
                      <w:rFonts w:hint="eastAsia"/>
                      <w:color w:val="auto"/>
                      <w14:ligatures w14:val="standardContextual"/>
                    </w:rPr>
                    <w:t>6．园区周边1公里范围内临近生态保护红线（广西茅尾海红树林自治区级自然保护区）以及金窝水库饮用水水源保护区生态环境敏感区域，应优化产业布局，控制开发强度，新建、改建、扩建项目要采取切实可行的环保措施，降低对周边生态环境敏感区域的影响。</w:t>
                  </w:r>
                </w:p>
              </w:tc>
              <w:tc>
                <w:tcPr>
                  <w:tcW w:w="1543" w:type="pct"/>
                  <w:vAlign w:val="center"/>
                </w:tcPr>
                <w:p w14:paraId="447D4D6B">
                  <w:pPr>
                    <w:widowControl w:val="0"/>
                    <w:overflowPunct w:val="0"/>
                    <w:autoSpaceDE w:val="0"/>
                    <w:autoSpaceDN w:val="0"/>
                    <w:snapToGrid w:val="0"/>
                    <w:jc w:val="center"/>
                    <w:rPr>
                      <w:color w:val="auto"/>
                      <w14:ligatures w14:val="standardContextual"/>
                    </w:rPr>
                  </w:pPr>
                  <w:r>
                    <w:rPr>
                      <w:rFonts w:hint="eastAsia"/>
                      <w:color w:val="auto"/>
                      <w14:ligatures w14:val="standardContextual"/>
                    </w:rPr>
                    <w:t>本项目不涉及。</w:t>
                  </w:r>
                </w:p>
              </w:tc>
              <w:tc>
                <w:tcPr>
                  <w:tcW w:w="557" w:type="pct"/>
                  <w:vAlign w:val="center"/>
                </w:tcPr>
                <w:p w14:paraId="160FE1B5">
                  <w:pPr>
                    <w:widowControl w:val="0"/>
                    <w:overflowPunct w:val="0"/>
                    <w:autoSpaceDE w:val="0"/>
                    <w:autoSpaceDN w:val="0"/>
                    <w:snapToGrid w:val="0"/>
                    <w:jc w:val="center"/>
                    <w:rPr>
                      <w:color w:val="auto"/>
                      <w14:ligatures w14:val="standardContextual"/>
                    </w:rPr>
                  </w:pPr>
                  <w:r>
                    <w:rPr>
                      <w:rFonts w:hint="eastAsia"/>
                      <w:color w:val="auto"/>
                      <w14:ligatures w14:val="standardContextual"/>
                    </w:rPr>
                    <w:t>符合</w:t>
                  </w:r>
                </w:p>
              </w:tc>
            </w:tr>
            <w:tr w14:paraId="44DE7A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78" w:type="pct"/>
                  <w:vMerge w:val="restart"/>
                  <w:vAlign w:val="center"/>
                </w:tcPr>
                <w:p w14:paraId="4108F74A">
                  <w:pPr>
                    <w:widowControl w:val="0"/>
                    <w:overflowPunct w:val="0"/>
                    <w:autoSpaceDE w:val="0"/>
                    <w:autoSpaceDN w:val="0"/>
                    <w:snapToGrid w:val="0"/>
                    <w:jc w:val="center"/>
                    <w:rPr>
                      <w:color w:val="auto"/>
                      <w14:ligatures w14:val="standardContextual"/>
                    </w:rPr>
                  </w:pPr>
                  <w:r>
                    <w:rPr>
                      <w:color w:val="auto"/>
                      <w14:ligatures w14:val="standardContextual"/>
                    </w:rPr>
                    <w:t>污染物排放管控</w:t>
                  </w:r>
                </w:p>
              </w:tc>
              <w:tc>
                <w:tcPr>
                  <w:tcW w:w="2522" w:type="pct"/>
                  <w:vAlign w:val="center"/>
                </w:tcPr>
                <w:p w14:paraId="1003AB47">
                  <w:pPr>
                    <w:widowControl w:val="0"/>
                    <w:overflowPunct w:val="0"/>
                    <w:autoSpaceDE w:val="0"/>
                    <w:autoSpaceDN w:val="0"/>
                    <w:snapToGrid w:val="0"/>
                    <w:jc w:val="center"/>
                    <w:rPr>
                      <w:color w:val="auto"/>
                      <w14:ligatures w14:val="standardContextual"/>
                    </w:rPr>
                  </w:pPr>
                  <w:r>
                    <w:rPr>
                      <w:rFonts w:hint="eastAsia"/>
                      <w:color w:val="auto"/>
                      <w14:ligatures w14:val="standardContextual"/>
                    </w:rPr>
                    <w:t>1．持续推进石化、化工等行业节能降碳改造；推动石化、化工等重点行业挥发性有机物（VOCs）污染防治。推动石化行业VOCs泄漏检测与修复行动、VOCs削减和有毒有害原料替代。</w:t>
                  </w:r>
                </w:p>
              </w:tc>
              <w:tc>
                <w:tcPr>
                  <w:tcW w:w="1543" w:type="pct"/>
                  <w:vAlign w:val="center"/>
                </w:tcPr>
                <w:p w14:paraId="77CE6AA7">
                  <w:pPr>
                    <w:widowControl w:val="0"/>
                    <w:overflowPunct w:val="0"/>
                    <w:autoSpaceDE w:val="0"/>
                    <w:autoSpaceDN w:val="0"/>
                    <w:snapToGrid w:val="0"/>
                    <w:jc w:val="center"/>
                    <w:rPr>
                      <w:color w:val="auto"/>
                      <w14:ligatures w14:val="standardContextual"/>
                    </w:rPr>
                  </w:pPr>
                  <w:r>
                    <w:rPr>
                      <w:rFonts w:hint="eastAsia"/>
                      <w:color w:val="auto"/>
                      <w14:ligatures w14:val="standardContextual"/>
                    </w:rPr>
                    <w:t>本项目不属于石化、化工等重点行业，不涉及挥发性有机物。</w:t>
                  </w:r>
                </w:p>
              </w:tc>
              <w:tc>
                <w:tcPr>
                  <w:tcW w:w="557" w:type="pct"/>
                  <w:vAlign w:val="center"/>
                </w:tcPr>
                <w:p w14:paraId="3A0D9B48">
                  <w:pPr>
                    <w:widowControl w:val="0"/>
                    <w:overflowPunct w:val="0"/>
                    <w:autoSpaceDE w:val="0"/>
                    <w:autoSpaceDN w:val="0"/>
                    <w:snapToGrid w:val="0"/>
                    <w:jc w:val="center"/>
                    <w:rPr>
                      <w:color w:val="auto"/>
                      <w14:ligatures w14:val="standardContextual"/>
                    </w:rPr>
                  </w:pPr>
                  <w:r>
                    <w:rPr>
                      <w:rFonts w:hint="eastAsia"/>
                      <w:color w:val="auto"/>
                      <w14:ligatures w14:val="standardContextual"/>
                    </w:rPr>
                    <w:t>符合</w:t>
                  </w:r>
                </w:p>
              </w:tc>
            </w:tr>
            <w:tr w14:paraId="7BA1EC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78" w:type="pct"/>
                  <w:vMerge w:val="continue"/>
                  <w:vAlign w:val="center"/>
                </w:tcPr>
                <w:p w14:paraId="26193D13">
                  <w:pPr>
                    <w:widowControl w:val="0"/>
                    <w:overflowPunct w:val="0"/>
                    <w:autoSpaceDE w:val="0"/>
                    <w:autoSpaceDN w:val="0"/>
                    <w:snapToGrid w:val="0"/>
                    <w:jc w:val="center"/>
                    <w:rPr>
                      <w:color w:val="auto"/>
                      <w14:ligatures w14:val="standardContextual"/>
                    </w:rPr>
                  </w:pPr>
                </w:p>
              </w:tc>
              <w:tc>
                <w:tcPr>
                  <w:tcW w:w="2522" w:type="pct"/>
                  <w:vAlign w:val="center"/>
                </w:tcPr>
                <w:p w14:paraId="3148C364">
                  <w:pPr>
                    <w:widowControl w:val="0"/>
                    <w:overflowPunct w:val="0"/>
                    <w:autoSpaceDE w:val="0"/>
                    <w:autoSpaceDN w:val="0"/>
                    <w:snapToGrid w:val="0"/>
                    <w:jc w:val="center"/>
                    <w:rPr>
                      <w:color w:val="auto"/>
                      <w14:ligatures w14:val="standardContextual"/>
                    </w:rPr>
                  </w:pPr>
                  <w:r>
                    <w:rPr>
                      <w:rFonts w:hint="eastAsia"/>
                      <w:color w:val="auto"/>
                      <w14:ligatures w14:val="standardContextual"/>
                    </w:rPr>
                    <w:t>2．石化行业全面推进行业达标排放改造，新建、改建、扩建涉及重点重金属排放建设项目依照相关规定实行总量控制。</w:t>
                  </w:r>
                </w:p>
              </w:tc>
              <w:tc>
                <w:tcPr>
                  <w:tcW w:w="1543" w:type="pct"/>
                  <w:vAlign w:val="center"/>
                </w:tcPr>
                <w:p w14:paraId="4F7CA3BA">
                  <w:pPr>
                    <w:widowControl w:val="0"/>
                    <w:overflowPunct w:val="0"/>
                    <w:autoSpaceDE w:val="0"/>
                    <w:autoSpaceDN w:val="0"/>
                    <w:snapToGrid w:val="0"/>
                    <w:jc w:val="center"/>
                    <w:rPr>
                      <w:color w:val="auto"/>
                      <w14:ligatures w14:val="standardContextual"/>
                    </w:rPr>
                  </w:pPr>
                  <w:r>
                    <w:rPr>
                      <w:rFonts w:hint="eastAsia"/>
                      <w:color w:val="auto"/>
                      <w14:ligatures w14:val="standardContextual"/>
                    </w:rPr>
                    <w:t>本项目不属于石化行业，不涉及重金属排放。</w:t>
                  </w:r>
                </w:p>
              </w:tc>
              <w:tc>
                <w:tcPr>
                  <w:tcW w:w="557" w:type="pct"/>
                  <w:vAlign w:val="center"/>
                </w:tcPr>
                <w:p w14:paraId="37F10B24">
                  <w:pPr>
                    <w:widowControl w:val="0"/>
                    <w:overflowPunct w:val="0"/>
                    <w:autoSpaceDE w:val="0"/>
                    <w:autoSpaceDN w:val="0"/>
                    <w:snapToGrid w:val="0"/>
                    <w:jc w:val="center"/>
                    <w:rPr>
                      <w:color w:val="auto"/>
                      <w14:ligatures w14:val="standardContextual"/>
                    </w:rPr>
                  </w:pPr>
                  <w:r>
                    <w:rPr>
                      <w:rFonts w:hint="eastAsia"/>
                      <w:color w:val="auto"/>
                      <w14:ligatures w14:val="standardContextual"/>
                    </w:rPr>
                    <w:t>符合</w:t>
                  </w:r>
                </w:p>
              </w:tc>
            </w:tr>
            <w:tr w14:paraId="6D1F55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78" w:type="pct"/>
                  <w:vMerge w:val="continue"/>
                  <w:vAlign w:val="center"/>
                </w:tcPr>
                <w:p w14:paraId="0DFE246A">
                  <w:pPr>
                    <w:widowControl w:val="0"/>
                    <w:overflowPunct w:val="0"/>
                    <w:autoSpaceDE w:val="0"/>
                    <w:autoSpaceDN w:val="0"/>
                    <w:snapToGrid w:val="0"/>
                    <w:jc w:val="center"/>
                    <w:rPr>
                      <w:color w:val="auto"/>
                      <w14:ligatures w14:val="standardContextual"/>
                    </w:rPr>
                  </w:pPr>
                </w:p>
              </w:tc>
              <w:tc>
                <w:tcPr>
                  <w:tcW w:w="2522" w:type="pct"/>
                  <w:vAlign w:val="center"/>
                </w:tcPr>
                <w:p w14:paraId="69C7BBF7">
                  <w:pPr>
                    <w:widowControl w:val="0"/>
                    <w:overflowPunct w:val="0"/>
                    <w:autoSpaceDE w:val="0"/>
                    <w:autoSpaceDN w:val="0"/>
                    <w:snapToGrid w:val="0"/>
                    <w:jc w:val="center"/>
                    <w:rPr>
                      <w:color w:val="auto"/>
                      <w14:ligatures w14:val="standardContextual"/>
                    </w:rPr>
                  </w:pPr>
                  <w:r>
                    <w:rPr>
                      <w:rFonts w:hint="eastAsia"/>
                      <w:color w:val="auto"/>
                      <w14:ligatures w14:val="standardContextual"/>
                    </w:rPr>
                    <w:t>3．完善工业园区污水集中处理设施和配套管网。实行“清污分流、雨污分流”，实现废水分类收集、分质处理，入园企业应在达到国家或地方规定的排放标准后接入集中式污水处理设施处理，园区集中式污水处理设施总排口应安装自动监控系统、视频监控系统，并与生态环境主管部门联网。加快推进深海排放基础设施建设。</w:t>
                  </w:r>
                </w:p>
              </w:tc>
              <w:tc>
                <w:tcPr>
                  <w:tcW w:w="1543" w:type="pct"/>
                  <w:vAlign w:val="center"/>
                </w:tcPr>
                <w:p w14:paraId="2E82DB2F">
                  <w:pPr>
                    <w:widowControl w:val="0"/>
                    <w:overflowPunct w:val="0"/>
                    <w:autoSpaceDE w:val="0"/>
                    <w:autoSpaceDN w:val="0"/>
                    <w:snapToGrid w:val="0"/>
                    <w:jc w:val="center"/>
                    <w:rPr>
                      <w:color w:val="auto"/>
                      <w14:ligatures w14:val="standardContextual"/>
                    </w:rPr>
                  </w:pPr>
                  <w:r>
                    <w:rPr>
                      <w:rFonts w:hint="eastAsia"/>
                      <w:color w:val="auto"/>
                      <w14:ligatures w14:val="standardContextual"/>
                    </w:rPr>
                    <w:t>本项目排水采用雨污分流制。喷雾除尘废水全部蒸发消耗无外排；车辆清洗废水经沉淀池收集沉淀后循环使用，不外排；初期雨水经沉淀池收集沉淀处理后用于场地洒水抑尘，不外排。生活污水经化粪池处理后排入园区市政污水管网，最终进入大榄坪污水处理厂处理。</w:t>
                  </w:r>
                </w:p>
              </w:tc>
              <w:tc>
                <w:tcPr>
                  <w:tcW w:w="557" w:type="pct"/>
                  <w:vAlign w:val="center"/>
                </w:tcPr>
                <w:p w14:paraId="3A2C0BA6">
                  <w:pPr>
                    <w:widowControl w:val="0"/>
                    <w:overflowPunct w:val="0"/>
                    <w:autoSpaceDE w:val="0"/>
                    <w:autoSpaceDN w:val="0"/>
                    <w:snapToGrid w:val="0"/>
                    <w:jc w:val="center"/>
                    <w:rPr>
                      <w:color w:val="auto"/>
                      <w14:ligatures w14:val="standardContextual"/>
                    </w:rPr>
                  </w:pPr>
                  <w:r>
                    <w:rPr>
                      <w:rFonts w:hint="eastAsia"/>
                      <w:color w:val="auto"/>
                      <w14:ligatures w14:val="standardContextual"/>
                    </w:rPr>
                    <w:t>符合</w:t>
                  </w:r>
                </w:p>
              </w:tc>
            </w:tr>
            <w:tr w14:paraId="3DCF86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78" w:type="pct"/>
                  <w:vMerge w:val="continue"/>
                  <w:vAlign w:val="center"/>
                </w:tcPr>
                <w:p w14:paraId="661F9E2F">
                  <w:pPr>
                    <w:widowControl w:val="0"/>
                    <w:overflowPunct w:val="0"/>
                    <w:autoSpaceDE w:val="0"/>
                    <w:autoSpaceDN w:val="0"/>
                    <w:snapToGrid w:val="0"/>
                    <w:jc w:val="center"/>
                    <w:rPr>
                      <w:color w:val="auto"/>
                      <w14:ligatures w14:val="standardContextual"/>
                    </w:rPr>
                  </w:pPr>
                </w:p>
              </w:tc>
              <w:tc>
                <w:tcPr>
                  <w:tcW w:w="2522" w:type="pct"/>
                  <w:vAlign w:val="center"/>
                </w:tcPr>
                <w:p w14:paraId="660461FD">
                  <w:pPr>
                    <w:widowControl w:val="0"/>
                    <w:overflowPunct w:val="0"/>
                    <w:autoSpaceDE w:val="0"/>
                    <w:autoSpaceDN w:val="0"/>
                    <w:snapToGrid w:val="0"/>
                    <w:jc w:val="center"/>
                    <w:rPr>
                      <w:color w:val="auto"/>
                      <w14:ligatures w14:val="standardContextual"/>
                    </w:rPr>
                  </w:pPr>
                  <w:r>
                    <w:rPr>
                      <w:rFonts w:hint="eastAsia"/>
                      <w:color w:val="auto"/>
                      <w14:ligatures w14:val="standardContextual"/>
                    </w:rPr>
                    <w:t>4．加强园区无组织废气排放管理。</w:t>
                  </w:r>
                </w:p>
              </w:tc>
              <w:tc>
                <w:tcPr>
                  <w:tcW w:w="1543" w:type="pct"/>
                  <w:vAlign w:val="center"/>
                </w:tcPr>
                <w:p w14:paraId="51301CD9">
                  <w:pPr>
                    <w:widowControl w:val="0"/>
                    <w:overflowPunct w:val="0"/>
                    <w:autoSpaceDE w:val="0"/>
                    <w:autoSpaceDN w:val="0"/>
                    <w:snapToGrid w:val="0"/>
                    <w:jc w:val="center"/>
                    <w:rPr>
                      <w:color w:val="auto"/>
                      <w14:ligatures w14:val="standardContextual"/>
                    </w:rPr>
                  </w:pPr>
                  <w:r>
                    <w:rPr>
                      <w:rFonts w:hint="eastAsia"/>
                      <w:color w:val="auto"/>
                      <w14:ligatures w14:val="standardContextual"/>
                    </w:rPr>
                    <w:t>本项目从严进行无组织粉尘管理。</w:t>
                  </w:r>
                </w:p>
              </w:tc>
              <w:tc>
                <w:tcPr>
                  <w:tcW w:w="557" w:type="pct"/>
                  <w:vAlign w:val="center"/>
                </w:tcPr>
                <w:p w14:paraId="7892010A">
                  <w:pPr>
                    <w:widowControl w:val="0"/>
                    <w:overflowPunct w:val="0"/>
                    <w:autoSpaceDE w:val="0"/>
                    <w:autoSpaceDN w:val="0"/>
                    <w:snapToGrid w:val="0"/>
                    <w:jc w:val="center"/>
                    <w:rPr>
                      <w:color w:val="auto"/>
                      <w14:ligatures w14:val="standardContextual"/>
                    </w:rPr>
                  </w:pPr>
                  <w:r>
                    <w:rPr>
                      <w:rFonts w:hint="eastAsia"/>
                      <w:color w:val="auto"/>
                      <w14:ligatures w14:val="standardContextual"/>
                    </w:rPr>
                    <w:t>符合</w:t>
                  </w:r>
                </w:p>
              </w:tc>
            </w:tr>
            <w:tr w14:paraId="4A1CC8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78" w:type="pct"/>
                  <w:vMerge w:val="continue"/>
                  <w:vAlign w:val="center"/>
                </w:tcPr>
                <w:p w14:paraId="3EC0DAE1">
                  <w:pPr>
                    <w:widowControl w:val="0"/>
                    <w:overflowPunct w:val="0"/>
                    <w:autoSpaceDE w:val="0"/>
                    <w:autoSpaceDN w:val="0"/>
                    <w:snapToGrid w:val="0"/>
                    <w:jc w:val="center"/>
                    <w:rPr>
                      <w:color w:val="auto"/>
                      <w14:ligatures w14:val="standardContextual"/>
                    </w:rPr>
                  </w:pPr>
                </w:p>
              </w:tc>
              <w:tc>
                <w:tcPr>
                  <w:tcW w:w="2522" w:type="pct"/>
                  <w:vAlign w:val="center"/>
                </w:tcPr>
                <w:p w14:paraId="0799B558">
                  <w:pPr>
                    <w:widowControl w:val="0"/>
                    <w:overflowPunct w:val="0"/>
                    <w:autoSpaceDE w:val="0"/>
                    <w:autoSpaceDN w:val="0"/>
                    <w:snapToGrid w:val="0"/>
                    <w:jc w:val="center"/>
                    <w:rPr>
                      <w:color w:val="auto"/>
                      <w14:ligatures w14:val="standardContextual"/>
                    </w:rPr>
                  </w:pPr>
                  <w:r>
                    <w:rPr>
                      <w:rFonts w:hint="eastAsia"/>
                      <w:color w:val="auto"/>
                      <w14:ligatures w14:val="standardContextual"/>
                    </w:rPr>
                    <w:t>5．强化固体废物减量化、资源化和无害化控制原则处置，尽量实现废物的综合利用，危险废物应交由有危废处理资质的单位进行安全处置。</w:t>
                  </w:r>
                </w:p>
              </w:tc>
              <w:tc>
                <w:tcPr>
                  <w:tcW w:w="1543" w:type="pct"/>
                  <w:vAlign w:val="center"/>
                </w:tcPr>
                <w:p w14:paraId="2ECEAF03">
                  <w:pPr>
                    <w:widowControl w:val="0"/>
                    <w:overflowPunct w:val="0"/>
                    <w:autoSpaceDE w:val="0"/>
                    <w:autoSpaceDN w:val="0"/>
                    <w:snapToGrid w:val="0"/>
                    <w:jc w:val="center"/>
                    <w:rPr>
                      <w:color w:val="auto"/>
                      <w14:ligatures w14:val="standardContextual"/>
                    </w:rPr>
                  </w:pPr>
                  <w:r>
                    <w:rPr>
                      <w:rFonts w:hint="eastAsia"/>
                      <w:color w:val="auto"/>
                      <w14:ligatures w14:val="standardContextual"/>
                    </w:rPr>
                    <w:t>本项目为N7723 固体废物治理，对于二次产生的固体废物按要求进行收集、贮存、处置。</w:t>
                  </w:r>
                </w:p>
              </w:tc>
              <w:tc>
                <w:tcPr>
                  <w:tcW w:w="557" w:type="pct"/>
                  <w:vAlign w:val="center"/>
                </w:tcPr>
                <w:p w14:paraId="49911C2A">
                  <w:pPr>
                    <w:widowControl w:val="0"/>
                    <w:overflowPunct w:val="0"/>
                    <w:autoSpaceDE w:val="0"/>
                    <w:autoSpaceDN w:val="0"/>
                    <w:snapToGrid w:val="0"/>
                    <w:jc w:val="center"/>
                    <w:rPr>
                      <w:color w:val="auto"/>
                      <w14:ligatures w14:val="standardContextual"/>
                    </w:rPr>
                  </w:pPr>
                  <w:r>
                    <w:rPr>
                      <w:rFonts w:hint="eastAsia"/>
                      <w:color w:val="auto"/>
                      <w14:ligatures w14:val="standardContextual"/>
                    </w:rPr>
                    <w:t>符合</w:t>
                  </w:r>
                </w:p>
              </w:tc>
            </w:tr>
            <w:tr w14:paraId="523EDC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78" w:type="pct"/>
                  <w:vMerge w:val="continue"/>
                  <w:vAlign w:val="center"/>
                </w:tcPr>
                <w:p w14:paraId="1A65C228">
                  <w:pPr>
                    <w:widowControl w:val="0"/>
                    <w:overflowPunct w:val="0"/>
                    <w:autoSpaceDE w:val="0"/>
                    <w:autoSpaceDN w:val="0"/>
                    <w:snapToGrid w:val="0"/>
                    <w:jc w:val="center"/>
                    <w:rPr>
                      <w:color w:val="auto"/>
                      <w14:ligatures w14:val="standardContextual"/>
                    </w:rPr>
                  </w:pPr>
                </w:p>
              </w:tc>
              <w:tc>
                <w:tcPr>
                  <w:tcW w:w="2522" w:type="pct"/>
                  <w:vAlign w:val="center"/>
                </w:tcPr>
                <w:p w14:paraId="4CD62DBB">
                  <w:pPr>
                    <w:widowControl w:val="0"/>
                    <w:overflowPunct w:val="0"/>
                    <w:autoSpaceDE w:val="0"/>
                    <w:autoSpaceDN w:val="0"/>
                    <w:snapToGrid w:val="0"/>
                    <w:jc w:val="center"/>
                    <w:rPr>
                      <w:color w:val="auto"/>
                      <w14:ligatures w14:val="standardContextual"/>
                    </w:rPr>
                  </w:pPr>
                  <w:r>
                    <w:rPr>
                      <w:rFonts w:hint="eastAsia"/>
                      <w:color w:val="auto"/>
                      <w14:ligatures w14:val="standardContextual"/>
                    </w:rPr>
                    <w:t>6．持续推进工业污染源全面达标排放，推进园区技术、工艺、设备等实施能效提升、清洁生产、循环利用等专项技术改造。</w:t>
                  </w:r>
                </w:p>
              </w:tc>
              <w:tc>
                <w:tcPr>
                  <w:tcW w:w="1543" w:type="pct"/>
                  <w:vAlign w:val="center"/>
                </w:tcPr>
                <w:p w14:paraId="4FA5376C">
                  <w:pPr>
                    <w:widowControl w:val="0"/>
                    <w:overflowPunct w:val="0"/>
                    <w:autoSpaceDE w:val="0"/>
                    <w:autoSpaceDN w:val="0"/>
                    <w:snapToGrid w:val="0"/>
                    <w:jc w:val="center"/>
                    <w:rPr>
                      <w:color w:val="auto"/>
                      <w14:ligatures w14:val="standardContextual"/>
                    </w:rPr>
                  </w:pPr>
                  <w:r>
                    <w:rPr>
                      <w:rFonts w:hint="eastAsia"/>
                      <w:color w:val="auto"/>
                      <w14:ligatures w14:val="standardContextual"/>
                    </w:rPr>
                    <w:t>本项目为N7723 固体废物治理，项目建成后可提高固体废物循环利用水平。</w:t>
                  </w:r>
                </w:p>
              </w:tc>
              <w:tc>
                <w:tcPr>
                  <w:tcW w:w="557" w:type="pct"/>
                  <w:vAlign w:val="center"/>
                </w:tcPr>
                <w:p w14:paraId="104C17EF">
                  <w:pPr>
                    <w:widowControl w:val="0"/>
                    <w:overflowPunct w:val="0"/>
                    <w:autoSpaceDE w:val="0"/>
                    <w:autoSpaceDN w:val="0"/>
                    <w:snapToGrid w:val="0"/>
                    <w:jc w:val="center"/>
                    <w:rPr>
                      <w:color w:val="auto"/>
                      <w14:ligatures w14:val="standardContextual"/>
                    </w:rPr>
                  </w:pPr>
                  <w:r>
                    <w:rPr>
                      <w:rFonts w:hint="eastAsia"/>
                      <w:color w:val="auto"/>
                      <w14:ligatures w14:val="standardContextual"/>
                    </w:rPr>
                    <w:t>符合</w:t>
                  </w:r>
                </w:p>
              </w:tc>
            </w:tr>
            <w:tr w14:paraId="623875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78" w:type="pct"/>
                  <w:vMerge w:val="restart"/>
                  <w:vAlign w:val="center"/>
                </w:tcPr>
                <w:p w14:paraId="538EB8FB">
                  <w:pPr>
                    <w:widowControl w:val="0"/>
                    <w:overflowPunct w:val="0"/>
                    <w:autoSpaceDE w:val="0"/>
                    <w:autoSpaceDN w:val="0"/>
                    <w:snapToGrid w:val="0"/>
                    <w:jc w:val="center"/>
                    <w:rPr>
                      <w:color w:val="auto"/>
                      <w14:ligatures w14:val="standardContextual"/>
                    </w:rPr>
                  </w:pPr>
                  <w:r>
                    <w:rPr>
                      <w:rFonts w:hint="eastAsia"/>
                      <w:color w:val="auto"/>
                      <w14:ligatures w14:val="standardContextual"/>
                    </w:rPr>
                    <w:t>环境风险防控</w:t>
                  </w:r>
                </w:p>
              </w:tc>
              <w:tc>
                <w:tcPr>
                  <w:tcW w:w="2522" w:type="pct"/>
                  <w:vAlign w:val="center"/>
                </w:tcPr>
                <w:p w14:paraId="255B56E4">
                  <w:pPr>
                    <w:widowControl w:val="0"/>
                    <w:overflowPunct w:val="0"/>
                    <w:autoSpaceDE w:val="0"/>
                    <w:autoSpaceDN w:val="0"/>
                    <w:snapToGrid w:val="0"/>
                    <w:jc w:val="center"/>
                    <w:rPr>
                      <w:color w:val="auto"/>
                      <w14:ligatures w14:val="standardContextual"/>
                    </w:rPr>
                  </w:pPr>
                  <w:r>
                    <w:rPr>
                      <w:rFonts w:hint="eastAsia"/>
                      <w:color w:val="auto"/>
                      <w14:ligatures w14:val="standardContextual"/>
                    </w:rPr>
                    <w:t>1．开展环境风险评估，制定突发环境事件应急预案并备案，配备应急能力和物资，建设环境应急队伍，并定期演练。企业、园区与地方人民政府环境应急预案应当有机衔接。</w:t>
                  </w:r>
                </w:p>
              </w:tc>
              <w:tc>
                <w:tcPr>
                  <w:tcW w:w="1543" w:type="pct"/>
                  <w:vAlign w:val="center"/>
                </w:tcPr>
                <w:p w14:paraId="3C213D46">
                  <w:pPr>
                    <w:widowControl w:val="0"/>
                    <w:overflowPunct w:val="0"/>
                    <w:autoSpaceDE w:val="0"/>
                    <w:autoSpaceDN w:val="0"/>
                    <w:snapToGrid w:val="0"/>
                    <w:jc w:val="center"/>
                    <w:rPr>
                      <w:color w:val="auto"/>
                      <w14:ligatures w14:val="standardContextual"/>
                    </w:rPr>
                  </w:pPr>
                  <w:r>
                    <w:rPr>
                      <w:rFonts w:hint="eastAsia"/>
                      <w:color w:val="auto"/>
                      <w14:ligatures w14:val="standardContextual"/>
                    </w:rPr>
                    <w:t>项目制定了相关风险防范及应急措施，环评要求业主在生产建设过程中严格执行措施。</w:t>
                  </w:r>
                </w:p>
              </w:tc>
              <w:tc>
                <w:tcPr>
                  <w:tcW w:w="557" w:type="pct"/>
                  <w:vAlign w:val="center"/>
                </w:tcPr>
                <w:p w14:paraId="0F6071CD">
                  <w:pPr>
                    <w:widowControl w:val="0"/>
                    <w:overflowPunct w:val="0"/>
                    <w:autoSpaceDE w:val="0"/>
                    <w:autoSpaceDN w:val="0"/>
                    <w:snapToGrid w:val="0"/>
                    <w:jc w:val="center"/>
                    <w:rPr>
                      <w:color w:val="auto"/>
                      <w14:ligatures w14:val="standardContextual"/>
                    </w:rPr>
                  </w:pPr>
                  <w:r>
                    <w:rPr>
                      <w:rFonts w:hint="eastAsia"/>
                      <w:color w:val="auto"/>
                      <w14:ligatures w14:val="standardContextual"/>
                    </w:rPr>
                    <w:t>符合</w:t>
                  </w:r>
                </w:p>
              </w:tc>
            </w:tr>
            <w:tr w14:paraId="4A7B1A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78" w:type="pct"/>
                  <w:vMerge w:val="continue"/>
                  <w:vAlign w:val="center"/>
                </w:tcPr>
                <w:p w14:paraId="2B3BF4A5">
                  <w:pPr>
                    <w:widowControl w:val="0"/>
                    <w:overflowPunct w:val="0"/>
                    <w:autoSpaceDE w:val="0"/>
                    <w:autoSpaceDN w:val="0"/>
                    <w:snapToGrid w:val="0"/>
                    <w:jc w:val="center"/>
                    <w:rPr>
                      <w:color w:val="auto"/>
                      <w14:ligatures w14:val="standardContextual"/>
                    </w:rPr>
                  </w:pPr>
                </w:p>
              </w:tc>
              <w:tc>
                <w:tcPr>
                  <w:tcW w:w="2522" w:type="pct"/>
                  <w:vAlign w:val="center"/>
                </w:tcPr>
                <w:p w14:paraId="36251876">
                  <w:pPr>
                    <w:widowControl w:val="0"/>
                    <w:overflowPunct w:val="0"/>
                    <w:autoSpaceDE w:val="0"/>
                    <w:autoSpaceDN w:val="0"/>
                    <w:snapToGrid w:val="0"/>
                    <w:jc w:val="center"/>
                    <w:rPr>
                      <w:color w:val="auto"/>
                      <w14:ligatures w14:val="standardContextual"/>
                    </w:rPr>
                  </w:pPr>
                  <w:r>
                    <w:rPr>
                      <w:rFonts w:hint="eastAsia"/>
                      <w:color w:val="auto"/>
                      <w14:ligatures w14:val="standardContextual"/>
                    </w:rPr>
                    <w:t>2．土壤环境监管重点单位应当严格控制有毒有害物质排放，并按年度向生态环境主管部门报告排放情况；建立土壤污染隐患排查制度，保证持续有效防止有毒有害物质渗漏、流失、扬散；制定、实施自行监测方案，并将监测数据报生态环境主管部门。</w:t>
                  </w:r>
                </w:p>
              </w:tc>
              <w:tc>
                <w:tcPr>
                  <w:tcW w:w="1543" w:type="pct"/>
                  <w:vAlign w:val="center"/>
                </w:tcPr>
                <w:p w14:paraId="48283B63">
                  <w:pPr>
                    <w:widowControl w:val="0"/>
                    <w:overflowPunct w:val="0"/>
                    <w:autoSpaceDE w:val="0"/>
                    <w:autoSpaceDN w:val="0"/>
                    <w:snapToGrid w:val="0"/>
                    <w:jc w:val="center"/>
                    <w:rPr>
                      <w:color w:val="auto"/>
                      <w14:ligatures w14:val="standardContextual"/>
                    </w:rPr>
                  </w:pPr>
                  <w:r>
                    <w:rPr>
                      <w:rFonts w:hint="eastAsia"/>
                      <w:color w:val="auto"/>
                      <w14:ligatures w14:val="standardContextual"/>
                    </w:rPr>
                    <w:t>本项目不属于土壤环境监管重点单位。</w:t>
                  </w:r>
                </w:p>
              </w:tc>
              <w:tc>
                <w:tcPr>
                  <w:tcW w:w="557" w:type="pct"/>
                  <w:vAlign w:val="center"/>
                </w:tcPr>
                <w:p w14:paraId="04AAC9AA">
                  <w:pPr>
                    <w:widowControl w:val="0"/>
                    <w:overflowPunct w:val="0"/>
                    <w:autoSpaceDE w:val="0"/>
                    <w:autoSpaceDN w:val="0"/>
                    <w:snapToGrid w:val="0"/>
                    <w:jc w:val="center"/>
                    <w:rPr>
                      <w:color w:val="auto"/>
                      <w14:ligatures w14:val="standardContextual"/>
                    </w:rPr>
                  </w:pPr>
                  <w:r>
                    <w:rPr>
                      <w:rFonts w:hint="eastAsia"/>
                      <w:color w:val="auto"/>
                      <w14:ligatures w14:val="standardContextual"/>
                    </w:rPr>
                    <w:t>符合</w:t>
                  </w:r>
                </w:p>
              </w:tc>
            </w:tr>
            <w:tr w14:paraId="4F354F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78" w:type="pct"/>
                  <w:vMerge w:val="continue"/>
                  <w:vAlign w:val="center"/>
                </w:tcPr>
                <w:p w14:paraId="6205F0C5">
                  <w:pPr>
                    <w:widowControl w:val="0"/>
                    <w:overflowPunct w:val="0"/>
                    <w:autoSpaceDE w:val="0"/>
                    <w:autoSpaceDN w:val="0"/>
                    <w:snapToGrid w:val="0"/>
                    <w:jc w:val="center"/>
                    <w:rPr>
                      <w:color w:val="auto"/>
                      <w14:ligatures w14:val="standardContextual"/>
                    </w:rPr>
                  </w:pPr>
                </w:p>
              </w:tc>
              <w:tc>
                <w:tcPr>
                  <w:tcW w:w="2522" w:type="pct"/>
                  <w:vAlign w:val="center"/>
                </w:tcPr>
                <w:p w14:paraId="18F291CE">
                  <w:pPr>
                    <w:widowControl w:val="0"/>
                    <w:overflowPunct w:val="0"/>
                    <w:autoSpaceDE w:val="0"/>
                    <w:autoSpaceDN w:val="0"/>
                    <w:snapToGrid w:val="0"/>
                    <w:jc w:val="center"/>
                    <w:rPr>
                      <w:color w:val="auto"/>
                      <w14:ligatures w14:val="standardContextual"/>
                    </w:rPr>
                  </w:pPr>
                  <w:r>
                    <w:rPr>
                      <w:rFonts w:hint="eastAsia"/>
                      <w:color w:val="auto"/>
                      <w14:ligatures w14:val="standardContextual"/>
                    </w:rPr>
                    <w:t>3．建设项目应严格落实环境保护措施和环境风险防范措施，减缓对周边生态环境敏感区的不良环境影响。</w:t>
                  </w:r>
                </w:p>
              </w:tc>
              <w:tc>
                <w:tcPr>
                  <w:tcW w:w="1543" w:type="pct"/>
                  <w:vAlign w:val="center"/>
                </w:tcPr>
                <w:p w14:paraId="2CD05651">
                  <w:pPr>
                    <w:widowControl w:val="0"/>
                    <w:overflowPunct w:val="0"/>
                    <w:autoSpaceDE w:val="0"/>
                    <w:autoSpaceDN w:val="0"/>
                    <w:snapToGrid w:val="0"/>
                    <w:jc w:val="center"/>
                    <w:rPr>
                      <w:color w:val="auto"/>
                      <w14:ligatures w14:val="standardContextual"/>
                    </w:rPr>
                  </w:pPr>
                  <w:r>
                    <w:rPr>
                      <w:rFonts w:hint="eastAsia"/>
                      <w:color w:val="auto"/>
                      <w14:ligatures w14:val="standardContextual"/>
                    </w:rPr>
                    <w:t>本项目周边500米内无生态环境敏感区，环评要求业主在生产建设过程中严格落实环境保护措施和环境风险防范措施。</w:t>
                  </w:r>
                </w:p>
              </w:tc>
              <w:tc>
                <w:tcPr>
                  <w:tcW w:w="557" w:type="pct"/>
                  <w:vAlign w:val="center"/>
                </w:tcPr>
                <w:p w14:paraId="4F8C2A08">
                  <w:pPr>
                    <w:widowControl w:val="0"/>
                    <w:overflowPunct w:val="0"/>
                    <w:autoSpaceDE w:val="0"/>
                    <w:autoSpaceDN w:val="0"/>
                    <w:snapToGrid w:val="0"/>
                    <w:jc w:val="center"/>
                    <w:rPr>
                      <w:color w:val="auto"/>
                      <w14:ligatures w14:val="standardContextual"/>
                    </w:rPr>
                  </w:pPr>
                  <w:r>
                    <w:rPr>
                      <w:rFonts w:hint="eastAsia"/>
                      <w:color w:val="auto"/>
                      <w14:ligatures w14:val="standardContextual"/>
                    </w:rPr>
                    <w:t>符合</w:t>
                  </w:r>
                </w:p>
              </w:tc>
            </w:tr>
            <w:tr w14:paraId="17A5A8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78" w:type="pct"/>
                  <w:vMerge w:val="restart"/>
                  <w:vAlign w:val="center"/>
                </w:tcPr>
                <w:p w14:paraId="5D78009F">
                  <w:pPr>
                    <w:widowControl w:val="0"/>
                    <w:overflowPunct w:val="0"/>
                    <w:autoSpaceDE w:val="0"/>
                    <w:autoSpaceDN w:val="0"/>
                    <w:snapToGrid w:val="0"/>
                    <w:jc w:val="center"/>
                    <w:rPr>
                      <w:color w:val="auto"/>
                      <w14:ligatures w14:val="standardContextual"/>
                    </w:rPr>
                  </w:pPr>
                  <w:r>
                    <w:rPr>
                      <w:color w:val="auto"/>
                      <w14:ligatures w14:val="standardContextual"/>
                    </w:rPr>
                    <w:t>资源开发利用效率要求</w:t>
                  </w:r>
                </w:p>
              </w:tc>
              <w:tc>
                <w:tcPr>
                  <w:tcW w:w="2522" w:type="pct"/>
                  <w:vAlign w:val="center"/>
                </w:tcPr>
                <w:p w14:paraId="5FBCBB63">
                  <w:pPr>
                    <w:widowControl w:val="0"/>
                    <w:overflowPunct w:val="0"/>
                    <w:autoSpaceDE w:val="0"/>
                    <w:autoSpaceDN w:val="0"/>
                    <w:snapToGrid w:val="0"/>
                    <w:jc w:val="center"/>
                    <w:rPr>
                      <w:color w:val="auto"/>
                      <w14:ligatures w14:val="standardContextual"/>
                    </w:rPr>
                  </w:pPr>
                  <w:r>
                    <w:rPr>
                      <w:rFonts w:hint="eastAsia"/>
                      <w:color w:val="auto"/>
                      <w14:ligatures w14:val="standardContextual"/>
                    </w:rPr>
                    <w:t>1.污染物排放以及用水、能耗、物耗、岸线与土地利用等资源环境指标达到行业先进水平。</w:t>
                  </w:r>
                </w:p>
              </w:tc>
              <w:tc>
                <w:tcPr>
                  <w:tcW w:w="1543" w:type="pct"/>
                  <w:vAlign w:val="center"/>
                </w:tcPr>
                <w:p w14:paraId="666DA6D2">
                  <w:pPr>
                    <w:widowControl w:val="0"/>
                    <w:overflowPunct w:val="0"/>
                    <w:autoSpaceDE w:val="0"/>
                    <w:autoSpaceDN w:val="0"/>
                    <w:snapToGrid w:val="0"/>
                    <w:jc w:val="center"/>
                    <w:rPr>
                      <w:color w:val="auto"/>
                      <w:u w:val="single"/>
                      <w14:ligatures w14:val="standardContextual"/>
                    </w:rPr>
                  </w:pPr>
                  <w:r>
                    <w:rPr>
                      <w:rFonts w:hint="eastAsia"/>
                      <w:color w:val="auto"/>
                      <w14:ligatures w14:val="standardContextual"/>
                    </w:rPr>
                    <w:t>本项目用水、能耗、物耗较少，污染物可实现达标排放，项目建成后可达到行业先进水平。</w:t>
                  </w:r>
                </w:p>
              </w:tc>
              <w:tc>
                <w:tcPr>
                  <w:tcW w:w="557" w:type="pct"/>
                  <w:vAlign w:val="center"/>
                </w:tcPr>
                <w:p w14:paraId="5952F9A5">
                  <w:pPr>
                    <w:widowControl w:val="0"/>
                    <w:overflowPunct w:val="0"/>
                    <w:autoSpaceDE w:val="0"/>
                    <w:autoSpaceDN w:val="0"/>
                    <w:snapToGrid w:val="0"/>
                    <w:jc w:val="center"/>
                    <w:rPr>
                      <w:color w:val="auto"/>
                      <w:u w:val="single"/>
                      <w14:ligatures w14:val="standardContextual"/>
                    </w:rPr>
                  </w:pPr>
                  <w:r>
                    <w:rPr>
                      <w:rFonts w:hint="eastAsia"/>
                      <w:color w:val="auto"/>
                      <w14:ligatures w14:val="standardContextual"/>
                    </w:rPr>
                    <w:t>符合</w:t>
                  </w:r>
                </w:p>
              </w:tc>
            </w:tr>
            <w:tr w14:paraId="323938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78" w:type="pct"/>
                  <w:vMerge w:val="continue"/>
                  <w:vAlign w:val="center"/>
                </w:tcPr>
                <w:p w14:paraId="494494EB">
                  <w:pPr>
                    <w:widowControl w:val="0"/>
                    <w:overflowPunct w:val="0"/>
                    <w:autoSpaceDE w:val="0"/>
                    <w:autoSpaceDN w:val="0"/>
                    <w:snapToGrid w:val="0"/>
                    <w:jc w:val="center"/>
                    <w:rPr>
                      <w:color w:val="auto"/>
                      <w14:ligatures w14:val="standardContextual"/>
                    </w:rPr>
                  </w:pPr>
                </w:p>
              </w:tc>
              <w:tc>
                <w:tcPr>
                  <w:tcW w:w="2522" w:type="pct"/>
                  <w:vAlign w:val="center"/>
                </w:tcPr>
                <w:p w14:paraId="6711CB51">
                  <w:pPr>
                    <w:widowControl w:val="0"/>
                    <w:overflowPunct w:val="0"/>
                    <w:autoSpaceDE w:val="0"/>
                    <w:autoSpaceDN w:val="0"/>
                    <w:snapToGrid w:val="0"/>
                    <w:jc w:val="center"/>
                    <w:rPr>
                      <w:color w:val="auto"/>
                      <w14:ligatures w14:val="standardContextual"/>
                    </w:rPr>
                  </w:pPr>
                  <w:r>
                    <w:rPr>
                      <w:rFonts w:hint="eastAsia"/>
                      <w:color w:val="auto"/>
                      <w14:ligatures w14:val="standardContextual"/>
                    </w:rPr>
                    <w:t>2．在禁燃区内，禁止销售、燃用高污染燃料；禁止新建、扩建燃用高污染燃料的设施，已建成的，应当在城市人民政府规定的期限内改用天然气、页岩气、液化石油气、电或者其他清洁能源。其余按照《钦州市人民政府关于划定高污染燃料禁燃区的通告》要求实施管理。</w:t>
                  </w:r>
                </w:p>
              </w:tc>
              <w:tc>
                <w:tcPr>
                  <w:tcW w:w="1543" w:type="pct"/>
                  <w:vAlign w:val="center"/>
                </w:tcPr>
                <w:p w14:paraId="30B1DB5C">
                  <w:pPr>
                    <w:widowControl w:val="0"/>
                    <w:overflowPunct w:val="0"/>
                    <w:autoSpaceDE w:val="0"/>
                    <w:autoSpaceDN w:val="0"/>
                    <w:snapToGrid w:val="0"/>
                    <w:jc w:val="center"/>
                    <w:rPr>
                      <w:color w:val="auto"/>
                      <w14:ligatures w14:val="standardContextual"/>
                    </w:rPr>
                  </w:pPr>
                  <w:r>
                    <w:rPr>
                      <w:rFonts w:hint="eastAsia"/>
                      <w:color w:val="auto"/>
                      <w14:ligatures w14:val="standardContextual"/>
                    </w:rPr>
                    <w:t>本项目不涉及高污染染料。</w:t>
                  </w:r>
                </w:p>
              </w:tc>
              <w:tc>
                <w:tcPr>
                  <w:tcW w:w="557" w:type="pct"/>
                  <w:vAlign w:val="center"/>
                </w:tcPr>
                <w:p w14:paraId="36826385">
                  <w:pPr>
                    <w:widowControl w:val="0"/>
                    <w:overflowPunct w:val="0"/>
                    <w:autoSpaceDE w:val="0"/>
                    <w:autoSpaceDN w:val="0"/>
                    <w:snapToGrid w:val="0"/>
                    <w:jc w:val="center"/>
                    <w:rPr>
                      <w:color w:val="auto"/>
                      <w14:ligatures w14:val="standardContextual"/>
                    </w:rPr>
                  </w:pPr>
                  <w:r>
                    <w:rPr>
                      <w:rFonts w:hint="eastAsia"/>
                      <w:color w:val="auto"/>
                      <w14:ligatures w14:val="standardContextual"/>
                    </w:rPr>
                    <w:t>符合</w:t>
                  </w:r>
                </w:p>
              </w:tc>
            </w:tr>
            <w:tr w14:paraId="1220B0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78" w:type="pct"/>
                  <w:vMerge w:val="continue"/>
                  <w:vAlign w:val="center"/>
                </w:tcPr>
                <w:p w14:paraId="3B105DA5">
                  <w:pPr>
                    <w:widowControl w:val="0"/>
                    <w:overflowPunct w:val="0"/>
                    <w:autoSpaceDE w:val="0"/>
                    <w:autoSpaceDN w:val="0"/>
                    <w:snapToGrid w:val="0"/>
                    <w:jc w:val="center"/>
                    <w:rPr>
                      <w:color w:val="auto"/>
                      <w14:ligatures w14:val="standardContextual"/>
                    </w:rPr>
                  </w:pPr>
                </w:p>
              </w:tc>
              <w:tc>
                <w:tcPr>
                  <w:tcW w:w="2522" w:type="pct"/>
                  <w:vAlign w:val="center"/>
                </w:tcPr>
                <w:p w14:paraId="7DE55549">
                  <w:pPr>
                    <w:widowControl w:val="0"/>
                    <w:overflowPunct w:val="0"/>
                    <w:autoSpaceDE w:val="0"/>
                    <w:autoSpaceDN w:val="0"/>
                    <w:snapToGrid w:val="0"/>
                    <w:jc w:val="center"/>
                    <w:rPr>
                      <w:color w:val="auto"/>
                      <w14:ligatures w14:val="standardContextual"/>
                    </w:rPr>
                  </w:pPr>
                  <w:r>
                    <w:rPr>
                      <w:rFonts w:hint="eastAsia"/>
                      <w:color w:val="auto"/>
                      <w14:ligatures w14:val="standardContextual"/>
                    </w:rPr>
                    <w:t>3．推进区域土地节约集约利用，优先保障区域主导产业发展用地。</w:t>
                  </w:r>
                </w:p>
              </w:tc>
              <w:tc>
                <w:tcPr>
                  <w:tcW w:w="1543" w:type="pct"/>
                  <w:vAlign w:val="center"/>
                </w:tcPr>
                <w:p w14:paraId="6205C342">
                  <w:pPr>
                    <w:widowControl w:val="0"/>
                    <w:overflowPunct w:val="0"/>
                    <w:autoSpaceDE w:val="0"/>
                    <w:autoSpaceDN w:val="0"/>
                    <w:snapToGrid w:val="0"/>
                    <w:jc w:val="center"/>
                    <w:rPr>
                      <w:color w:val="auto"/>
                      <w14:ligatures w14:val="standardContextual"/>
                    </w:rPr>
                  </w:pPr>
                  <w:r>
                    <w:rPr>
                      <w:rFonts w:hint="eastAsia"/>
                      <w:color w:val="auto"/>
                      <w14:ligatures w14:val="standardContextual"/>
                    </w:rPr>
                    <w:t>本项目已取得自然资源局的临时选址意见，当城市规划建设需要时，按要求拆除并恢复原貌。</w:t>
                  </w:r>
                </w:p>
              </w:tc>
              <w:tc>
                <w:tcPr>
                  <w:tcW w:w="557" w:type="pct"/>
                  <w:vAlign w:val="center"/>
                </w:tcPr>
                <w:p w14:paraId="3FA978A3">
                  <w:pPr>
                    <w:widowControl w:val="0"/>
                    <w:overflowPunct w:val="0"/>
                    <w:autoSpaceDE w:val="0"/>
                    <w:autoSpaceDN w:val="0"/>
                    <w:snapToGrid w:val="0"/>
                    <w:jc w:val="center"/>
                    <w:rPr>
                      <w:color w:val="auto"/>
                      <w14:ligatures w14:val="standardContextual"/>
                    </w:rPr>
                  </w:pPr>
                  <w:r>
                    <w:rPr>
                      <w:rFonts w:hint="eastAsia"/>
                      <w:color w:val="auto"/>
                      <w14:ligatures w14:val="standardContextual"/>
                    </w:rPr>
                    <w:t>符合</w:t>
                  </w:r>
                </w:p>
              </w:tc>
            </w:tr>
            <w:bookmarkEnd w:id="11"/>
          </w:tbl>
          <w:p w14:paraId="51A20E07">
            <w:pPr>
              <w:pStyle w:val="3"/>
              <w:ind w:firstLine="480"/>
              <w:rPr>
                <w:color w:val="auto"/>
              </w:rPr>
            </w:pPr>
            <w:r>
              <w:rPr>
                <w:rFonts w:hint="eastAsia"/>
                <w:color w:val="auto"/>
              </w:rPr>
              <w:t>综上所述，本项目符合“三线一单”生态环境分区管控方案要求。</w:t>
            </w:r>
          </w:p>
          <w:p w14:paraId="77EC230E">
            <w:pPr>
              <w:pStyle w:val="7"/>
              <w:rPr>
                <w:color w:val="auto"/>
              </w:rPr>
            </w:pPr>
            <w:r>
              <w:rPr>
                <w:rFonts w:hint="eastAsia"/>
                <w:color w:val="auto"/>
              </w:rPr>
              <w:t>5、与《建筑垃圾处理技术标准（CJJ/T134-2019）》相符性</w:t>
            </w:r>
          </w:p>
          <w:p w14:paraId="2C7DA025">
            <w:pPr>
              <w:pStyle w:val="48"/>
              <w:rPr>
                <w:color w:val="auto"/>
              </w:rPr>
            </w:pPr>
            <w:r>
              <w:rPr>
                <w:rFonts w:hint="eastAsia"/>
                <w:color w:val="auto"/>
              </w:rPr>
              <w:t xml:space="preserve">表1- </w:t>
            </w:r>
            <w:r>
              <w:rPr>
                <w:color w:val="auto"/>
              </w:rPr>
              <w:fldChar w:fldCharType="begin"/>
            </w:r>
            <w:r>
              <w:rPr>
                <w:color w:val="auto"/>
              </w:rPr>
              <w:instrText xml:space="preserve"> </w:instrText>
            </w:r>
            <w:r>
              <w:rPr>
                <w:rFonts w:hint="eastAsia"/>
                <w:color w:val="auto"/>
              </w:rPr>
              <w:instrText xml:space="preserve">SEQ 表1- \* ARABIC</w:instrText>
            </w:r>
            <w:r>
              <w:rPr>
                <w:color w:val="auto"/>
              </w:rPr>
              <w:instrText xml:space="preserve"> </w:instrText>
            </w:r>
            <w:r>
              <w:rPr>
                <w:color w:val="auto"/>
              </w:rPr>
              <w:fldChar w:fldCharType="separate"/>
            </w:r>
            <w:r>
              <w:rPr>
                <w:color w:val="auto"/>
              </w:rPr>
              <w:t>4</w:t>
            </w:r>
            <w:r>
              <w:rPr>
                <w:color w:val="auto"/>
              </w:rPr>
              <w:fldChar w:fldCharType="end"/>
            </w:r>
            <w:r>
              <w:rPr>
                <w:rFonts w:hint="eastAsia"/>
                <w:color w:val="auto"/>
              </w:rPr>
              <w:t>：与《建筑垃圾处理技术标准》相符性分析</w:t>
            </w:r>
          </w:p>
          <w:tbl>
            <w:tblPr>
              <w:tblStyle w:val="4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4575"/>
              <w:gridCol w:w="2457"/>
              <w:gridCol w:w="485"/>
            </w:tblGrid>
            <w:tr w14:paraId="2A812E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060" w:type="dxa"/>
                  <w:tcBorders>
                    <w:top w:val="single" w:color="auto" w:sz="12" w:space="0"/>
                    <w:left w:val="nil"/>
                    <w:bottom w:val="single" w:color="auto" w:sz="12" w:space="0"/>
                    <w:right w:val="single" w:color="auto" w:sz="4" w:space="0"/>
                    <w:insideH w:val="single" w:sz="12" w:space="0"/>
                    <w:insideV w:val="single" w:sz="4" w:space="0"/>
                    <w:tl2br w:val="nil"/>
                    <w:tr2bl w:val="nil"/>
                  </w:tcBorders>
                  <w:noWrap/>
                  <w:vAlign w:val="center"/>
                </w:tcPr>
                <w:p w14:paraId="46B2AABA">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color w:val="auto"/>
                      <w14:ligatures w14:val="standardContextual"/>
                    </w:rPr>
                  </w:pPr>
                  <w:r>
                    <w:rPr>
                      <w:rFonts w:hint="default" w:ascii="Times New Roman" w:hAnsi="Times New Roman" w:eastAsia="宋体" w:cs="Times New Roman"/>
                      <w:b/>
                      <w:i w:val="0"/>
                      <w:snapToGrid w:val="0"/>
                      <w:color w:val="auto"/>
                      <w14:ligatures w14:val="standardContextual"/>
                    </w:rPr>
                    <w:t>行业规范条件</w:t>
                  </w:r>
                </w:p>
              </w:tc>
              <w:tc>
                <w:tcPr>
                  <w:tcW w:w="2711" w:type="dxa"/>
                  <w:tcBorders>
                    <w:top w:val="single" w:color="auto" w:sz="12" w:space="0"/>
                    <w:bottom w:val="single" w:color="auto" w:sz="12" w:space="0"/>
                    <w:right w:val="single" w:color="auto" w:sz="4" w:space="0"/>
                    <w:insideH w:val="single" w:sz="12" w:space="0"/>
                    <w:insideV w:val="single" w:sz="4" w:space="0"/>
                    <w:tl2br w:val="nil"/>
                    <w:tr2bl w:val="nil"/>
                  </w:tcBorders>
                  <w:noWrap/>
                  <w:vAlign w:val="center"/>
                </w:tcPr>
                <w:p w14:paraId="4F4C7830">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color w:val="auto"/>
                      <w14:ligatures w14:val="standardContextual"/>
                    </w:rPr>
                  </w:pPr>
                  <w:r>
                    <w:rPr>
                      <w:rFonts w:hint="default" w:ascii="Times New Roman" w:hAnsi="Times New Roman" w:eastAsia="宋体" w:cs="Times New Roman"/>
                      <w:b/>
                      <w:i w:val="0"/>
                      <w:snapToGrid w:val="0"/>
                      <w:color w:val="auto"/>
                      <w14:ligatures w14:val="standardContextual"/>
                    </w:rPr>
                    <w:t>本项目</w:t>
                  </w:r>
                </w:p>
              </w:tc>
              <w:tc>
                <w:tcPr>
                  <w:tcW w:w="525" w:type="dxa"/>
                  <w:tcBorders>
                    <w:top w:val="single" w:color="auto" w:sz="12" w:space="0"/>
                    <w:bottom w:val="single" w:color="auto" w:sz="12" w:space="0"/>
                    <w:right w:val="nil"/>
                    <w:insideH w:val="single" w:sz="12" w:space="0"/>
                    <w:insideV w:val="single" w:sz="4" w:space="0"/>
                    <w:tl2br w:val="nil"/>
                    <w:tr2bl w:val="nil"/>
                  </w:tcBorders>
                  <w:noWrap/>
                  <w:vAlign w:val="center"/>
                </w:tcPr>
                <w:p w14:paraId="43ABA261">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color w:val="auto"/>
                      <w14:ligatures w14:val="standardContextual"/>
                    </w:rPr>
                  </w:pPr>
                  <w:r>
                    <w:rPr>
                      <w:rFonts w:hint="default" w:ascii="Times New Roman" w:hAnsi="Times New Roman" w:eastAsia="宋体" w:cs="Times New Roman"/>
                      <w:b/>
                      <w:i w:val="0"/>
                      <w:snapToGrid w:val="0"/>
                      <w:color w:val="auto"/>
                      <w14:ligatures w14:val="standardContextual"/>
                    </w:rPr>
                    <w:t>相符性</w:t>
                  </w:r>
                </w:p>
              </w:tc>
            </w:tr>
            <w:tr w14:paraId="2BA11E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060" w:type="dxa"/>
                  <w:noWrap/>
                  <w:vAlign w:val="center"/>
                </w:tcPr>
                <w:p w14:paraId="38CF33EF">
                  <w:pPr>
                    <w:widowControl w:val="0"/>
                    <w:overflowPunct w:val="0"/>
                    <w:autoSpaceDE w:val="0"/>
                    <w:autoSpaceDN w:val="0"/>
                    <w:snapToGrid w:val="0"/>
                    <w:jc w:val="center"/>
                    <w:rPr>
                      <w:snapToGrid w:val="0"/>
                      <w:color w:val="auto"/>
                      <w14:ligatures w14:val="standardContextual"/>
                    </w:rPr>
                  </w:pPr>
                  <w:r>
                    <w:rPr>
                      <w:rFonts w:hint="eastAsia"/>
                      <w:snapToGrid w:val="0"/>
                      <w:color w:val="auto"/>
                      <w14:ligatures w14:val="standardContextual"/>
                    </w:rPr>
                    <w:t>3.0.2、建筑垃圾应从源头分类。按照工程渣土、工程泥浆、工程垃圾、拆除垃圾和装修垃圾，应分类收集、分类运输、分类处理处置。</w:t>
                  </w:r>
                </w:p>
              </w:tc>
              <w:tc>
                <w:tcPr>
                  <w:tcW w:w="2711" w:type="dxa"/>
                  <w:noWrap/>
                  <w:vAlign w:val="center"/>
                </w:tcPr>
                <w:p w14:paraId="0008218F">
                  <w:pPr>
                    <w:widowControl w:val="0"/>
                    <w:overflowPunct w:val="0"/>
                    <w:autoSpaceDE w:val="0"/>
                    <w:autoSpaceDN w:val="0"/>
                    <w:snapToGrid w:val="0"/>
                    <w:jc w:val="center"/>
                    <w:rPr>
                      <w:snapToGrid w:val="0"/>
                      <w:color w:val="auto"/>
                      <w14:ligatures w14:val="standardContextual"/>
                    </w:rPr>
                  </w:pPr>
                  <w:r>
                    <w:rPr>
                      <w:snapToGrid w:val="0"/>
                      <w:color w:val="auto"/>
                      <w14:ligatures w14:val="standardContextual"/>
                    </w:rPr>
                    <w:t>本项目使用</w:t>
                  </w:r>
                  <w:r>
                    <w:rPr>
                      <w:rFonts w:hint="eastAsia"/>
                      <w:snapToGrid w:val="0"/>
                      <w:color w:val="auto"/>
                      <w14:ligatures w14:val="standardContextual"/>
                    </w:rPr>
                    <w:t>的建筑垃圾主要为工程垃圾和拆除垃圾。项目采取分类收集、分类运输、分类处理处置。</w:t>
                  </w:r>
                </w:p>
              </w:tc>
              <w:tc>
                <w:tcPr>
                  <w:tcW w:w="525" w:type="dxa"/>
                  <w:noWrap/>
                  <w:vAlign w:val="center"/>
                </w:tcPr>
                <w:p w14:paraId="52FC143C">
                  <w:pPr>
                    <w:widowControl w:val="0"/>
                    <w:overflowPunct w:val="0"/>
                    <w:autoSpaceDE w:val="0"/>
                    <w:autoSpaceDN w:val="0"/>
                    <w:snapToGrid w:val="0"/>
                    <w:jc w:val="center"/>
                    <w:rPr>
                      <w:snapToGrid w:val="0"/>
                      <w:color w:val="auto"/>
                      <w14:ligatures w14:val="standardContextual"/>
                    </w:rPr>
                  </w:pPr>
                  <w:r>
                    <w:rPr>
                      <w:rFonts w:hint="eastAsia"/>
                      <w:snapToGrid w:val="0"/>
                      <w:color w:val="auto"/>
                      <w14:ligatures w14:val="standardContextual"/>
                    </w:rPr>
                    <w:t>符合</w:t>
                  </w:r>
                </w:p>
              </w:tc>
            </w:tr>
            <w:tr w14:paraId="141FA5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060" w:type="dxa"/>
                  <w:noWrap/>
                  <w:vAlign w:val="center"/>
                </w:tcPr>
                <w:p w14:paraId="5F29B5F6">
                  <w:pPr>
                    <w:widowControl w:val="0"/>
                    <w:overflowPunct w:val="0"/>
                    <w:autoSpaceDE w:val="0"/>
                    <w:autoSpaceDN w:val="0"/>
                    <w:snapToGrid w:val="0"/>
                    <w:jc w:val="center"/>
                    <w:rPr>
                      <w:snapToGrid w:val="0"/>
                      <w:color w:val="auto"/>
                      <w14:ligatures w14:val="standardContextual"/>
                    </w:rPr>
                  </w:pPr>
                  <w:r>
                    <w:rPr>
                      <w:snapToGrid w:val="0"/>
                      <w:color w:val="auto"/>
                      <w14:ligatures w14:val="standardContextual"/>
                    </w:rPr>
                    <w:t>3.0.3、工程渣土、工程泥浆、工程垃圾和拆除垃圾应优先就地利用</w:t>
                  </w:r>
                </w:p>
              </w:tc>
              <w:tc>
                <w:tcPr>
                  <w:tcW w:w="2711" w:type="dxa"/>
                  <w:noWrap/>
                  <w:vAlign w:val="center"/>
                </w:tcPr>
                <w:p w14:paraId="5E36889D">
                  <w:pPr>
                    <w:widowControl w:val="0"/>
                    <w:overflowPunct w:val="0"/>
                    <w:autoSpaceDE w:val="0"/>
                    <w:autoSpaceDN w:val="0"/>
                    <w:snapToGrid w:val="0"/>
                    <w:jc w:val="center"/>
                    <w:rPr>
                      <w:snapToGrid w:val="0"/>
                      <w:color w:val="auto"/>
                      <w14:ligatures w14:val="standardContextual"/>
                    </w:rPr>
                  </w:pPr>
                  <w:r>
                    <w:rPr>
                      <w:snapToGrid w:val="0"/>
                      <w:color w:val="auto"/>
                      <w14:ligatures w14:val="standardContextual"/>
                    </w:rPr>
                    <w:t>本项目使用</w:t>
                  </w:r>
                  <w:r>
                    <w:rPr>
                      <w:rFonts w:hint="eastAsia"/>
                      <w:snapToGrid w:val="0"/>
                      <w:color w:val="auto"/>
                      <w14:ligatures w14:val="standardContextual"/>
                    </w:rPr>
                    <w:t>的建筑垃圾主要为工程垃圾和拆除垃圾。通过建设1条垃圾分选生产线，可提高</w:t>
                  </w:r>
                  <w:r>
                    <w:rPr>
                      <w:snapToGrid w:val="0"/>
                      <w:color w:val="auto"/>
                      <w14:ligatures w14:val="standardContextual"/>
                    </w:rPr>
                    <w:t>工程垃圾</w:t>
                  </w:r>
                  <w:r>
                    <w:rPr>
                      <w:rFonts w:hint="eastAsia"/>
                      <w:snapToGrid w:val="0"/>
                      <w:color w:val="auto"/>
                      <w14:ligatures w14:val="standardContextual"/>
                    </w:rPr>
                    <w:t>的利用效率。</w:t>
                  </w:r>
                </w:p>
              </w:tc>
              <w:tc>
                <w:tcPr>
                  <w:tcW w:w="525" w:type="dxa"/>
                  <w:noWrap/>
                  <w:vAlign w:val="center"/>
                </w:tcPr>
                <w:p w14:paraId="6D23DE9A">
                  <w:pPr>
                    <w:widowControl w:val="0"/>
                    <w:overflowPunct w:val="0"/>
                    <w:autoSpaceDE w:val="0"/>
                    <w:autoSpaceDN w:val="0"/>
                    <w:snapToGrid w:val="0"/>
                    <w:jc w:val="center"/>
                    <w:rPr>
                      <w:snapToGrid w:val="0"/>
                      <w:color w:val="auto"/>
                      <w14:ligatures w14:val="standardContextual"/>
                    </w:rPr>
                  </w:pPr>
                  <w:r>
                    <w:rPr>
                      <w:snapToGrid w:val="0"/>
                      <w:color w:val="auto"/>
                      <w14:ligatures w14:val="standardContextual"/>
                    </w:rPr>
                    <w:t>符合</w:t>
                  </w:r>
                </w:p>
              </w:tc>
            </w:tr>
            <w:tr w14:paraId="1B1937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060" w:type="dxa"/>
                  <w:noWrap/>
                  <w:vAlign w:val="center"/>
                </w:tcPr>
                <w:p w14:paraId="1D1E990B">
                  <w:pPr>
                    <w:widowControl w:val="0"/>
                    <w:overflowPunct w:val="0"/>
                    <w:autoSpaceDE w:val="0"/>
                    <w:autoSpaceDN w:val="0"/>
                    <w:snapToGrid w:val="0"/>
                    <w:jc w:val="center"/>
                    <w:rPr>
                      <w:snapToGrid w:val="0"/>
                      <w:color w:val="auto"/>
                      <w14:ligatures w14:val="standardContextual"/>
                    </w:rPr>
                  </w:pPr>
                  <w:r>
                    <w:rPr>
                      <w:rFonts w:hint="eastAsia"/>
                      <w:snapToGrid w:val="0"/>
                      <w:color w:val="auto"/>
                      <w14:ligatures w14:val="standardContextual"/>
                    </w:rPr>
                    <w:t>3.0.4、拆除垃圾和装修垃圾宜按金属、木材、塑料、其他等分类收集、分类运输、分类处理处置。</w:t>
                  </w:r>
                </w:p>
              </w:tc>
              <w:tc>
                <w:tcPr>
                  <w:tcW w:w="2711" w:type="dxa"/>
                  <w:noWrap/>
                  <w:vAlign w:val="center"/>
                </w:tcPr>
                <w:p w14:paraId="39E202C7">
                  <w:pPr>
                    <w:widowControl w:val="0"/>
                    <w:overflowPunct w:val="0"/>
                    <w:autoSpaceDE w:val="0"/>
                    <w:autoSpaceDN w:val="0"/>
                    <w:snapToGrid w:val="0"/>
                    <w:jc w:val="center"/>
                    <w:rPr>
                      <w:snapToGrid w:val="0"/>
                      <w:color w:val="auto"/>
                      <w14:ligatures w14:val="standardContextual"/>
                    </w:rPr>
                  </w:pPr>
                  <w:r>
                    <w:rPr>
                      <w:snapToGrid w:val="0"/>
                      <w:color w:val="auto"/>
                      <w14:ligatures w14:val="standardContextual"/>
                    </w:rPr>
                    <w:t>本项目使用</w:t>
                  </w:r>
                  <w:r>
                    <w:rPr>
                      <w:rFonts w:hint="eastAsia"/>
                      <w:snapToGrid w:val="0"/>
                      <w:color w:val="auto"/>
                      <w14:ligatures w14:val="standardContextual"/>
                    </w:rPr>
                    <w:t>的建筑垃圾主要为工程垃圾和拆除垃圾。项目建成后可实现碎石、废土料、废金属、轻物质的分离，有利于分类收集、分类运输、分类处理处置。</w:t>
                  </w:r>
                </w:p>
              </w:tc>
              <w:tc>
                <w:tcPr>
                  <w:tcW w:w="525" w:type="dxa"/>
                  <w:noWrap/>
                  <w:vAlign w:val="center"/>
                </w:tcPr>
                <w:p w14:paraId="2E916695">
                  <w:pPr>
                    <w:widowControl w:val="0"/>
                    <w:overflowPunct w:val="0"/>
                    <w:autoSpaceDE w:val="0"/>
                    <w:autoSpaceDN w:val="0"/>
                    <w:snapToGrid w:val="0"/>
                    <w:jc w:val="center"/>
                    <w:rPr>
                      <w:snapToGrid w:val="0"/>
                      <w:color w:val="auto"/>
                      <w14:ligatures w14:val="standardContextual"/>
                    </w:rPr>
                  </w:pPr>
                  <w:r>
                    <w:rPr>
                      <w:rFonts w:hint="eastAsia"/>
                      <w:snapToGrid w:val="0"/>
                      <w:color w:val="auto"/>
                      <w14:ligatures w14:val="standardContextual"/>
                    </w:rPr>
                    <w:t>符合</w:t>
                  </w:r>
                </w:p>
              </w:tc>
            </w:tr>
            <w:tr w14:paraId="007A0B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060" w:type="dxa"/>
                  <w:noWrap/>
                  <w:vAlign w:val="center"/>
                </w:tcPr>
                <w:p w14:paraId="316952EA">
                  <w:pPr>
                    <w:widowControl w:val="0"/>
                    <w:overflowPunct w:val="0"/>
                    <w:autoSpaceDE w:val="0"/>
                    <w:autoSpaceDN w:val="0"/>
                    <w:snapToGrid w:val="0"/>
                    <w:jc w:val="center"/>
                    <w:rPr>
                      <w:snapToGrid w:val="0"/>
                      <w:color w:val="auto"/>
                      <w14:ligatures w14:val="standardContextual"/>
                    </w:rPr>
                  </w:pPr>
                  <w:r>
                    <w:rPr>
                      <w:snapToGrid w:val="0"/>
                      <w:color w:val="auto"/>
                      <w14:ligatures w14:val="standardContextual"/>
                    </w:rPr>
                    <w:t>3.0.6、建筑垃圾宜优先考虑资源化利用，拆除垃圾优先进行资源化利用</w:t>
                  </w:r>
                </w:p>
              </w:tc>
              <w:tc>
                <w:tcPr>
                  <w:tcW w:w="2711" w:type="dxa"/>
                  <w:noWrap/>
                  <w:vAlign w:val="center"/>
                </w:tcPr>
                <w:p w14:paraId="309EAB7B">
                  <w:pPr>
                    <w:widowControl w:val="0"/>
                    <w:overflowPunct w:val="0"/>
                    <w:autoSpaceDE w:val="0"/>
                    <w:autoSpaceDN w:val="0"/>
                    <w:snapToGrid w:val="0"/>
                    <w:jc w:val="center"/>
                    <w:rPr>
                      <w:snapToGrid w:val="0"/>
                      <w:color w:val="auto"/>
                      <w14:ligatures w14:val="standardContextual"/>
                    </w:rPr>
                  </w:pPr>
                  <w:r>
                    <w:rPr>
                      <w:rFonts w:hint="eastAsia"/>
                      <w:snapToGrid w:val="0"/>
                      <w:color w:val="auto"/>
                      <w14:ligatures w14:val="standardContextual"/>
                    </w:rPr>
                    <w:t>本项目建成后有利于建筑垃圾的资源化利用水平。</w:t>
                  </w:r>
                </w:p>
              </w:tc>
              <w:tc>
                <w:tcPr>
                  <w:tcW w:w="525" w:type="dxa"/>
                  <w:noWrap/>
                  <w:vAlign w:val="center"/>
                </w:tcPr>
                <w:p w14:paraId="52256AAB">
                  <w:pPr>
                    <w:widowControl w:val="0"/>
                    <w:overflowPunct w:val="0"/>
                    <w:autoSpaceDE w:val="0"/>
                    <w:autoSpaceDN w:val="0"/>
                    <w:snapToGrid w:val="0"/>
                    <w:jc w:val="center"/>
                    <w:rPr>
                      <w:snapToGrid w:val="0"/>
                      <w:color w:val="auto"/>
                      <w14:ligatures w14:val="standardContextual"/>
                    </w:rPr>
                  </w:pPr>
                  <w:r>
                    <w:rPr>
                      <w:snapToGrid w:val="0"/>
                      <w:color w:val="auto"/>
                      <w14:ligatures w14:val="standardContextual"/>
                    </w:rPr>
                    <w:t>符合</w:t>
                  </w:r>
                </w:p>
              </w:tc>
            </w:tr>
            <w:tr w14:paraId="2795FA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060" w:type="dxa"/>
                  <w:noWrap/>
                  <w:vAlign w:val="center"/>
                </w:tcPr>
                <w:p w14:paraId="6528227E">
                  <w:pPr>
                    <w:widowControl w:val="0"/>
                    <w:overflowPunct w:val="0"/>
                    <w:autoSpaceDE w:val="0"/>
                    <w:autoSpaceDN w:val="0"/>
                    <w:snapToGrid w:val="0"/>
                    <w:jc w:val="center"/>
                    <w:rPr>
                      <w:snapToGrid w:val="0"/>
                      <w:color w:val="auto"/>
                      <w14:ligatures w14:val="standardContextual"/>
                    </w:rPr>
                  </w:pPr>
                  <w:r>
                    <w:rPr>
                      <w:snapToGrid w:val="0"/>
                      <w:color w:val="auto"/>
                      <w14:ligatures w14:val="standardContextual"/>
                    </w:rPr>
                    <w:t>5.0.4、资源化利用和填埋处置工程选址应符合下列规定：应符合当地城市总体规划、环境卫生设施专项规划以及国家现行有关标准的规定；应与当地的大气防护、水土资源保护、自然保护及生态平衡要求相一致；工程地质与水文地质条件应满足设施建设和运行的要求，不应选在发震断层、滑坡、泥石流、沼泽、流沙及采矿陷落区等地区；应交通方便、运距合理，并应综合建筑垃圾处理厂的服务区域、建筑垃圾收集运输能力、产品出路、预留发展等因素；应位于地下水贫乏地区、环境保护目标区域的地下水流向的下游地区，及夏季主导风向下风向；厂址不应受洪水、潮水或内涝的威胁。当必须建在该类地区时，应有可靠的防洪、排涝措施，其防洪标准应符合现行国家标准《防洪标准》GB50201的有关规定</w:t>
                  </w:r>
                </w:p>
              </w:tc>
              <w:tc>
                <w:tcPr>
                  <w:tcW w:w="2711" w:type="dxa"/>
                  <w:noWrap/>
                  <w:vAlign w:val="center"/>
                </w:tcPr>
                <w:p w14:paraId="4FC019BC">
                  <w:pPr>
                    <w:widowControl w:val="0"/>
                    <w:overflowPunct w:val="0"/>
                    <w:autoSpaceDE w:val="0"/>
                    <w:autoSpaceDN w:val="0"/>
                    <w:snapToGrid w:val="0"/>
                    <w:jc w:val="center"/>
                    <w:rPr>
                      <w:snapToGrid w:val="0"/>
                      <w:color w:val="auto"/>
                      <w14:ligatures w14:val="standardContextual"/>
                    </w:rPr>
                  </w:pPr>
                  <w:r>
                    <w:rPr>
                      <w:rFonts w:hint="eastAsia"/>
                      <w:color w:val="auto"/>
                      <w:lang w:eastAsia="zh-CN"/>
                      <w14:ligatures w14:val="standardContextual"/>
                    </w:rPr>
                    <w:t>中国—马来西亚</w:t>
                  </w:r>
                  <w:r>
                    <w:rPr>
                      <w:rFonts w:hint="eastAsia"/>
                      <w:color w:val="auto"/>
                      <w14:ligatures w14:val="standardContextual"/>
                    </w:rPr>
                    <w:t>钦州产业园区自然资源局于2025年4月24日出具了《关于钦州港片区建筑垃圾消纳场资源化利用项目临时选址的意见》，本项目用地符合规划要求。项目选址不涉及</w:t>
                  </w:r>
                  <w:r>
                    <w:rPr>
                      <w:snapToGrid w:val="0"/>
                      <w:color w:val="auto"/>
                      <w14:ligatures w14:val="standardContextual"/>
                    </w:rPr>
                    <w:t>发震断层、滑坡、泥石流、沼泽、流沙及采矿陷落区等</w:t>
                  </w:r>
                  <w:r>
                    <w:rPr>
                      <w:rFonts w:hint="eastAsia"/>
                      <w:snapToGrid w:val="0"/>
                      <w:color w:val="auto"/>
                      <w14:ligatures w14:val="standardContextual"/>
                    </w:rPr>
                    <w:t>，周围</w:t>
                  </w:r>
                  <w:r>
                    <w:rPr>
                      <w:snapToGrid w:val="0"/>
                      <w:color w:val="auto"/>
                      <w14:ligatures w14:val="standardContextual"/>
                    </w:rPr>
                    <w:t>交通方便</w:t>
                  </w:r>
                  <w:r>
                    <w:rPr>
                      <w:rFonts w:hint="eastAsia"/>
                      <w:snapToGrid w:val="0"/>
                      <w:color w:val="auto"/>
                      <w14:ligatures w14:val="standardContextual"/>
                    </w:rPr>
                    <w:t>，500米内不涉及</w:t>
                  </w:r>
                  <w:r>
                    <w:rPr>
                      <w:snapToGrid w:val="0"/>
                      <w:color w:val="auto"/>
                      <w14:ligatures w14:val="standardContextual"/>
                    </w:rPr>
                    <w:t>环境保护目标</w:t>
                  </w:r>
                  <w:r>
                    <w:rPr>
                      <w:rFonts w:hint="eastAsia"/>
                      <w:snapToGrid w:val="0"/>
                      <w:color w:val="auto"/>
                      <w14:ligatures w14:val="standardContextual"/>
                    </w:rPr>
                    <w:t>。</w:t>
                  </w:r>
                </w:p>
              </w:tc>
              <w:tc>
                <w:tcPr>
                  <w:tcW w:w="525" w:type="dxa"/>
                  <w:noWrap/>
                  <w:vAlign w:val="center"/>
                </w:tcPr>
                <w:p w14:paraId="17A81E10">
                  <w:pPr>
                    <w:widowControl w:val="0"/>
                    <w:overflowPunct w:val="0"/>
                    <w:autoSpaceDE w:val="0"/>
                    <w:autoSpaceDN w:val="0"/>
                    <w:snapToGrid w:val="0"/>
                    <w:jc w:val="center"/>
                    <w:rPr>
                      <w:snapToGrid w:val="0"/>
                      <w:color w:val="auto"/>
                      <w14:ligatures w14:val="standardContextual"/>
                    </w:rPr>
                  </w:pPr>
                  <w:r>
                    <w:rPr>
                      <w:snapToGrid w:val="0"/>
                      <w:color w:val="auto"/>
                      <w14:ligatures w14:val="standardContextual"/>
                    </w:rPr>
                    <w:t>符合</w:t>
                  </w:r>
                </w:p>
              </w:tc>
            </w:tr>
            <w:tr w14:paraId="1448F9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060" w:type="dxa"/>
                  <w:noWrap/>
                  <w:vAlign w:val="center"/>
                </w:tcPr>
                <w:p w14:paraId="3FB1D417">
                  <w:pPr>
                    <w:widowControl w:val="0"/>
                    <w:overflowPunct w:val="0"/>
                    <w:autoSpaceDE w:val="0"/>
                    <w:autoSpaceDN w:val="0"/>
                    <w:snapToGrid w:val="0"/>
                    <w:jc w:val="center"/>
                    <w:rPr>
                      <w:snapToGrid w:val="0"/>
                      <w:color w:val="auto"/>
                      <w14:ligatures w14:val="standardContextual"/>
                    </w:rPr>
                  </w:pPr>
                  <w:r>
                    <w:rPr>
                      <w:snapToGrid w:val="0"/>
                      <w:color w:val="auto"/>
                      <w14:ligatures w14:val="standardContextual"/>
                    </w:rPr>
                    <w:t>6.1.2、资源化处理工程应包括计量系统、预处理系统、资源化利用系统、原料及成品贮存系统、通风除尘系统、污水处理系统、厂区道路、地基处理、防洪等</w:t>
                  </w:r>
                </w:p>
              </w:tc>
              <w:tc>
                <w:tcPr>
                  <w:tcW w:w="2711" w:type="dxa"/>
                  <w:noWrap/>
                  <w:vAlign w:val="center"/>
                </w:tcPr>
                <w:p w14:paraId="24225332">
                  <w:pPr>
                    <w:widowControl w:val="0"/>
                    <w:overflowPunct w:val="0"/>
                    <w:autoSpaceDE w:val="0"/>
                    <w:autoSpaceDN w:val="0"/>
                    <w:snapToGrid w:val="0"/>
                    <w:jc w:val="center"/>
                    <w:rPr>
                      <w:snapToGrid w:val="0"/>
                      <w:color w:val="auto"/>
                      <w14:ligatures w14:val="standardContextual"/>
                    </w:rPr>
                  </w:pPr>
                  <w:r>
                    <w:rPr>
                      <w:rFonts w:hint="eastAsia"/>
                      <w:snapToGrid w:val="0"/>
                      <w:color w:val="auto"/>
                      <w14:ligatures w14:val="standardContextual"/>
                    </w:rPr>
                    <w:t>本项目厂区入口设置地磅，生产车间内</w:t>
                  </w:r>
                  <w:r>
                    <w:rPr>
                      <w:rFonts w:hint="eastAsia"/>
                      <w:color w:val="auto"/>
                      <w14:ligatures w14:val="standardContextual"/>
                    </w:rPr>
                    <w:t>设置1条垃圾分选生产线</w:t>
                  </w:r>
                  <w:r>
                    <w:rPr>
                      <w:rFonts w:hint="eastAsia"/>
                      <w:snapToGrid w:val="0"/>
                      <w:color w:val="auto"/>
                      <w14:ligatures w14:val="standardContextual"/>
                    </w:rPr>
                    <w:t>，原料及成品妥善贮存，</w:t>
                  </w:r>
                  <w:r>
                    <w:rPr>
                      <w:rFonts w:hint="eastAsia"/>
                      <w:color w:val="auto"/>
                      <w14:ligatures w14:val="standardContextual"/>
                    </w:rPr>
                    <w:t>破碎、筛分、磁选、风选工序粉尘经集气罩收集由布袋除尘器处理后通过15m高排气筒（DA001）排放</w:t>
                  </w:r>
                  <w:r>
                    <w:rPr>
                      <w:rFonts w:hint="eastAsia"/>
                      <w:snapToGrid w:val="0"/>
                      <w:color w:val="auto"/>
                      <w14:ligatures w14:val="standardContextual"/>
                    </w:rPr>
                    <w:t>，车辆清洗废水、初期雨水经沉淀池处理后回用不外排。</w:t>
                  </w:r>
                </w:p>
              </w:tc>
              <w:tc>
                <w:tcPr>
                  <w:tcW w:w="525" w:type="dxa"/>
                  <w:noWrap/>
                  <w:vAlign w:val="center"/>
                </w:tcPr>
                <w:p w14:paraId="53DE5AA9">
                  <w:pPr>
                    <w:widowControl w:val="0"/>
                    <w:overflowPunct w:val="0"/>
                    <w:autoSpaceDE w:val="0"/>
                    <w:autoSpaceDN w:val="0"/>
                    <w:snapToGrid w:val="0"/>
                    <w:jc w:val="center"/>
                    <w:rPr>
                      <w:snapToGrid w:val="0"/>
                      <w:color w:val="auto"/>
                      <w14:ligatures w14:val="standardContextual"/>
                    </w:rPr>
                  </w:pPr>
                  <w:r>
                    <w:rPr>
                      <w:snapToGrid w:val="0"/>
                      <w:color w:val="auto"/>
                      <w14:ligatures w14:val="standardContextual"/>
                    </w:rPr>
                    <w:t>符合</w:t>
                  </w:r>
                </w:p>
              </w:tc>
            </w:tr>
            <w:tr w14:paraId="518D83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060" w:type="dxa"/>
                  <w:noWrap/>
                  <w:vAlign w:val="center"/>
                </w:tcPr>
                <w:p w14:paraId="4EA264B0">
                  <w:pPr>
                    <w:widowControl w:val="0"/>
                    <w:overflowPunct w:val="0"/>
                    <w:autoSpaceDE w:val="0"/>
                    <w:autoSpaceDN w:val="0"/>
                    <w:snapToGrid w:val="0"/>
                    <w:jc w:val="center"/>
                    <w:rPr>
                      <w:snapToGrid w:val="0"/>
                      <w:color w:val="auto"/>
                      <w14:ligatures w14:val="standardContextual"/>
                    </w:rPr>
                  </w:pPr>
                  <w:r>
                    <w:rPr>
                      <w:snapToGrid w:val="0"/>
                      <w:color w:val="auto"/>
                      <w14:ligatures w14:val="standardContextual"/>
                    </w:rPr>
                    <w:t>6.1.3、辅助设施构成应包括进厂（场）道路、供配电、给排水设施、生活和行政办公管理设施、设备维修、消防和安全卫生设施、车辆冲洗、通信、信息化及监控、应急设施（包括建筑垃圾临时存放、紧急照明）等</w:t>
                  </w:r>
                </w:p>
              </w:tc>
              <w:tc>
                <w:tcPr>
                  <w:tcW w:w="2711" w:type="dxa"/>
                  <w:noWrap/>
                  <w:vAlign w:val="center"/>
                </w:tcPr>
                <w:p w14:paraId="46FD8C47">
                  <w:pPr>
                    <w:widowControl w:val="0"/>
                    <w:overflowPunct w:val="0"/>
                    <w:autoSpaceDE w:val="0"/>
                    <w:autoSpaceDN w:val="0"/>
                    <w:snapToGrid w:val="0"/>
                    <w:jc w:val="center"/>
                    <w:rPr>
                      <w:snapToGrid w:val="0"/>
                      <w:color w:val="auto"/>
                      <w14:ligatures w14:val="standardContextual"/>
                    </w:rPr>
                  </w:pPr>
                  <w:r>
                    <w:rPr>
                      <w:snapToGrid w:val="0"/>
                      <w:color w:val="auto"/>
                      <w14:ligatures w14:val="standardContextual"/>
                    </w:rPr>
                    <w:t>项目配套建设了进厂道路</w:t>
                  </w:r>
                  <w:r>
                    <w:rPr>
                      <w:rFonts w:hint="eastAsia"/>
                      <w:snapToGrid w:val="0"/>
                      <w:color w:val="auto"/>
                      <w14:ligatures w14:val="standardContextual"/>
                    </w:rPr>
                    <w:t>，</w:t>
                  </w:r>
                  <w:r>
                    <w:rPr>
                      <w:snapToGrid w:val="0"/>
                      <w:color w:val="auto"/>
                      <w14:ligatures w14:val="standardContextual"/>
                    </w:rPr>
                    <w:t>地面硬化处理</w:t>
                  </w:r>
                  <w:r>
                    <w:rPr>
                      <w:rFonts w:hint="eastAsia"/>
                      <w:snapToGrid w:val="0"/>
                      <w:color w:val="auto"/>
                      <w14:ligatures w14:val="standardContextual"/>
                    </w:rPr>
                    <w:t>，</w:t>
                  </w:r>
                  <w:r>
                    <w:rPr>
                      <w:snapToGrid w:val="0"/>
                      <w:color w:val="auto"/>
                      <w14:ligatures w14:val="standardContextual"/>
                    </w:rPr>
                    <w:t>供配电由市政供电</w:t>
                  </w:r>
                  <w:r>
                    <w:rPr>
                      <w:rFonts w:hint="eastAsia"/>
                      <w:snapToGrid w:val="0"/>
                      <w:color w:val="auto"/>
                      <w14:ligatures w14:val="standardContextual"/>
                    </w:rPr>
                    <w:t>，供水来源于市政管网，不涉及生产废水外排，设置</w:t>
                  </w:r>
                  <w:r>
                    <w:rPr>
                      <w:snapToGrid w:val="0"/>
                      <w:color w:val="auto"/>
                      <w14:ligatures w14:val="standardContextual"/>
                    </w:rPr>
                    <w:t>办公设施、车辆冲洗平台等</w:t>
                  </w:r>
                  <w:r>
                    <w:rPr>
                      <w:rFonts w:hint="eastAsia"/>
                      <w:snapToGrid w:val="0"/>
                      <w:color w:val="auto"/>
                      <w14:ligatures w14:val="standardContextual"/>
                    </w:rPr>
                    <w:t>。</w:t>
                  </w:r>
                </w:p>
              </w:tc>
              <w:tc>
                <w:tcPr>
                  <w:tcW w:w="525" w:type="dxa"/>
                  <w:noWrap/>
                  <w:vAlign w:val="center"/>
                </w:tcPr>
                <w:p w14:paraId="07FB5F8E">
                  <w:pPr>
                    <w:widowControl w:val="0"/>
                    <w:overflowPunct w:val="0"/>
                    <w:autoSpaceDE w:val="0"/>
                    <w:autoSpaceDN w:val="0"/>
                    <w:snapToGrid w:val="0"/>
                    <w:jc w:val="center"/>
                    <w:rPr>
                      <w:snapToGrid w:val="0"/>
                      <w:color w:val="auto"/>
                      <w14:ligatures w14:val="standardContextual"/>
                    </w:rPr>
                  </w:pPr>
                  <w:r>
                    <w:rPr>
                      <w:snapToGrid w:val="0"/>
                      <w:color w:val="auto"/>
                      <w14:ligatures w14:val="standardContextual"/>
                    </w:rPr>
                    <w:t>符合</w:t>
                  </w:r>
                </w:p>
              </w:tc>
            </w:tr>
            <w:tr w14:paraId="3C8B8D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060" w:type="dxa"/>
                  <w:noWrap/>
                  <w:vAlign w:val="center"/>
                </w:tcPr>
                <w:p w14:paraId="3CF3346F">
                  <w:pPr>
                    <w:widowControl w:val="0"/>
                    <w:overflowPunct w:val="0"/>
                    <w:autoSpaceDE w:val="0"/>
                    <w:autoSpaceDN w:val="0"/>
                    <w:snapToGrid w:val="0"/>
                    <w:jc w:val="center"/>
                    <w:rPr>
                      <w:snapToGrid w:val="0"/>
                      <w:color w:val="auto"/>
                      <w14:ligatures w14:val="standardContextual"/>
                    </w:rPr>
                  </w:pPr>
                  <w:r>
                    <w:rPr>
                      <w:snapToGrid w:val="0"/>
                      <w:color w:val="auto"/>
                      <w14:ligatures w14:val="standardContextual"/>
                    </w:rPr>
                    <w:t>6.2.2、总平面布置应有利于减少建筑垃圾运输和处理过程中的粉尘、噪声等对周围环境的影响，并防止各设施间的交叉污染</w:t>
                  </w:r>
                </w:p>
              </w:tc>
              <w:tc>
                <w:tcPr>
                  <w:tcW w:w="2711" w:type="dxa"/>
                  <w:noWrap/>
                  <w:vAlign w:val="center"/>
                </w:tcPr>
                <w:p w14:paraId="592F4BC8">
                  <w:pPr>
                    <w:widowControl w:val="0"/>
                    <w:overflowPunct w:val="0"/>
                    <w:autoSpaceDE w:val="0"/>
                    <w:autoSpaceDN w:val="0"/>
                    <w:snapToGrid w:val="0"/>
                    <w:jc w:val="center"/>
                    <w:rPr>
                      <w:snapToGrid w:val="0"/>
                      <w:color w:val="auto"/>
                      <w14:ligatures w14:val="standardContextual"/>
                    </w:rPr>
                  </w:pPr>
                  <w:r>
                    <w:rPr>
                      <w:snapToGrid w:val="0"/>
                      <w:color w:val="auto"/>
                      <w14:ligatures w14:val="standardContextual"/>
                    </w:rPr>
                    <w:t>厂区优化布局设置</w:t>
                  </w:r>
                  <w:r>
                    <w:rPr>
                      <w:rFonts w:hint="eastAsia"/>
                      <w:snapToGrid w:val="0"/>
                      <w:color w:val="auto"/>
                      <w14:ligatures w14:val="standardContextual"/>
                    </w:rPr>
                    <w:t>，合理设置运输道路，项目采取了较为完善的污染治理措施，可确保各类污染物达标排放；建构筑物之间合理安排距离，防止交叉污染。</w:t>
                  </w:r>
                </w:p>
              </w:tc>
              <w:tc>
                <w:tcPr>
                  <w:tcW w:w="525" w:type="dxa"/>
                  <w:noWrap/>
                  <w:vAlign w:val="center"/>
                </w:tcPr>
                <w:p w14:paraId="067B201C">
                  <w:pPr>
                    <w:widowControl w:val="0"/>
                    <w:overflowPunct w:val="0"/>
                    <w:autoSpaceDE w:val="0"/>
                    <w:autoSpaceDN w:val="0"/>
                    <w:snapToGrid w:val="0"/>
                    <w:jc w:val="center"/>
                    <w:rPr>
                      <w:snapToGrid w:val="0"/>
                      <w:color w:val="auto"/>
                      <w14:ligatures w14:val="standardContextual"/>
                    </w:rPr>
                  </w:pPr>
                  <w:r>
                    <w:rPr>
                      <w:snapToGrid w:val="0"/>
                      <w:color w:val="auto"/>
                      <w14:ligatures w14:val="standardContextual"/>
                    </w:rPr>
                    <w:t>符合</w:t>
                  </w:r>
                </w:p>
              </w:tc>
            </w:tr>
            <w:tr w14:paraId="075B62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060" w:type="dxa"/>
                  <w:noWrap/>
                  <w:vAlign w:val="center"/>
                </w:tcPr>
                <w:p w14:paraId="50C3B544">
                  <w:pPr>
                    <w:widowControl w:val="0"/>
                    <w:overflowPunct w:val="0"/>
                    <w:autoSpaceDE w:val="0"/>
                    <w:autoSpaceDN w:val="0"/>
                    <w:snapToGrid w:val="0"/>
                    <w:jc w:val="center"/>
                    <w:rPr>
                      <w:snapToGrid w:val="0"/>
                      <w:color w:val="auto"/>
                      <w14:ligatures w14:val="standardContextual"/>
                    </w:rPr>
                  </w:pPr>
                  <w:r>
                    <w:rPr>
                      <w:snapToGrid w:val="0"/>
                      <w:color w:val="auto"/>
                      <w14:ligatures w14:val="standardContextual"/>
                    </w:rPr>
                    <w:t>6.2.3、宜分别设置人流和物流出入口，两出入口不得相互影响，且做到进出车辆畅通</w:t>
                  </w:r>
                </w:p>
              </w:tc>
              <w:tc>
                <w:tcPr>
                  <w:tcW w:w="2711" w:type="dxa"/>
                  <w:noWrap/>
                  <w:vAlign w:val="center"/>
                </w:tcPr>
                <w:p w14:paraId="7F0DE29E">
                  <w:pPr>
                    <w:widowControl w:val="0"/>
                    <w:overflowPunct w:val="0"/>
                    <w:autoSpaceDE w:val="0"/>
                    <w:autoSpaceDN w:val="0"/>
                    <w:snapToGrid w:val="0"/>
                    <w:jc w:val="center"/>
                    <w:rPr>
                      <w:snapToGrid w:val="0"/>
                      <w:color w:val="auto"/>
                      <w14:ligatures w14:val="standardContextual"/>
                    </w:rPr>
                  </w:pPr>
                  <w:r>
                    <w:rPr>
                      <w:snapToGrid w:val="0"/>
                      <w:color w:val="auto"/>
                      <w14:ligatures w14:val="standardContextual"/>
                    </w:rPr>
                    <w:t>项目厂区</w:t>
                  </w:r>
                  <w:r>
                    <w:rPr>
                      <w:rFonts w:hint="eastAsia"/>
                      <w:snapToGrid w:val="0"/>
                      <w:color w:val="auto"/>
                      <w14:ligatures w14:val="standardContextual"/>
                    </w:rPr>
                    <w:t>出入口位于厂区西侧，出入口实行人货分流，可实现</w:t>
                  </w:r>
                  <w:r>
                    <w:rPr>
                      <w:snapToGrid w:val="0"/>
                      <w:color w:val="auto"/>
                      <w14:ligatures w14:val="standardContextual"/>
                    </w:rPr>
                    <w:t>进出车辆畅通</w:t>
                  </w:r>
                  <w:r>
                    <w:rPr>
                      <w:rFonts w:hint="eastAsia"/>
                      <w:snapToGrid w:val="0"/>
                      <w:color w:val="auto"/>
                      <w14:ligatures w14:val="standardContextual"/>
                    </w:rPr>
                    <w:t>。</w:t>
                  </w:r>
                </w:p>
              </w:tc>
              <w:tc>
                <w:tcPr>
                  <w:tcW w:w="525" w:type="dxa"/>
                  <w:noWrap/>
                  <w:vAlign w:val="center"/>
                </w:tcPr>
                <w:p w14:paraId="52BBBD56">
                  <w:pPr>
                    <w:widowControl w:val="0"/>
                    <w:overflowPunct w:val="0"/>
                    <w:autoSpaceDE w:val="0"/>
                    <w:autoSpaceDN w:val="0"/>
                    <w:snapToGrid w:val="0"/>
                    <w:jc w:val="center"/>
                    <w:rPr>
                      <w:snapToGrid w:val="0"/>
                      <w:color w:val="auto"/>
                      <w14:ligatures w14:val="standardContextual"/>
                    </w:rPr>
                  </w:pPr>
                  <w:r>
                    <w:rPr>
                      <w:snapToGrid w:val="0"/>
                      <w:color w:val="auto"/>
                      <w14:ligatures w14:val="standardContextual"/>
                    </w:rPr>
                    <w:t>符合</w:t>
                  </w:r>
                </w:p>
              </w:tc>
            </w:tr>
            <w:tr w14:paraId="6EFCB7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060" w:type="dxa"/>
                  <w:noWrap/>
                  <w:vAlign w:val="center"/>
                </w:tcPr>
                <w:p w14:paraId="57DE0B82">
                  <w:pPr>
                    <w:widowControl w:val="0"/>
                    <w:overflowPunct w:val="0"/>
                    <w:autoSpaceDE w:val="0"/>
                    <w:autoSpaceDN w:val="0"/>
                    <w:snapToGrid w:val="0"/>
                    <w:jc w:val="center"/>
                    <w:rPr>
                      <w:snapToGrid w:val="0"/>
                      <w:color w:val="auto"/>
                      <w14:ligatures w14:val="standardContextual"/>
                    </w:rPr>
                  </w:pPr>
                  <w:r>
                    <w:rPr>
                      <w:snapToGrid w:val="0"/>
                      <w:color w:val="auto"/>
                      <w14:ligatures w14:val="standardContextual"/>
                    </w:rPr>
                    <w:t>6.2.6、资源化处理工程总平面布置应以预处理及资源化利用厂房为主体进行布置，其他各项设施应按建筑垃圾处理流程、功能分区，合理布置，并应做到整体效果协调</w:t>
                  </w:r>
                </w:p>
              </w:tc>
              <w:tc>
                <w:tcPr>
                  <w:tcW w:w="2711" w:type="dxa"/>
                  <w:noWrap/>
                  <w:vAlign w:val="center"/>
                </w:tcPr>
                <w:p w14:paraId="7C6C599B">
                  <w:pPr>
                    <w:widowControl w:val="0"/>
                    <w:overflowPunct w:val="0"/>
                    <w:autoSpaceDE w:val="0"/>
                    <w:autoSpaceDN w:val="0"/>
                    <w:snapToGrid w:val="0"/>
                    <w:jc w:val="center"/>
                    <w:rPr>
                      <w:snapToGrid w:val="0"/>
                      <w:color w:val="auto"/>
                      <w14:ligatures w14:val="standardContextual"/>
                    </w:rPr>
                  </w:pPr>
                  <w:r>
                    <w:rPr>
                      <w:snapToGrid w:val="0"/>
                      <w:color w:val="auto"/>
                      <w14:ligatures w14:val="standardContextual"/>
                    </w:rPr>
                    <w:t>项目</w:t>
                  </w:r>
                  <w:r>
                    <w:rPr>
                      <w:rFonts w:hint="eastAsia"/>
                      <w:snapToGrid w:val="0"/>
                      <w:color w:val="auto"/>
                      <w14:ligatures w14:val="standardContextual"/>
                    </w:rPr>
                    <w:t>总平面布置以预处理为主体</w:t>
                  </w:r>
                  <w:r>
                    <w:rPr>
                      <w:snapToGrid w:val="0"/>
                      <w:color w:val="auto"/>
                      <w14:ligatures w14:val="standardContextual"/>
                    </w:rPr>
                    <w:t>，</w:t>
                  </w:r>
                  <w:r>
                    <w:rPr>
                      <w:rFonts w:hint="eastAsia"/>
                      <w:snapToGrid w:val="0"/>
                      <w:color w:val="auto"/>
                      <w14:ligatures w14:val="standardContextual"/>
                    </w:rPr>
                    <w:t>按照建筑垃圾的处理流程合理设置功能分区，整体效果协调。</w:t>
                  </w:r>
                </w:p>
              </w:tc>
              <w:tc>
                <w:tcPr>
                  <w:tcW w:w="525" w:type="dxa"/>
                  <w:noWrap/>
                  <w:vAlign w:val="center"/>
                </w:tcPr>
                <w:p w14:paraId="63B69847">
                  <w:pPr>
                    <w:widowControl w:val="0"/>
                    <w:overflowPunct w:val="0"/>
                    <w:autoSpaceDE w:val="0"/>
                    <w:autoSpaceDN w:val="0"/>
                    <w:snapToGrid w:val="0"/>
                    <w:jc w:val="center"/>
                    <w:rPr>
                      <w:snapToGrid w:val="0"/>
                      <w:color w:val="auto"/>
                      <w14:ligatures w14:val="standardContextual"/>
                    </w:rPr>
                  </w:pPr>
                  <w:r>
                    <w:rPr>
                      <w:snapToGrid w:val="0"/>
                      <w:color w:val="auto"/>
                      <w14:ligatures w14:val="standardContextual"/>
                    </w:rPr>
                    <w:t>符合</w:t>
                  </w:r>
                </w:p>
              </w:tc>
            </w:tr>
            <w:tr w14:paraId="00194C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060" w:type="dxa"/>
                  <w:noWrap/>
                  <w:vAlign w:val="center"/>
                </w:tcPr>
                <w:p w14:paraId="700A56EF">
                  <w:pPr>
                    <w:widowControl w:val="0"/>
                    <w:overflowPunct w:val="0"/>
                    <w:autoSpaceDE w:val="0"/>
                    <w:autoSpaceDN w:val="0"/>
                    <w:snapToGrid w:val="0"/>
                    <w:jc w:val="center"/>
                    <w:rPr>
                      <w:snapToGrid w:val="0"/>
                      <w:color w:val="auto"/>
                      <w14:ligatures w14:val="standardContextual"/>
                    </w:rPr>
                  </w:pPr>
                  <w:r>
                    <w:rPr>
                      <w:snapToGrid w:val="0"/>
                      <w:color w:val="auto"/>
                      <w14:ligatures w14:val="standardContextual"/>
                    </w:rPr>
                    <w:t>6.4.1、资源化利用及填埋处置工程应设置汽车衡进行称重计量，计量房应设置在处理工程的交通入口处，并应具有良好的通视条件</w:t>
                  </w:r>
                </w:p>
              </w:tc>
              <w:tc>
                <w:tcPr>
                  <w:tcW w:w="2711" w:type="dxa"/>
                  <w:noWrap/>
                  <w:vAlign w:val="center"/>
                </w:tcPr>
                <w:p w14:paraId="57B60908">
                  <w:pPr>
                    <w:widowControl w:val="0"/>
                    <w:overflowPunct w:val="0"/>
                    <w:autoSpaceDE w:val="0"/>
                    <w:autoSpaceDN w:val="0"/>
                    <w:snapToGrid w:val="0"/>
                    <w:jc w:val="center"/>
                    <w:rPr>
                      <w:snapToGrid w:val="0"/>
                      <w:color w:val="auto"/>
                      <w14:ligatures w14:val="standardContextual"/>
                    </w:rPr>
                  </w:pPr>
                  <w:r>
                    <w:rPr>
                      <w:snapToGrid w:val="0"/>
                      <w:color w:val="auto"/>
                      <w14:ligatures w14:val="standardContextual"/>
                    </w:rPr>
                    <w:t>项目于出入口设立一座地磅</w:t>
                  </w:r>
                  <w:r>
                    <w:rPr>
                      <w:rFonts w:hint="eastAsia"/>
                      <w:snapToGrid w:val="0"/>
                      <w:color w:val="auto"/>
                      <w14:ligatures w14:val="standardContextual"/>
                    </w:rPr>
                    <w:t>。</w:t>
                  </w:r>
                </w:p>
              </w:tc>
              <w:tc>
                <w:tcPr>
                  <w:tcW w:w="525" w:type="dxa"/>
                  <w:noWrap/>
                  <w:vAlign w:val="center"/>
                </w:tcPr>
                <w:p w14:paraId="7D855BA2">
                  <w:pPr>
                    <w:widowControl w:val="0"/>
                    <w:overflowPunct w:val="0"/>
                    <w:autoSpaceDE w:val="0"/>
                    <w:autoSpaceDN w:val="0"/>
                    <w:snapToGrid w:val="0"/>
                    <w:jc w:val="center"/>
                    <w:rPr>
                      <w:snapToGrid w:val="0"/>
                      <w:color w:val="auto"/>
                      <w14:ligatures w14:val="standardContextual"/>
                    </w:rPr>
                  </w:pPr>
                  <w:r>
                    <w:rPr>
                      <w:snapToGrid w:val="0"/>
                      <w:color w:val="auto"/>
                      <w14:ligatures w14:val="standardContextual"/>
                    </w:rPr>
                    <w:t>符合</w:t>
                  </w:r>
                </w:p>
              </w:tc>
            </w:tr>
            <w:tr w14:paraId="66012F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060" w:type="dxa"/>
                  <w:noWrap/>
                  <w:vAlign w:val="center"/>
                </w:tcPr>
                <w:p w14:paraId="65AB588E">
                  <w:pPr>
                    <w:widowControl w:val="0"/>
                    <w:overflowPunct w:val="0"/>
                    <w:autoSpaceDE w:val="0"/>
                    <w:autoSpaceDN w:val="0"/>
                    <w:snapToGrid w:val="0"/>
                    <w:jc w:val="center"/>
                    <w:rPr>
                      <w:snapToGrid w:val="0"/>
                      <w:color w:val="auto"/>
                      <w14:ligatures w14:val="standardContextual"/>
                    </w:rPr>
                  </w:pPr>
                  <w:r>
                    <w:rPr>
                      <w:snapToGrid w:val="0"/>
                      <w:color w:val="auto"/>
                      <w14:ligatures w14:val="standardContextual"/>
                    </w:rPr>
                    <w:t>6.5.4、生产区与管理区之间以及填埋库区周边应设置防尘、防噪措施；填埋库区周围宜设安全防护设施</w:t>
                  </w:r>
                </w:p>
              </w:tc>
              <w:tc>
                <w:tcPr>
                  <w:tcW w:w="2711" w:type="dxa"/>
                  <w:noWrap/>
                  <w:vAlign w:val="center"/>
                </w:tcPr>
                <w:p w14:paraId="797126D6">
                  <w:pPr>
                    <w:widowControl w:val="0"/>
                    <w:overflowPunct w:val="0"/>
                    <w:autoSpaceDE w:val="0"/>
                    <w:autoSpaceDN w:val="0"/>
                    <w:snapToGrid w:val="0"/>
                    <w:jc w:val="center"/>
                    <w:rPr>
                      <w:snapToGrid w:val="0"/>
                      <w:color w:val="auto"/>
                      <w14:ligatures w14:val="standardContextual"/>
                    </w:rPr>
                  </w:pPr>
                  <w:r>
                    <w:rPr>
                      <w:snapToGrid w:val="0"/>
                      <w:color w:val="auto"/>
                      <w14:ligatures w14:val="standardContextual"/>
                    </w:rPr>
                    <w:t>项目生产车间封闭，高噪声设备安装减振基座，厂房隔声等</w:t>
                  </w:r>
                  <w:r>
                    <w:rPr>
                      <w:rFonts w:hint="eastAsia"/>
                      <w:snapToGrid w:val="0"/>
                      <w:color w:val="auto"/>
                      <w14:ligatures w14:val="standardContextual"/>
                    </w:rPr>
                    <w:t>。</w:t>
                  </w:r>
                </w:p>
              </w:tc>
              <w:tc>
                <w:tcPr>
                  <w:tcW w:w="525" w:type="dxa"/>
                  <w:noWrap/>
                  <w:vAlign w:val="center"/>
                </w:tcPr>
                <w:p w14:paraId="04EBD2C3">
                  <w:pPr>
                    <w:widowControl w:val="0"/>
                    <w:overflowPunct w:val="0"/>
                    <w:autoSpaceDE w:val="0"/>
                    <w:autoSpaceDN w:val="0"/>
                    <w:snapToGrid w:val="0"/>
                    <w:jc w:val="center"/>
                    <w:rPr>
                      <w:snapToGrid w:val="0"/>
                      <w:color w:val="auto"/>
                      <w14:ligatures w14:val="standardContextual"/>
                    </w:rPr>
                  </w:pPr>
                  <w:r>
                    <w:rPr>
                      <w:snapToGrid w:val="0"/>
                      <w:color w:val="auto"/>
                      <w14:ligatures w14:val="standardContextual"/>
                    </w:rPr>
                    <w:t>符合</w:t>
                  </w:r>
                </w:p>
              </w:tc>
            </w:tr>
            <w:tr w14:paraId="0CFED7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060" w:type="dxa"/>
                  <w:noWrap/>
                  <w:vAlign w:val="center"/>
                </w:tcPr>
                <w:p w14:paraId="56851EFF">
                  <w:pPr>
                    <w:widowControl w:val="0"/>
                    <w:overflowPunct w:val="0"/>
                    <w:autoSpaceDE w:val="0"/>
                    <w:autoSpaceDN w:val="0"/>
                    <w:snapToGrid w:val="0"/>
                    <w:jc w:val="center"/>
                    <w:rPr>
                      <w:snapToGrid w:val="0"/>
                      <w:color w:val="auto"/>
                      <w14:ligatures w14:val="standardContextual"/>
                    </w:rPr>
                  </w:pPr>
                  <w:r>
                    <w:rPr>
                      <w:snapToGrid w:val="0"/>
                      <w:color w:val="auto"/>
                      <w14:ligatures w14:val="standardContextual"/>
                    </w:rPr>
                    <w:t>7.1.3、建筑垃圾散装运输车或船表面应有效遮盖，建筑垃圾不得裸露和散落</w:t>
                  </w:r>
                </w:p>
              </w:tc>
              <w:tc>
                <w:tcPr>
                  <w:tcW w:w="2711" w:type="dxa"/>
                  <w:noWrap/>
                  <w:vAlign w:val="center"/>
                </w:tcPr>
                <w:p w14:paraId="4C02F188">
                  <w:pPr>
                    <w:widowControl w:val="0"/>
                    <w:overflowPunct w:val="0"/>
                    <w:autoSpaceDE w:val="0"/>
                    <w:autoSpaceDN w:val="0"/>
                    <w:snapToGrid w:val="0"/>
                    <w:jc w:val="center"/>
                    <w:rPr>
                      <w:snapToGrid w:val="0"/>
                      <w:color w:val="auto"/>
                      <w14:ligatures w14:val="standardContextual"/>
                    </w:rPr>
                  </w:pPr>
                  <w:r>
                    <w:rPr>
                      <w:snapToGrid w:val="0"/>
                      <w:color w:val="auto"/>
                      <w14:ligatures w14:val="standardContextual"/>
                    </w:rPr>
                    <w:t>项目建筑垃圾运输车辆加盖毡布</w:t>
                  </w:r>
                  <w:r>
                    <w:rPr>
                      <w:rFonts w:hint="eastAsia"/>
                      <w:snapToGrid w:val="0"/>
                      <w:color w:val="auto"/>
                      <w14:ligatures w14:val="standardContextual"/>
                    </w:rPr>
                    <w:t>。</w:t>
                  </w:r>
                </w:p>
              </w:tc>
              <w:tc>
                <w:tcPr>
                  <w:tcW w:w="525" w:type="dxa"/>
                  <w:noWrap/>
                  <w:vAlign w:val="center"/>
                </w:tcPr>
                <w:p w14:paraId="27F8C088">
                  <w:pPr>
                    <w:widowControl w:val="0"/>
                    <w:overflowPunct w:val="0"/>
                    <w:autoSpaceDE w:val="0"/>
                    <w:autoSpaceDN w:val="0"/>
                    <w:snapToGrid w:val="0"/>
                    <w:jc w:val="center"/>
                    <w:rPr>
                      <w:snapToGrid w:val="0"/>
                      <w:color w:val="auto"/>
                      <w14:ligatures w14:val="standardContextual"/>
                    </w:rPr>
                  </w:pPr>
                  <w:r>
                    <w:rPr>
                      <w:snapToGrid w:val="0"/>
                      <w:color w:val="auto"/>
                      <w14:ligatures w14:val="standardContextual"/>
                    </w:rPr>
                    <w:t>符合</w:t>
                  </w:r>
                </w:p>
              </w:tc>
            </w:tr>
            <w:tr w14:paraId="0A68AF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060" w:type="dxa"/>
                  <w:noWrap/>
                  <w:vAlign w:val="center"/>
                </w:tcPr>
                <w:p w14:paraId="27ACAE9A">
                  <w:pPr>
                    <w:widowControl w:val="0"/>
                    <w:overflowPunct w:val="0"/>
                    <w:autoSpaceDE w:val="0"/>
                    <w:autoSpaceDN w:val="0"/>
                    <w:snapToGrid w:val="0"/>
                    <w:jc w:val="center"/>
                    <w:rPr>
                      <w:snapToGrid w:val="0"/>
                      <w:color w:val="auto"/>
                      <w14:ligatures w14:val="standardContextual"/>
                    </w:rPr>
                  </w:pPr>
                  <w:r>
                    <w:rPr>
                      <w:snapToGrid w:val="0"/>
                      <w:color w:val="auto"/>
                      <w14:ligatures w14:val="standardContextual"/>
                    </w:rPr>
                    <w:t>7.1.5、建筑垃圾运输工具应容貌整洁、标志齐全，车厢、集装箱、车辆底盘、车轮、船舶无大块泥沙等附着物</w:t>
                  </w:r>
                </w:p>
              </w:tc>
              <w:tc>
                <w:tcPr>
                  <w:tcW w:w="2711" w:type="dxa"/>
                  <w:noWrap/>
                  <w:vAlign w:val="center"/>
                </w:tcPr>
                <w:p w14:paraId="26B317F3">
                  <w:pPr>
                    <w:widowControl w:val="0"/>
                    <w:overflowPunct w:val="0"/>
                    <w:autoSpaceDE w:val="0"/>
                    <w:autoSpaceDN w:val="0"/>
                    <w:snapToGrid w:val="0"/>
                    <w:jc w:val="center"/>
                    <w:rPr>
                      <w:snapToGrid w:val="0"/>
                      <w:color w:val="auto"/>
                      <w14:ligatures w14:val="standardContextual"/>
                    </w:rPr>
                  </w:pPr>
                  <w:r>
                    <w:rPr>
                      <w:snapToGrid w:val="0"/>
                      <w:color w:val="auto"/>
                      <w14:ligatures w14:val="standardContextual"/>
                    </w:rPr>
                    <w:t>厂区设置车辆冲洗平台</w:t>
                  </w:r>
                  <w:r>
                    <w:rPr>
                      <w:rFonts w:hint="eastAsia"/>
                      <w:snapToGrid w:val="0"/>
                      <w:color w:val="auto"/>
                      <w14:ligatures w14:val="standardContextual"/>
                    </w:rPr>
                    <w:t>，</w:t>
                  </w:r>
                  <w:r>
                    <w:rPr>
                      <w:snapToGrid w:val="0"/>
                      <w:color w:val="auto"/>
                      <w14:ligatures w14:val="standardContextual"/>
                    </w:rPr>
                    <w:t>运输车辆进出冲洗</w:t>
                  </w:r>
                  <w:r>
                    <w:rPr>
                      <w:rFonts w:hint="eastAsia"/>
                      <w:snapToGrid w:val="0"/>
                      <w:color w:val="auto"/>
                      <w14:ligatures w14:val="standardContextual"/>
                    </w:rPr>
                    <w:t>。</w:t>
                  </w:r>
                </w:p>
              </w:tc>
              <w:tc>
                <w:tcPr>
                  <w:tcW w:w="525" w:type="dxa"/>
                  <w:noWrap/>
                  <w:vAlign w:val="center"/>
                </w:tcPr>
                <w:p w14:paraId="3FAA7C20">
                  <w:pPr>
                    <w:widowControl w:val="0"/>
                    <w:overflowPunct w:val="0"/>
                    <w:autoSpaceDE w:val="0"/>
                    <w:autoSpaceDN w:val="0"/>
                    <w:snapToGrid w:val="0"/>
                    <w:jc w:val="center"/>
                    <w:rPr>
                      <w:snapToGrid w:val="0"/>
                      <w:color w:val="auto"/>
                      <w14:ligatures w14:val="standardContextual"/>
                    </w:rPr>
                  </w:pPr>
                  <w:r>
                    <w:rPr>
                      <w:snapToGrid w:val="0"/>
                      <w:color w:val="auto"/>
                      <w14:ligatures w14:val="standardContextual"/>
                    </w:rPr>
                    <w:t>符合</w:t>
                  </w:r>
                </w:p>
              </w:tc>
            </w:tr>
            <w:tr w14:paraId="4D061E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060" w:type="dxa"/>
                  <w:noWrap/>
                  <w:vAlign w:val="center"/>
                </w:tcPr>
                <w:p w14:paraId="6D33767D">
                  <w:pPr>
                    <w:widowControl w:val="0"/>
                    <w:overflowPunct w:val="0"/>
                    <w:autoSpaceDE w:val="0"/>
                    <w:autoSpaceDN w:val="0"/>
                    <w:snapToGrid w:val="0"/>
                    <w:jc w:val="center"/>
                    <w:rPr>
                      <w:snapToGrid w:val="0"/>
                      <w:color w:val="auto"/>
                      <w14:ligatures w14:val="standardContextual"/>
                    </w:rPr>
                  </w:pPr>
                  <w:r>
                    <w:rPr>
                      <w:snapToGrid w:val="0"/>
                      <w:color w:val="auto"/>
                      <w14:ligatures w14:val="standardContextual"/>
                    </w:rPr>
                    <w:t>12.1.1、资源化利用和填埋处置工程应有雨、污分流设施，防止污染周边环境</w:t>
                  </w:r>
                </w:p>
              </w:tc>
              <w:tc>
                <w:tcPr>
                  <w:tcW w:w="2711" w:type="dxa"/>
                  <w:noWrap/>
                  <w:vAlign w:val="center"/>
                </w:tcPr>
                <w:p w14:paraId="6A55787E">
                  <w:pPr>
                    <w:widowControl w:val="0"/>
                    <w:overflowPunct w:val="0"/>
                    <w:autoSpaceDE w:val="0"/>
                    <w:autoSpaceDN w:val="0"/>
                    <w:snapToGrid w:val="0"/>
                    <w:jc w:val="center"/>
                    <w:rPr>
                      <w:snapToGrid w:val="0"/>
                      <w:color w:val="auto"/>
                      <w14:ligatures w14:val="standardContextual"/>
                    </w:rPr>
                  </w:pPr>
                  <w:r>
                    <w:rPr>
                      <w:rFonts w:hint="eastAsia"/>
                      <w:snapToGrid w:val="0"/>
                      <w:color w:val="auto"/>
                      <w14:ligatures w14:val="standardContextual"/>
                    </w:rPr>
                    <w:t>厂区排水采用雨污分流制。</w:t>
                  </w:r>
                </w:p>
              </w:tc>
              <w:tc>
                <w:tcPr>
                  <w:tcW w:w="525" w:type="dxa"/>
                  <w:noWrap/>
                  <w:vAlign w:val="center"/>
                </w:tcPr>
                <w:p w14:paraId="6BFC66F1">
                  <w:pPr>
                    <w:widowControl w:val="0"/>
                    <w:overflowPunct w:val="0"/>
                    <w:autoSpaceDE w:val="0"/>
                    <w:autoSpaceDN w:val="0"/>
                    <w:snapToGrid w:val="0"/>
                    <w:jc w:val="center"/>
                    <w:rPr>
                      <w:snapToGrid w:val="0"/>
                      <w:color w:val="auto"/>
                      <w14:ligatures w14:val="standardContextual"/>
                    </w:rPr>
                  </w:pPr>
                  <w:r>
                    <w:rPr>
                      <w:snapToGrid w:val="0"/>
                      <w:color w:val="auto"/>
                      <w14:ligatures w14:val="standardContextual"/>
                    </w:rPr>
                    <w:t>符合</w:t>
                  </w:r>
                </w:p>
              </w:tc>
            </w:tr>
            <w:tr w14:paraId="4C27D6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060" w:type="dxa"/>
                  <w:noWrap/>
                  <w:vAlign w:val="center"/>
                </w:tcPr>
                <w:p w14:paraId="7EC6D3EE">
                  <w:pPr>
                    <w:widowControl w:val="0"/>
                    <w:overflowPunct w:val="0"/>
                    <w:autoSpaceDE w:val="0"/>
                    <w:autoSpaceDN w:val="0"/>
                    <w:snapToGrid w:val="0"/>
                    <w:jc w:val="center"/>
                    <w:rPr>
                      <w:snapToGrid w:val="0"/>
                      <w:color w:val="auto"/>
                      <w14:ligatures w14:val="standardContextual"/>
                    </w:rPr>
                  </w:pPr>
                  <w:r>
                    <w:rPr>
                      <w:snapToGrid w:val="0"/>
                      <w:color w:val="auto"/>
                      <w14:ligatures w14:val="standardContextual"/>
                    </w:rPr>
                    <w:t>12.1.2、资源化处理工程应通过洒水降尘、封闭设备、局部抽吸等措施控制粉尘污染</w:t>
                  </w:r>
                </w:p>
              </w:tc>
              <w:tc>
                <w:tcPr>
                  <w:tcW w:w="2711" w:type="dxa"/>
                  <w:noWrap/>
                  <w:vAlign w:val="center"/>
                </w:tcPr>
                <w:p w14:paraId="2CBD59FB">
                  <w:pPr>
                    <w:widowControl w:val="0"/>
                    <w:overflowPunct w:val="0"/>
                    <w:autoSpaceDE w:val="0"/>
                    <w:autoSpaceDN w:val="0"/>
                    <w:snapToGrid w:val="0"/>
                    <w:jc w:val="center"/>
                    <w:rPr>
                      <w:snapToGrid w:val="0"/>
                      <w:color w:val="auto"/>
                      <w14:ligatures w14:val="standardContextual"/>
                    </w:rPr>
                  </w:pPr>
                  <w:r>
                    <w:rPr>
                      <w:snapToGrid w:val="0"/>
                      <w:color w:val="auto"/>
                      <w14:ligatures w14:val="standardContextual"/>
                    </w:rPr>
                    <w:t>项目</w:t>
                  </w:r>
                  <w:r>
                    <w:rPr>
                      <w:rFonts w:hint="eastAsia"/>
                      <w:snapToGrid w:val="0"/>
                      <w:color w:val="auto"/>
                      <w14:ligatures w14:val="standardContextual"/>
                    </w:rPr>
                    <w:t>厂房</w:t>
                  </w:r>
                  <w:r>
                    <w:rPr>
                      <w:snapToGrid w:val="0"/>
                      <w:color w:val="auto"/>
                      <w14:ligatures w14:val="standardContextual"/>
                    </w:rPr>
                    <w:t>封闭设置，破碎、筛分</w:t>
                  </w:r>
                  <w:r>
                    <w:rPr>
                      <w:rFonts w:hint="eastAsia"/>
                      <w:snapToGrid w:val="0"/>
                      <w:color w:val="auto"/>
                      <w14:ligatures w14:val="standardContextual"/>
                    </w:rPr>
                    <w:t>、磁选、风选</w:t>
                  </w:r>
                  <w:r>
                    <w:rPr>
                      <w:snapToGrid w:val="0"/>
                      <w:color w:val="auto"/>
                      <w14:ligatures w14:val="standardContextual"/>
                    </w:rPr>
                    <w:t>设置集气罩、袋式除尘器</w:t>
                  </w:r>
                  <w:r>
                    <w:rPr>
                      <w:rFonts w:hint="eastAsia"/>
                      <w:snapToGrid w:val="0"/>
                      <w:color w:val="auto"/>
                      <w14:ligatures w14:val="standardContextual"/>
                    </w:rPr>
                    <w:t>。产品堆料区设置喷雾除尘等控制措施</w:t>
                  </w:r>
                </w:p>
              </w:tc>
              <w:tc>
                <w:tcPr>
                  <w:tcW w:w="525" w:type="dxa"/>
                  <w:noWrap/>
                  <w:vAlign w:val="center"/>
                </w:tcPr>
                <w:p w14:paraId="7731CA39">
                  <w:pPr>
                    <w:widowControl w:val="0"/>
                    <w:overflowPunct w:val="0"/>
                    <w:autoSpaceDE w:val="0"/>
                    <w:autoSpaceDN w:val="0"/>
                    <w:snapToGrid w:val="0"/>
                    <w:jc w:val="center"/>
                    <w:rPr>
                      <w:snapToGrid w:val="0"/>
                      <w:color w:val="auto"/>
                      <w14:ligatures w14:val="standardContextual"/>
                    </w:rPr>
                  </w:pPr>
                  <w:r>
                    <w:rPr>
                      <w:snapToGrid w:val="0"/>
                      <w:color w:val="auto"/>
                      <w14:ligatures w14:val="standardContextual"/>
                    </w:rPr>
                    <w:t>符合</w:t>
                  </w:r>
                </w:p>
              </w:tc>
            </w:tr>
            <w:tr w14:paraId="376099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060" w:type="dxa"/>
                  <w:noWrap/>
                  <w:vAlign w:val="center"/>
                </w:tcPr>
                <w:p w14:paraId="2F6E3E5C">
                  <w:pPr>
                    <w:widowControl w:val="0"/>
                    <w:overflowPunct w:val="0"/>
                    <w:autoSpaceDE w:val="0"/>
                    <w:autoSpaceDN w:val="0"/>
                    <w:snapToGrid w:val="0"/>
                    <w:jc w:val="center"/>
                    <w:rPr>
                      <w:snapToGrid w:val="0"/>
                      <w:color w:val="auto"/>
                      <w14:ligatures w14:val="standardContextual"/>
                    </w:rPr>
                  </w:pPr>
                  <w:r>
                    <w:rPr>
                      <w:snapToGrid w:val="0"/>
                      <w:color w:val="auto"/>
                      <w14:ligatures w14:val="standardContextual"/>
                    </w:rPr>
                    <w:t>12.1.3、建筑垃圾收集、运输、处理系统应选取低噪声运输车辆；建立缓冲带、设置噪声屏障或封闭车间控制处理工程噪声；资源化处理车间，采取隔声罩、隔声间或车间建筑内墙附加吸声材料等</w:t>
                  </w:r>
                </w:p>
              </w:tc>
              <w:tc>
                <w:tcPr>
                  <w:tcW w:w="2711" w:type="dxa"/>
                  <w:noWrap/>
                  <w:vAlign w:val="center"/>
                </w:tcPr>
                <w:p w14:paraId="335B2298">
                  <w:pPr>
                    <w:widowControl w:val="0"/>
                    <w:overflowPunct w:val="0"/>
                    <w:autoSpaceDE w:val="0"/>
                    <w:autoSpaceDN w:val="0"/>
                    <w:snapToGrid w:val="0"/>
                    <w:jc w:val="center"/>
                    <w:rPr>
                      <w:snapToGrid w:val="0"/>
                      <w:color w:val="auto"/>
                      <w14:ligatures w14:val="standardContextual"/>
                    </w:rPr>
                  </w:pPr>
                  <w:r>
                    <w:rPr>
                      <w:rFonts w:hint="eastAsia"/>
                      <w:snapToGrid w:val="0"/>
                      <w:color w:val="auto"/>
                      <w14:ligatures w14:val="standardContextual"/>
                    </w:rPr>
                    <w:t>项目</w:t>
                  </w:r>
                  <w:r>
                    <w:rPr>
                      <w:snapToGrid w:val="0"/>
                      <w:color w:val="auto"/>
                      <w14:ligatures w14:val="standardContextual"/>
                    </w:rPr>
                    <w:t>选用低噪声设备，厂房封闭，产噪设备采用减震</w:t>
                  </w:r>
                  <w:r>
                    <w:rPr>
                      <w:rFonts w:hint="eastAsia"/>
                      <w:snapToGrid w:val="0"/>
                      <w:color w:val="auto"/>
                      <w14:ligatures w14:val="standardContextual"/>
                    </w:rPr>
                    <w:t>、</w:t>
                  </w:r>
                  <w:r>
                    <w:rPr>
                      <w:snapToGrid w:val="0"/>
                      <w:color w:val="auto"/>
                      <w14:ligatures w14:val="standardContextual"/>
                    </w:rPr>
                    <w:t>隔声及</w:t>
                  </w:r>
                  <w:r>
                    <w:rPr>
                      <w:rFonts w:hint="eastAsia"/>
                      <w:snapToGrid w:val="0"/>
                      <w:color w:val="auto"/>
                      <w14:ligatures w14:val="standardContextual"/>
                    </w:rPr>
                    <w:t>吸声</w:t>
                  </w:r>
                  <w:r>
                    <w:rPr>
                      <w:snapToGrid w:val="0"/>
                      <w:color w:val="auto"/>
                      <w14:ligatures w14:val="standardContextual"/>
                    </w:rPr>
                    <w:t>措施</w:t>
                  </w:r>
                  <w:r>
                    <w:rPr>
                      <w:rFonts w:hint="eastAsia"/>
                      <w:snapToGrid w:val="0"/>
                      <w:color w:val="auto"/>
                      <w14:ligatures w14:val="standardContextual"/>
                    </w:rPr>
                    <w:t>，风机加装隔声罩，</w:t>
                  </w:r>
                  <w:r>
                    <w:rPr>
                      <w:snapToGrid w:val="0"/>
                      <w:color w:val="auto"/>
                      <w14:ligatures w14:val="standardContextual"/>
                    </w:rPr>
                    <w:t>减少噪声影响</w:t>
                  </w:r>
                  <w:r>
                    <w:rPr>
                      <w:rFonts w:hint="eastAsia"/>
                      <w:snapToGrid w:val="0"/>
                      <w:color w:val="auto"/>
                      <w14:ligatures w14:val="standardContextual"/>
                    </w:rPr>
                    <w:t>。</w:t>
                  </w:r>
                </w:p>
              </w:tc>
              <w:tc>
                <w:tcPr>
                  <w:tcW w:w="525" w:type="dxa"/>
                  <w:noWrap/>
                  <w:vAlign w:val="center"/>
                </w:tcPr>
                <w:p w14:paraId="4A4AEC85">
                  <w:pPr>
                    <w:widowControl w:val="0"/>
                    <w:overflowPunct w:val="0"/>
                    <w:autoSpaceDE w:val="0"/>
                    <w:autoSpaceDN w:val="0"/>
                    <w:snapToGrid w:val="0"/>
                    <w:jc w:val="center"/>
                    <w:rPr>
                      <w:snapToGrid w:val="0"/>
                      <w:color w:val="auto"/>
                      <w14:ligatures w14:val="standardContextual"/>
                    </w:rPr>
                  </w:pPr>
                  <w:r>
                    <w:rPr>
                      <w:snapToGrid w:val="0"/>
                      <w:color w:val="auto"/>
                      <w14:ligatures w14:val="standardContextual"/>
                    </w:rPr>
                    <w:t>符合</w:t>
                  </w:r>
                </w:p>
              </w:tc>
            </w:tr>
          </w:tbl>
          <w:p w14:paraId="4A191682">
            <w:pPr>
              <w:rPr>
                <w:color w:val="auto"/>
              </w:rPr>
            </w:pPr>
          </w:p>
        </w:tc>
      </w:tr>
    </w:tbl>
    <w:p w14:paraId="3089CBD6">
      <w:pPr>
        <w:spacing w:line="360" w:lineRule="auto"/>
        <w:outlineLvl w:val="0"/>
        <w:rPr>
          <w:rFonts w:eastAsia="黑体"/>
          <w:sz w:val="30"/>
        </w:rPr>
        <w:sectPr>
          <w:footerReference r:id="rId4" w:type="default"/>
          <w:pgSz w:w="11906" w:h="16838"/>
          <w:pgMar w:top="1440" w:right="1800" w:bottom="1440" w:left="1800" w:header="851" w:footer="1077" w:gutter="0"/>
          <w:pgNumType w:start="1"/>
          <w:cols w:space="720" w:num="1"/>
          <w:docGrid w:linePitch="312" w:charSpace="0"/>
        </w:sectPr>
      </w:pPr>
    </w:p>
    <w:p w14:paraId="68B3F751">
      <w:pPr>
        <w:pStyle w:val="2"/>
        <w:rPr>
          <w:snapToGrid w:val="0"/>
        </w:rPr>
      </w:pPr>
      <w:bookmarkStart w:id="12" w:name="_Toc203094745"/>
      <w:bookmarkStart w:id="13" w:name="_Toc175609268"/>
      <w:r>
        <w:rPr>
          <w:rFonts w:hint="eastAsia"/>
          <w:snapToGrid w:val="0"/>
        </w:rPr>
        <w:t>建设项目工程分析</w:t>
      </w:r>
      <w:bookmarkEnd w:id="12"/>
      <w:bookmarkEnd w:id="13"/>
    </w:p>
    <w:p w14:paraId="1A4344D1"/>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67"/>
        <w:gridCol w:w="8593"/>
      </w:tblGrid>
      <w:tr w14:paraId="120D6B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37" w:hRule="atLeast"/>
          <w:jc w:val="center"/>
        </w:trPr>
        <w:tc>
          <w:tcPr>
            <w:tcW w:w="258" w:type="pct"/>
            <w:vAlign w:val="center"/>
          </w:tcPr>
          <w:p w14:paraId="5B23BD0F">
            <w:pPr>
              <w:pStyle w:val="18"/>
              <w:rPr>
                <w:rFonts w:hint="eastAsia"/>
              </w:rPr>
            </w:pPr>
            <w:r>
              <w:rPr>
                <w:rFonts w:hint="eastAsia"/>
              </w:rPr>
              <w:t>建设内容</w:t>
            </w:r>
          </w:p>
        </w:tc>
        <w:tc>
          <w:tcPr>
            <w:tcW w:w="4742" w:type="pct"/>
          </w:tcPr>
          <w:p w14:paraId="7CE92822">
            <w:pPr>
              <w:pStyle w:val="7"/>
            </w:pPr>
            <w:bookmarkStart w:id="14" w:name="_Hlk151415178"/>
            <w:r>
              <w:rPr>
                <w:rFonts w:hint="eastAsia"/>
              </w:rPr>
              <w:t>一、项目由来</w:t>
            </w:r>
          </w:p>
          <w:p w14:paraId="11FE334D">
            <w:pPr>
              <w:pStyle w:val="3"/>
              <w:ind w:firstLine="480"/>
              <w:rPr>
                <w:color w:val="auto"/>
                <w:u w:val="single"/>
              </w:rPr>
            </w:pPr>
            <w:r>
              <w:rPr>
                <w:rFonts w:hint="eastAsia"/>
                <w:color w:val="auto"/>
                <w:u w:val="single"/>
              </w:rPr>
              <w:t>随着钦州港片区经济迅猛发展，各类企业进驻不断增加，产生了大量的建筑垃圾，据不完全统计，近两年来，片区每月产生的建筑垃圾约2.5万吨，年合计达30万吨，随着城市建设的加速，建筑垃圾年产量将会在一段时期内持续增长。经测算，到2030年建筑垃圾量将突破45万吨。钦州港片区现有处理能力不足，资源化利用率低，亟需专业化分拣处理设备。</w:t>
            </w:r>
          </w:p>
          <w:p w14:paraId="304FC1EB">
            <w:pPr>
              <w:pStyle w:val="3"/>
              <w:ind w:firstLine="480"/>
              <w:rPr>
                <w:color w:val="auto"/>
              </w:rPr>
            </w:pPr>
            <w:r>
              <w:rPr>
                <w:rFonts w:hint="eastAsia"/>
                <w:color w:val="auto"/>
              </w:rPr>
              <w:t>钦州市钦州港市政管理有限公司是片区目前唯一一家同时具有建筑垃圾清运和处置资质的大型国有企业，有着装卸建筑垃圾的各类机械设备和运输车辆15台，具有丰裕的人力资源和丰富的建筑垃圾处理经验。为全面贯彻落实《全国城市建筑垃圾专项整治工作方案》建城〔2024〕72号及自治区、钦州市关于建筑垃圾专项整治工作的相关文件精神，钦州市钦州港市政管理有限公司作为城市公共服务主体，承担着建筑垃圾处置的社会责任和推动绿色低碳发展的义务。为进一步规范处理建筑垃圾，拟建设“钦州港片区建筑垃圾消纳场资源化利用项目”。</w:t>
            </w:r>
          </w:p>
          <w:p w14:paraId="40058477">
            <w:pPr>
              <w:pStyle w:val="3"/>
              <w:ind w:firstLine="480"/>
              <w:rPr>
                <w:color w:val="auto"/>
                <w:u w:val="single"/>
              </w:rPr>
            </w:pPr>
            <w:r>
              <w:rPr>
                <w:rFonts w:hint="eastAsia"/>
                <w:color w:val="auto"/>
                <w:u w:val="single"/>
              </w:rPr>
              <w:t>本项目建成后可显著减少建筑垃圾无序堆放对土壤、水资源的污染，降低扬尘和有害物质排放，改善城市空气质量。项目在运营期分拣出的废土料、废金属、轻物质可重新进入生产链，节约自然资源。项目在运营期的产品（碎石）可用于道路基层，建材生产等领域，代替天然砂石。</w:t>
            </w:r>
          </w:p>
          <w:p w14:paraId="6FC25886">
            <w:pPr>
              <w:pStyle w:val="3"/>
              <w:ind w:firstLine="480"/>
            </w:pPr>
            <w:r>
              <w:rPr>
                <w:rFonts w:hint="eastAsia"/>
              </w:rPr>
              <w:t>根据《建设项目环境影响评价分类管理名录》（2021版），本项目属于</w:t>
            </w:r>
            <w:bookmarkStart w:id="15" w:name="OLE_LINK167"/>
            <w:r>
              <w:rPr>
                <w:rFonts w:hint="eastAsia"/>
              </w:rPr>
              <w:t>“</w:t>
            </w:r>
            <w:bookmarkStart w:id="16" w:name="OLE_LINK168"/>
            <w:r>
              <w:rPr>
                <w:rFonts w:hint="eastAsia"/>
              </w:rPr>
              <w:t>四十七、生态环保和环境治理业-103 一般工业固体废物（含污水处理</w:t>
            </w:r>
            <w:r>
              <w:rPr>
                <w:rFonts w:hint="eastAsia"/>
                <w:lang w:eastAsia="zh-CN"/>
              </w:rPr>
              <w:t>沉渣</w:t>
            </w:r>
            <w:r>
              <w:rPr>
                <w:rFonts w:hint="eastAsia"/>
              </w:rPr>
              <w:t>）、建筑施工废弃物处置及综合利用</w:t>
            </w:r>
            <w:bookmarkEnd w:id="15"/>
            <w:r>
              <w:rPr>
                <w:rFonts w:hint="eastAsia"/>
              </w:rPr>
              <w:t>”</w:t>
            </w:r>
            <w:bookmarkEnd w:id="16"/>
            <w:r>
              <w:rPr>
                <w:rFonts w:hint="eastAsia"/>
              </w:rPr>
              <w:t>，应编制环境影响报告表。</w:t>
            </w:r>
          </w:p>
          <w:p w14:paraId="40EB3245">
            <w:pPr>
              <w:pStyle w:val="3"/>
              <w:ind w:firstLine="480"/>
            </w:pPr>
            <w:r>
              <w:rPr>
                <w:rFonts w:hint="eastAsia"/>
              </w:rPr>
              <w:t>钦州市钦州港市政管理有限公司委托我公司编制该项目的环境影响报告表。本环评单位接受委托后，立即派技术人员踏勘现场和收集有关资料，并依照相关规定编写成报告表，供建设单位报环境保护行政主管部门审批和作为污染防治建设的依据。</w:t>
            </w:r>
          </w:p>
          <w:p w14:paraId="0DCB028C">
            <w:pPr>
              <w:pStyle w:val="7"/>
            </w:pPr>
            <w:r>
              <w:rPr>
                <w:rFonts w:hint="eastAsia"/>
              </w:rPr>
              <w:t>二、项目概况</w:t>
            </w:r>
          </w:p>
          <w:p w14:paraId="402D5DB2">
            <w:pPr>
              <w:pStyle w:val="3"/>
              <w:ind w:firstLine="480"/>
            </w:pPr>
            <w:r>
              <w:rPr>
                <w:rFonts w:hint="eastAsia"/>
              </w:rPr>
              <w:t>（1）项目名称：钦州港片区建筑垃圾消纳场资源化利用项目；</w:t>
            </w:r>
          </w:p>
          <w:p w14:paraId="27704F48">
            <w:pPr>
              <w:pStyle w:val="3"/>
              <w:ind w:firstLine="480"/>
            </w:pPr>
            <w:r>
              <w:rPr>
                <w:rFonts w:hint="eastAsia"/>
              </w:rPr>
              <w:t>（2）建设单位：钦州市钦州港市政管理有限公司；</w:t>
            </w:r>
          </w:p>
          <w:p w14:paraId="1A9E39ED">
            <w:pPr>
              <w:pStyle w:val="3"/>
              <w:ind w:firstLine="480"/>
            </w:pPr>
            <w:r>
              <w:rPr>
                <w:rFonts w:hint="eastAsia"/>
              </w:rPr>
              <w:t>（3）建设地点：广西壮族自治区钦州市保税港大街北面、陆海大道东面、中伟一期项目南面，项目中心地理坐标为东经108°40′6.445″</w:t>
            </w:r>
            <w:r>
              <w:t>，</w:t>
            </w:r>
            <w:r>
              <w:rPr>
                <w:rFonts w:hint="eastAsia"/>
              </w:rPr>
              <w:t>北纬21°41′49.571″</w:t>
            </w:r>
            <w:r>
              <w:t>；</w:t>
            </w:r>
          </w:p>
          <w:p w14:paraId="4320F87D">
            <w:pPr>
              <w:pStyle w:val="3"/>
              <w:ind w:firstLine="480"/>
            </w:pPr>
            <w:r>
              <w:rPr>
                <w:rFonts w:hint="eastAsia"/>
              </w:rPr>
              <w:t>（4）项目投资：本项目总投资262.1万元，环保投资20万元，占总投资的7.63%；</w:t>
            </w:r>
          </w:p>
          <w:p w14:paraId="62E9A082">
            <w:pPr>
              <w:pStyle w:val="3"/>
              <w:ind w:firstLine="480"/>
            </w:pPr>
            <w:r>
              <w:rPr>
                <w:rFonts w:hint="eastAsia"/>
              </w:rPr>
              <w:t>（5）建设内容及生产规模：</w:t>
            </w:r>
          </w:p>
          <w:p w14:paraId="52D923D5">
            <w:pPr>
              <w:pStyle w:val="3"/>
              <w:ind w:firstLine="480"/>
            </w:pPr>
            <w:r>
              <w:rPr>
                <w:rFonts w:hint="eastAsia"/>
              </w:rPr>
              <w:t>本项目占地面积为20373.08平方米。设置链板给料机、双轴撕碎机、皮带上料机、滚筒筛分机、综合风选机、液压打包机等设备，并配套安全、环保设施。项目建成后年处理建筑垃圾5万吨。</w:t>
            </w:r>
            <w:r>
              <w:rPr>
                <w:rFonts w:hint="eastAsia"/>
                <w:b/>
                <w:bCs/>
              </w:rPr>
              <w:t>本项目已取得自然资源局的临时选址意见，当城市规划建设需要时，按要求拆除并恢复原貌。</w:t>
            </w:r>
          </w:p>
          <w:p w14:paraId="77E4391B">
            <w:pPr>
              <w:pStyle w:val="7"/>
            </w:pPr>
            <w:bookmarkStart w:id="17" w:name="_Hlk152252157"/>
            <w:r>
              <w:rPr>
                <w:rFonts w:hint="eastAsia"/>
              </w:rPr>
              <w:t>三、项目组成</w:t>
            </w:r>
            <w:bookmarkStart w:id="18" w:name="OLE_LINK36"/>
          </w:p>
          <w:bookmarkEnd w:id="18"/>
          <w:p w14:paraId="096FB89F">
            <w:pPr>
              <w:pStyle w:val="3"/>
              <w:ind w:firstLine="480"/>
            </w:pPr>
            <w:r>
              <w:rPr>
                <w:rFonts w:hint="eastAsia"/>
              </w:rPr>
              <w:t>本项目工程组成见</w:t>
            </w:r>
            <w:r>
              <w:fldChar w:fldCharType="begin"/>
            </w:r>
            <w:r>
              <w:instrText xml:space="preserve"> </w:instrText>
            </w:r>
            <w:r>
              <w:rPr>
                <w:rFonts w:hint="eastAsia"/>
              </w:rPr>
              <w:instrText xml:space="preserve">REF _Ref170675760 \h</w:instrText>
            </w:r>
            <w:r>
              <w:instrText xml:space="preserve"> </w:instrText>
            </w:r>
            <w:r>
              <w:fldChar w:fldCharType="separate"/>
            </w:r>
            <w:r>
              <w:rPr>
                <w:rFonts w:hint="eastAsia"/>
              </w:rPr>
              <w:t xml:space="preserve">表2- </w:t>
            </w:r>
            <w:r>
              <w:t>1</w:t>
            </w:r>
            <w:r>
              <w:fldChar w:fldCharType="end"/>
            </w:r>
            <w:r>
              <w:rPr>
                <w:rFonts w:hint="eastAsia"/>
              </w:rPr>
              <w:t>。</w:t>
            </w:r>
          </w:p>
          <w:bookmarkEnd w:id="14"/>
          <w:bookmarkEnd w:id="17"/>
          <w:p w14:paraId="27D5B1BE">
            <w:pPr>
              <w:pStyle w:val="48"/>
              <w:rPr>
                <w:szCs w:val="24"/>
              </w:rPr>
            </w:pPr>
            <w:bookmarkStart w:id="19" w:name="_Ref170675760"/>
            <w:bookmarkStart w:id="20" w:name="_Ref176965472"/>
            <w:r>
              <w:rPr>
                <w:rFonts w:hint="eastAsia"/>
              </w:rPr>
              <w:t xml:space="preserve">表2- </w:t>
            </w:r>
            <w:r>
              <w:fldChar w:fldCharType="begin"/>
            </w:r>
            <w:r>
              <w:instrText xml:space="preserve"> </w:instrText>
            </w:r>
            <w:r>
              <w:rPr>
                <w:rFonts w:hint="eastAsia"/>
              </w:rPr>
              <w:instrText xml:space="preserve">SEQ 表2- \* ARABIC</w:instrText>
            </w:r>
            <w:r>
              <w:instrText xml:space="preserve"> </w:instrText>
            </w:r>
            <w:r>
              <w:fldChar w:fldCharType="separate"/>
            </w:r>
            <w:r>
              <w:t>1</w:t>
            </w:r>
            <w:r>
              <w:fldChar w:fldCharType="end"/>
            </w:r>
            <w:bookmarkEnd w:id="19"/>
            <w:r>
              <w:rPr>
                <w:rFonts w:hint="eastAsia"/>
              </w:rPr>
              <w:t>：</w:t>
            </w:r>
            <w:bookmarkStart w:id="21" w:name="_Hlk170745151"/>
            <w:r>
              <w:rPr>
                <w:rFonts w:hint="eastAsia"/>
              </w:rPr>
              <w:t>工程组成</w:t>
            </w:r>
            <w:r>
              <w:rPr>
                <w:rFonts w:hint="eastAsia"/>
                <w:szCs w:val="24"/>
              </w:rPr>
              <w:t>一览表</w:t>
            </w:r>
            <w:bookmarkEnd w:id="20"/>
            <w:bookmarkEnd w:id="21"/>
          </w:p>
          <w:tbl>
            <w:tblPr>
              <w:tblStyle w:val="4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642"/>
              <w:gridCol w:w="1131"/>
              <w:gridCol w:w="6604"/>
            </w:tblGrid>
            <w:tr w14:paraId="22F6F1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058" w:type="pct"/>
                  <w:gridSpan w:val="2"/>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70DED9A6">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default" w:ascii="Times New Roman" w:hAnsi="Times New Roman" w:eastAsia="宋体" w:cs="Times New Roman"/>
                      <w:b/>
                      <w:i w:val="0"/>
                      <w14:ligatures w14:val="standardContextual"/>
                    </w:rPr>
                    <w:t>工程类别</w:t>
                  </w:r>
                </w:p>
              </w:tc>
              <w:tc>
                <w:tcPr>
                  <w:tcW w:w="3942" w:type="pct"/>
                  <w:tcBorders>
                    <w:top w:val="single" w:color="auto" w:sz="12" w:space="0"/>
                    <w:bottom w:val="single" w:color="auto" w:sz="12" w:space="0"/>
                    <w:right w:val="nil"/>
                    <w:insideH w:val="single" w:sz="12" w:space="0"/>
                    <w:insideV w:val="single" w:sz="4" w:space="0"/>
                    <w:tl2br w:val="nil"/>
                    <w:tr2bl w:val="nil"/>
                  </w:tcBorders>
                  <w:vAlign w:val="center"/>
                </w:tcPr>
                <w:p w14:paraId="3050B32F">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default" w:ascii="Times New Roman" w:hAnsi="Times New Roman" w:eastAsia="宋体" w:cs="Times New Roman"/>
                      <w:b/>
                      <w:i w:val="0"/>
                      <w14:ligatures w14:val="standardContextual"/>
                    </w:rPr>
                    <w:t>项目建设内容</w:t>
                  </w:r>
                  <w:r>
                    <w:rPr>
                      <w:rFonts w:hint="eastAsia" w:ascii="Times New Roman" w:hAnsi="Times New Roman" w:eastAsia="宋体" w:cs="Times New Roman"/>
                      <w:b/>
                      <w:i w:val="0"/>
                      <w14:ligatures w14:val="standardContextual"/>
                    </w:rPr>
                    <w:t>及建设规模</w:t>
                  </w:r>
                </w:p>
              </w:tc>
            </w:tr>
            <w:tr w14:paraId="3C616C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83" w:type="pct"/>
                  <w:vAlign w:val="center"/>
                </w:tcPr>
                <w:p w14:paraId="627B870B">
                  <w:pPr>
                    <w:widowControl w:val="0"/>
                    <w:overflowPunct w:val="0"/>
                    <w:autoSpaceDE w:val="0"/>
                    <w:autoSpaceDN w:val="0"/>
                    <w:snapToGrid w:val="0"/>
                    <w:jc w:val="center"/>
                    <w:rPr>
                      <w:color w:val="auto"/>
                      <w14:ligatures w14:val="standardContextual"/>
                    </w:rPr>
                  </w:pPr>
                  <w:r>
                    <w:rPr>
                      <w:color w:val="auto"/>
                      <w14:ligatures w14:val="standardContextual"/>
                    </w:rPr>
                    <w:t>主体工程</w:t>
                  </w:r>
                </w:p>
              </w:tc>
              <w:tc>
                <w:tcPr>
                  <w:tcW w:w="675" w:type="pct"/>
                  <w:vAlign w:val="center"/>
                </w:tcPr>
                <w:p w14:paraId="37F88EBB">
                  <w:pPr>
                    <w:widowControl w:val="0"/>
                    <w:overflowPunct w:val="0"/>
                    <w:autoSpaceDE w:val="0"/>
                    <w:autoSpaceDN w:val="0"/>
                    <w:snapToGrid w:val="0"/>
                    <w:jc w:val="center"/>
                    <w:rPr>
                      <w:color w:val="auto"/>
                      <w14:ligatures w14:val="standardContextual"/>
                    </w:rPr>
                  </w:pPr>
                  <w:r>
                    <w:rPr>
                      <w:rFonts w:hint="eastAsia"/>
                      <w:color w:val="auto"/>
                      <w14:ligatures w14:val="standardContextual"/>
                    </w:rPr>
                    <w:t>生产车间</w:t>
                  </w:r>
                </w:p>
              </w:tc>
              <w:tc>
                <w:tcPr>
                  <w:tcW w:w="3942" w:type="pct"/>
                  <w:vAlign w:val="center"/>
                </w:tcPr>
                <w:p w14:paraId="70710F36">
                  <w:pPr>
                    <w:widowControl w:val="0"/>
                    <w:overflowPunct w:val="0"/>
                    <w:autoSpaceDE w:val="0"/>
                    <w:autoSpaceDN w:val="0"/>
                    <w:snapToGrid w:val="0"/>
                    <w:jc w:val="center"/>
                    <w:rPr>
                      <w:color w:val="auto"/>
                      <w14:ligatures w14:val="standardContextual"/>
                    </w:rPr>
                  </w:pPr>
                  <w:r>
                    <w:rPr>
                      <w:rFonts w:hint="eastAsia"/>
                      <w:color w:val="auto"/>
                      <w14:ligatures w14:val="standardContextual"/>
                    </w:rPr>
                    <w:t>1F，占地面积3000m</w:t>
                  </w:r>
                  <w:r>
                    <w:rPr>
                      <w:rFonts w:hint="eastAsia"/>
                      <w:color w:val="auto"/>
                      <w:vertAlign w:val="superscript"/>
                      <w14:ligatures w14:val="standardContextual"/>
                    </w:rPr>
                    <w:t>2</w:t>
                  </w:r>
                  <w:r>
                    <w:rPr>
                      <w:rFonts w:hint="eastAsia"/>
                      <w:color w:val="auto"/>
                      <w14:ligatures w14:val="standardContextual"/>
                    </w:rPr>
                    <w:t>，设置1条垃圾分选生产线，包括链板给料机、双轴撕碎机、皮带上料机、滚筒筛分机、综合风选机、液压打包机等设备。年处理建筑垃圾5万吨。同时车间内设置建筑垃圾堆存区。</w:t>
                  </w:r>
                </w:p>
              </w:tc>
            </w:tr>
            <w:tr w14:paraId="25FAEF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83" w:type="pct"/>
                  <w:vAlign w:val="center"/>
                </w:tcPr>
                <w:p w14:paraId="6E1CC24F">
                  <w:pPr>
                    <w:widowControl w:val="0"/>
                    <w:overflowPunct w:val="0"/>
                    <w:autoSpaceDE w:val="0"/>
                    <w:autoSpaceDN w:val="0"/>
                    <w:snapToGrid w:val="0"/>
                    <w:jc w:val="center"/>
                    <w:rPr>
                      <w:color w:val="auto"/>
                      <w14:ligatures w14:val="standardContextual"/>
                    </w:rPr>
                  </w:pPr>
                  <w:r>
                    <w:rPr>
                      <w:rFonts w:hint="eastAsia"/>
                      <w:color w:val="auto"/>
                      <w14:ligatures w14:val="standardContextual"/>
                    </w:rPr>
                    <w:t>辅助工程</w:t>
                  </w:r>
                </w:p>
              </w:tc>
              <w:tc>
                <w:tcPr>
                  <w:tcW w:w="675" w:type="pct"/>
                  <w:vAlign w:val="center"/>
                </w:tcPr>
                <w:p w14:paraId="60573853">
                  <w:pPr>
                    <w:widowControl w:val="0"/>
                    <w:overflowPunct w:val="0"/>
                    <w:autoSpaceDE w:val="0"/>
                    <w:autoSpaceDN w:val="0"/>
                    <w:snapToGrid w:val="0"/>
                    <w:jc w:val="center"/>
                    <w:rPr>
                      <w:color w:val="auto"/>
                      <w14:ligatures w14:val="standardContextual"/>
                    </w:rPr>
                  </w:pPr>
                  <w:r>
                    <w:rPr>
                      <w:rFonts w:hint="eastAsia"/>
                      <w:color w:val="auto"/>
                      <w14:ligatures w14:val="standardContextual"/>
                    </w:rPr>
                    <w:t>产品堆料区</w:t>
                  </w:r>
                </w:p>
              </w:tc>
              <w:tc>
                <w:tcPr>
                  <w:tcW w:w="3942" w:type="pct"/>
                  <w:vAlign w:val="center"/>
                </w:tcPr>
                <w:p w14:paraId="0D18AA16">
                  <w:pPr>
                    <w:widowControl w:val="0"/>
                    <w:overflowPunct w:val="0"/>
                    <w:autoSpaceDE w:val="0"/>
                    <w:autoSpaceDN w:val="0"/>
                    <w:snapToGrid w:val="0"/>
                    <w:jc w:val="center"/>
                    <w:rPr>
                      <w:color w:val="auto"/>
                      <w14:ligatures w14:val="standardContextual"/>
                    </w:rPr>
                  </w:pPr>
                  <w:r>
                    <w:rPr>
                      <w:rFonts w:hint="eastAsia"/>
                      <w:color w:val="auto"/>
                      <w14:ligatures w14:val="standardContextual"/>
                    </w:rPr>
                    <w:t>占地面积</w:t>
                  </w:r>
                  <w:r>
                    <w:rPr>
                      <w:rFonts w:hint="eastAsia"/>
                      <w:color w:val="auto"/>
                      <w:lang w:val="en-US" w:eastAsia="zh-CN"/>
                      <w14:ligatures w14:val="standardContextual"/>
                    </w:rPr>
                    <w:t>2500</w:t>
                  </w:r>
                  <w:r>
                    <w:rPr>
                      <w:rFonts w:hint="eastAsia"/>
                      <w:color w:val="auto"/>
                      <w14:ligatures w14:val="standardContextual"/>
                    </w:rPr>
                    <w:t>m</w:t>
                  </w:r>
                  <w:r>
                    <w:rPr>
                      <w:rFonts w:hint="eastAsia"/>
                      <w:color w:val="auto"/>
                      <w:vertAlign w:val="superscript"/>
                      <w14:ligatures w14:val="standardContextual"/>
                    </w:rPr>
                    <w:t>2</w:t>
                  </w:r>
                  <w:r>
                    <w:rPr>
                      <w:rFonts w:hint="eastAsia"/>
                      <w:color w:val="auto"/>
                      <w14:ligatures w14:val="standardContextual"/>
                    </w:rPr>
                    <w:t>，设置钢结构厂房，分区堆放碎石、渣土、轻物质、废金属等</w:t>
                  </w:r>
                </w:p>
              </w:tc>
            </w:tr>
            <w:tr w14:paraId="639484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83" w:type="pct"/>
                  <w:vMerge w:val="restart"/>
                  <w:vAlign w:val="center"/>
                </w:tcPr>
                <w:p w14:paraId="1E0C3639">
                  <w:pPr>
                    <w:widowControl w:val="0"/>
                    <w:overflowPunct w:val="0"/>
                    <w:autoSpaceDE w:val="0"/>
                    <w:autoSpaceDN w:val="0"/>
                    <w:snapToGrid w:val="0"/>
                    <w:jc w:val="center"/>
                    <w:rPr>
                      <w:color w:val="auto"/>
                      <w14:ligatures w14:val="standardContextual"/>
                    </w:rPr>
                  </w:pPr>
                  <w:r>
                    <w:rPr>
                      <w:color w:val="auto"/>
                      <w14:ligatures w14:val="standardContextual"/>
                    </w:rPr>
                    <w:t>公用工程</w:t>
                  </w:r>
                </w:p>
              </w:tc>
              <w:tc>
                <w:tcPr>
                  <w:tcW w:w="675" w:type="pct"/>
                  <w:vAlign w:val="center"/>
                </w:tcPr>
                <w:p w14:paraId="5588F79B">
                  <w:pPr>
                    <w:widowControl w:val="0"/>
                    <w:overflowPunct w:val="0"/>
                    <w:autoSpaceDE w:val="0"/>
                    <w:autoSpaceDN w:val="0"/>
                    <w:snapToGrid w:val="0"/>
                    <w:jc w:val="center"/>
                    <w:rPr>
                      <w:color w:val="auto"/>
                      <w14:ligatures w14:val="standardContextual"/>
                    </w:rPr>
                  </w:pPr>
                  <w:r>
                    <w:rPr>
                      <w:rFonts w:hint="eastAsia"/>
                      <w:color w:val="auto"/>
                      <w14:ligatures w14:val="standardContextual"/>
                    </w:rPr>
                    <w:t>供水工程</w:t>
                  </w:r>
                </w:p>
              </w:tc>
              <w:tc>
                <w:tcPr>
                  <w:tcW w:w="3942" w:type="pct"/>
                  <w:vAlign w:val="center"/>
                </w:tcPr>
                <w:p w14:paraId="028FD96B">
                  <w:pPr>
                    <w:widowControl w:val="0"/>
                    <w:overflowPunct w:val="0"/>
                    <w:autoSpaceDE w:val="0"/>
                    <w:autoSpaceDN w:val="0"/>
                    <w:snapToGrid w:val="0"/>
                    <w:jc w:val="center"/>
                    <w:rPr>
                      <w:color w:val="auto"/>
                      <w14:ligatures w14:val="standardContextual"/>
                    </w:rPr>
                  </w:pPr>
                  <w:r>
                    <w:rPr>
                      <w:rFonts w:hint="eastAsia"/>
                      <w:color w:val="auto"/>
                      <w14:ligatures w14:val="standardContextual"/>
                    </w:rPr>
                    <w:t>市政管网</w:t>
                  </w:r>
                </w:p>
              </w:tc>
            </w:tr>
            <w:tr w14:paraId="6228E6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83" w:type="pct"/>
                  <w:vMerge w:val="continue"/>
                  <w:vAlign w:val="center"/>
                </w:tcPr>
                <w:p w14:paraId="3F2D3B16">
                  <w:pPr>
                    <w:widowControl w:val="0"/>
                    <w:overflowPunct w:val="0"/>
                    <w:autoSpaceDE w:val="0"/>
                    <w:autoSpaceDN w:val="0"/>
                    <w:snapToGrid w:val="0"/>
                    <w:jc w:val="center"/>
                    <w:rPr>
                      <w14:ligatures w14:val="standardContextual"/>
                    </w:rPr>
                  </w:pPr>
                </w:p>
              </w:tc>
              <w:tc>
                <w:tcPr>
                  <w:tcW w:w="675" w:type="pct"/>
                  <w:vAlign w:val="center"/>
                </w:tcPr>
                <w:p w14:paraId="4540950E">
                  <w:pPr>
                    <w:widowControl w:val="0"/>
                    <w:overflowPunct w:val="0"/>
                    <w:autoSpaceDE w:val="0"/>
                    <w:autoSpaceDN w:val="0"/>
                    <w:snapToGrid w:val="0"/>
                    <w:jc w:val="center"/>
                    <w:rPr>
                      <w14:ligatures w14:val="standardContextual"/>
                    </w:rPr>
                  </w:pPr>
                  <w:r>
                    <w:rPr>
                      <w:rFonts w:hint="eastAsia"/>
                      <w14:ligatures w14:val="standardContextual"/>
                    </w:rPr>
                    <w:t>排水工程</w:t>
                  </w:r>
                </w:p>
              </w:tc>
              <w:tc>
                <w:tcPr>
                  <w:tcW w:w="3942" w:type="pct"/>
                  <w:vAlign w:val="center"/>
                </w:tcPr>
                <w:p w14:paraId="59A320A9">
                  <w:pPr>
                    <w:widowControl w:val="0"/>
                    <w:overflowPunct w:val="0"/>
                    <w:autoSpaceDE w:val="0"/>
                    <w:autoSpaceDN w:val="0"/>
                    <w:snapToGrid w:val="0"/>
                    <w:jc w:val="center"/>
                    <w:rPr>
                      <w14:ligatures w14:val="standardContextual"/>
                    </w:rPr>
                  </w:pPr>
                  <w:r>
                    <w:rPr>
                      <w:rFonts w:hint="eastAsia"/>
                      <w14:ligatures w14:val="standardContextual"/>
                    </w:rPr>
                    <w:t>依托园区排水系统，排水采用雨污分流制</w:t>
                  </w:r>
                </w:p>
              </w:tc>
            </w:tr>
            <w:tr w14:paraId="5CFB59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83" w:type="pct"/>
                  <w:vMerge w:val="continue"/>
                  <w:vAlign w:val="center"/>
                </w:tcPr>
                <w:p w14:paraId="600B949C">
                  <w:pPr>
                    <w:widowControl w:val="0"/>
                    <w:overflowPunct w:val="0"/>
                    <w:autoSpaceDE w:val="0"/>
                    <w:autoSpaceDN w:val="0"/>
                    <w:snapToGrid w:val="0"/>
                    <w:jc w:val="center"/>
                    <w:rPr>
                      <w14:ligatures w14:val="standardContextual"/>
                    </w:rPr>
                  </w:pPr>
                </w:p>
              </w:tc>
              <w:tc>
                <w:tcPr>
                  <w:tcW w:w="675" w:type="pct"/>
                  <w:vAlign w:val="center"/>
                </w:tcPr>
                <w:p w14:paraId="37511930">
                  <w:pPr>
                    <w:widowControl w:val="0"/>
                    <w:overflowPunct w:val="0"/>
                    <w:autoSpaceDE w:val="0"/>
                    <w:autoSpaceDN w:val="0"/>
                    <w:snapToGrid w:val="0"/>
                    <w:jc w:val="center"/>
                    <w:rPr>
                      <w14:ligatures w14:val="standardContextual"/>
                    </w:rPr>
                  </w:pPr>
                  <w:r>
                    <w:rPr>
                      <w14:ligatures w14:val="standardContextual"/>
                    </w:rPr>
                    <w:t>供</w:t>
                  </w:r>
                  <w:r>
                    <w:rPr>
                      <w:rFonts w:hint="eastAsia"/>
                      <w14:ligatures w14:val="standardContextual"/>
                    </w:rPr>
                    <w:t>热</w:t>
                  </w:r>
                  <w:r>
                    <w:rPr>
                      <w14:ligatures w14:val="standardContextual"/>
                    </w:rPr>
                    <w:t>系统</w:t>
                  </w:r>
                </w:p>
              </w:tc>
              <w:tc>
                <w:tcPr>
                  <w:tcW w:w="3942" w:type="pct"/>
                  <w:vAlign w:val="center"/>
                </w:tcPr>
                <w:p w14:paraId="3D400B39">
                  <w:pPr>
                    <w:widowControl w:val="0"/>
                    <w:overflowPunct w:val="0"/>
                    <w:autoSpaceDE w:val="0"/>
                    <w:autoSpaceDN w:val="0"/>
                    <w:snapToGrid w:val="0"/>
                    <w:jc w:val="center"/>
                    <w:rPr>
                      <w14:ligatures w14:val="standardContextual"/>
                    </w:rPr>
                  </w:pPr>
                  <w:r>
                    <w:rPr>
                      <w:rFonts w:hint="eastAsia"/>
                      <w14:ligatures w14:val="standardContextual"/>
                    </w:rPr>
                    <w:t>冬季供暖采取空调系统</w:t>
                  </w:r>
                </w:p>
              </w:tc>
            </w:tr>
            <w:tr w14:paraId="28708A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83" w:type="pct"/>
                  <w:vMerge w:val="continue"/>
                  <w:vAlign w:val="center"/>
                </w:tcPr>
                <w:p w14:paraId="31B11458">
                  <w:pPr>
                    <w:widowControl w:val="0"/>
                    <w:overflowPunct w:val="0"/>
                    <w:autoSpaceDE w:val="0"/>
                    <w:autoSpaceDN w:val="0"/>
                    <w:snapToGrid w:val="0"/>
                    <w:jc w:val="center"/>
                    <w:rPr>
                      <w14:ligatures w14:val="standardContextual"/>
                    </w:rPr>
                  </w:pPr>
                </w:p>
              </w:tc>
              <w:tc>
                <w:tcPr>
                  <w:tcW w:w="675" w:type="pct"/>
                  <w:vAlign w:val="center"/>
                </w:tcPr>
                <w:p w14:paraId="71664C02">
                  <w:pPr>
                    <w:widowControl w:val="0"/>
                    <w:overflowPunct w:val="0"/>
                    <w:autoSpaceDE w:val="0"/>
                    <w:autoSpaceDN w:val="0"/>
                    <w:snapToGrid w:val="0"/>
                    <w:jc w:val="center"/>
                    <w:rPr>
                      <w14:ligatures w14:val="standardContextual"/>
                    </w:rPr>
                  </w:pPr>
                  <w:r>
                    <w:rPr>
                      <w14:ligatures w14:val="standardContextual"/>
                    </w:rPr>
                    <w:t>供电系统</w:t>
                  </w:r>
                </w:p>
              </w:tc>
              <w:tc>
                <w:tcPr>
                  <w:tcW w:w="3942" w:type="pct"/>
                  <w:vAlign w:val="center"/>
                </w:tcPr>
                <w:p w14:paraId="7C7ED2F9">
                  <w:pPr>
                    <w:widowControl w:val="0"/>
                    <w:overflowPunct w:val="0"/>
                    <w:autoSpaceDE w:val="0"/>
                    <w:autoSpaceDN w:val="0"/>
                    <w:snapToGrid w:val="0"/>
                    <w:jc w:val="center"/>
                    <w:rPr>
                      <w14:ligatures w14:val="standardContextual"/>
                    </w:rPr>
                  </w:pPr>
                  <w:r>
                    <w:rPr>
                      <w:rFonts w:hint="eastAsia"/>
                      <w14:ligatures w14:val="standardContextual"/>
                    </w:rPr>
                    <w:t>市政</w:t>
                  </w:r>
                  <w:r>
                    <w:rPr>
                      <w14:ligatures w14:val="standardContextual"/>
                    </w:rPr>
                    <w:t>供电</w:t>
                  </w:r>
                </w:p>
              </w:tc>
            </w:tr>
            <w:tr w14:paraId="5785D3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83" w:type="pct"/>
                  <w:vMerge w:val="restart"/>
                  <w:vAlign w:val="center"/>
                </w:tcPr>
                <w:p w14:paraId="0071B399">
                  <w:pPr>
                    <w:widowControl w:val="0"/>
                    <w:overflowPunct w:val="0"/>
                    <w:autoSpaceDE w:val="0"/>
                    <w:autoSpaceDN w:val="0"/>
                    <w:snapToGrid w:val="0"/>
                    <w:jc w:val="center"/>
                    <w:rPr>
                      <w14:ligatures w14:val="standardContextual"/>
                    </w:rPr>
                  </w:pPr>
                  <w:r>
                    <w:rPr>
                      <w14:ligatures w14:val="standardContextual"/>
                    </w:rPr>
                    <w:t>环保工程</w:t>
                  </w:r>
                </w:p>
              </w:tc>
              <w:tc>
                <w:tcPr>
                  <w:tcW w:w="675" w:type="pct"/>
                  <w:vAlign w:val="center"/>
                </w:tcPr>
                <w:p w14:paraId="2503A07E">
                  <w:pPr>
                    <w:widowControl w:val="0"/>
                    <w:overflowPunct w:val="0"/>
                    <w:autoSpaceDE w:val="0"/>
                    <w:autoSpaceDN w:val="0"/>
                    <w:snapToGrid w:val="0"/>
                    <w:jc w:val="center"/>
                    <w:rPr>
                      <w14:ligatures w14:val="standardContextual"/>
                    </w:rPr>
                  </w:pPr>
                  <w:r>
                    <w:rPr>
                      <w14:ligatures w14:val="standardContextual"/>
                    </w:rPr>
                    <w:t>废水治理</w:t>
                  </w:r>
                </w:p>
              </w:tc>
              <w:tc>
                <w:tcPr>
                  <w:tcW w:w="3942" w:type="pct"/>
                  <w:vAlign w:val="center"/>
                </w:tcPr>
                <w:p w14:paraId="452FD832">
                  <w:pPr>
                    <w:widowControl w:val="0"/>
                    <w:overflowPunct w:val="0"/>
                    <w:autoSpaceDE w:val="0"/>
                    <w:autoSpaceDN w:val="0"/>
                    <w:snapToGrid w:val="0"/>
                    <w:jc w:val="left"/>
                    <w:rPr>
                      <w:color w:val="auto"/>
                      <w14:ligatures w14:val="standardContextual"/>
                    </w:rPr>
                  </w:pPr>
                  <w:r>
                    <w:rPr>
                      <w:rFonts w:hint="eastAsia"/>
                      <w:color w:val="auto"/>
                      <w14:ligatures w14:val="standardContextual"/>
                    </w:rPr>
                    <w:t>喷雾除尘废水全部蒸发消耗无外排；车辆清洗废水经沉淀池收集沉淀后循环使用，不外排；初期雨水经沉淀池收集沉淀处理后用于场地洒水抑尘，不外排。生活污水经化粪池处理后排入园区市政污水管网，最终进入大榄坪污水处理厂处理</w:t>
                  </w:r>
                </w:p>
              </w:tc>
            </w:tr>
            <w:tr w14:paraId="47F6F1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83" w:type="pct"/>
                  <w:vMerge w:val="continue"/>
                  <w:vAlign w:val="center"/>
                </w:tcPr>
                <w:p w14:paraId="441211EE">
                  <w:pPr>
                    <w:widowControl w:val="0"/>
                    <w:overflowPunct w:val="0"/>
                    <w:autoSpaceDE w:val="0"/>
                    <w:autoSpaceDN w:val="0"/>
                    <w:snapToGrid w:val="0"/>
                    <w:jc w:val="center"/>
                    <w:rPr>
                      <w14:ligatures w14:val="standardContextual"/>
                    </w:rPr>
                  </w:pPr>
                </w:p>
              </w:tc>
              <w:tc>
                <w:tcPr>
                  <w:tcW w:w="675" w:type="pct"/>
                  <w:vAlign w:val="center"/>
                </w:tcPr>
                <w:p w14:paraId="0446B068">
                  <w:pPr>
                    <w:widowControl w:val="0"/>
                    <w:overflowPunct w:val="0"/>
                    <w:autoSpaceDE w:val="0"/>
                    <w:autoSpaceDN w:val="0"/>
                    <w:snapToGrid w:val="0"/>
                    <w:jc w:val="center"/>
                    <w:rPr>
                      <w14:ligatures w14:val="standardContextual"/>
                    </w:rPr>
                  </w:pPr>
                  <w:r>
                    <w:rPr>
                      <w14:ligatures w14:val="standardContextual"/>
                    </w:rPr>
                    <w:t>废气治理</w:t>
                  </w:r>
                </w:p>
              </w:tc>
              <w:tc>
                <w:tcPr>
                  <w:tcW w:w="3942" w:type="pct"/>
                  <w:vAlign w:val="center"/>
                </w:tcPr>
                <w:p w14:paraId="3CF617AC">
                  <w:pPr>
                    <w:widowControl w:val="0"/>
                    <w:overflowPunct w:val="0"/>
                    <w:autoSpaceDE w:val="0"/>
                    <w:autoSpaceDN w:val="0"/>
                    <w:snapToGrid w:val="0"/>
                    <w:jc w:val="center"/>
                    <w:rPr>
                      <w:color w:val="auto"/>
                      <w14:ligatures w14:val="standardContextual"/>
                    </w:rPr>
                  </w:pPr>
                  <w:r>
                    <w:rPr>
                      <w:rFonts w:hint="eastAsia"/>
                      <w:color w:val="auto"/>
                      <w14:ligatures w14:val="standardContextual"/>
                    </w:rPr>
                    <w:t>破碎、筛分、磁选、风选工序粉尘：经集气罩收集由布袋除尘器处理后通过15m高排气筒（DA001）排放；同时做好厂房封闭、厂区道路硬化、设置喷雾除尘等控制措施，并定期清扫、洒水保持清洁、设置洗车平台进行车辆清洁等措施</w:t>
                  </w:r>
                </w:p>
              </w:tc>
            </w:tr>
            <w:tr w14:paraId="0FBF9F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83" w:type="pct"/>
                  <w:vMerge w:val="continue"/>
                  <w:vAlign w:val="center"/>
                </w:tcPr>
                <w:p w14:paraId="678D90CC">
                  <w:pPr>
                    <w:widowControl w:val="0"/>
                    <w:overflowPunct w:val="0"/>
                    <w:autoSpaceDE w:val="0"/>
                    <w:autoSpaceDN w:val="0"/>
                    <w:snapToGrid w:val="0"/>
                    <w:jc w:val="center"/>
                    <w:rPr>
                      <w14:ligatures w14:val="standardContextual"/>
                    </w:rPr>
                  </w:pPr>
                </w:p>
              </w:tc>
              <w:tc>
                <w:tcPr>
                  <w:tcW w:w="675" w:type="pct"/>
                  <w:vAlign w:val="center"/>
                </w:tcPr>
                <w:p w14:paraId="3CF8CE15">
                  <w:pPr>
                    <w:widowControl w:val="0"/>
                    <w:overflowPunct w:val="0"/>
                    <w:autoSpaceDE w:val="0"/>
                    <w:autoSpaceDN w:val="0"/>
                    <w:snapToGrid w:val="0"/>
                    <w:jc w:val="center"/>
                    <w:rPr>
                      <w14:ligatures w14:val="standardContextual"/>
                    </w:rPr>
                  </w:pPr>
                  <w:r>
                    <w:rPr>
                      <w14:ligatures w14:val="standardContextual"/>
                    </w:rPr>
                    <w:t>噪声治理</w:t>
                  </w:r>
                </w:p>
              </w:tc>
              <w:tc>
                <w:tcPr>
                  <w:tcW w:w="3942" w:type="pct"/>
                  <w:vAlign w:val="center"/>
                </w:tcPr>
                <w:p w14:paraId="3006CBA7">
                  <w:pPr>
                    <w:widowControl w:val="0"/>
                    <w:overflowPunct w:val="0"/>
                    <w:autoSpaceDE w:val="0"/>
                    <w:autoSpaceDN w:val="0"/>
                    <w:snapToGrid w:val="0"/>
                    <w:jc w:val="center"/>
                    <w:rPr>
                      <w:color w:val="auto"/>
                      <w14:ligatures w14:val="standardContextual"/>
                    </w:rPr>
                  </w:pPr>
                  <w:r>
                    <w:rPr>
                      <w:rFonts w:hint="eastAsia"/>
                      <w:color w:val="auto"/>
                      <w14:ligatures w14:val="standardContextual"/>
                    </w:rPr>
                    <w:t>隔声、吸声、减振降噪、低噪声设备</w:t>
                  </w:r>
                </w:p>
              </w:tc>
            </w:tr>
            <w:tr w14:paraId="5BAF78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83" w:type="pct"/>
                  <w:vMerge w:val="continue"/>
                  <w:vAlign w:val="center"/>
                </w:tcPr>
                <w:p w14:paraId="454B906A">
                  <w:pPr>
                    <w:widowControl w:val="0"/>
                    <w:overflowPunct w:val="0"/>
                    <w:autoSpaceDE w:val="0"/>
                    <w:autoSpaceDN w:val="0"/>
                    <w:snapToGrid w:val="0"/>
                    <w:jc w:val="center"/>
                    <w:rPr>
                      <w14:ligatures w14:val="standardContextual"/>
                    </w:rPr>
                  </w:pPr>
                </w:p>
              </w:tc>
              <w:tc>
                <w:tcPr>
                  <w:tcW w:w="675" w:type="pct"/>
                  <w:vAlign w:val="center"/>
                </w:tcPr>
                <w:p w14:paraId="7EF01C61">
                  <w:pPr>
                    <w:widowControl w:val="0"/>
                    <w:overflowPunct w:val="0"/>
                    <w:autoSpaceDE w:val="0"/>
                    <w:autoSpaceDN w:val="0"/>
                    <w:snapToGrid w:val="0"/>
                    <w:jc w:val="center"/>
                    <w:rPr>
                      <w14:ligatures w14:val="standardContextual"/>
                    </w:rPr>
                  </w:pPr>
                  <w:r>
                    <w:rPr>
                      <w14:ligatures w14:val="standardContextual"/>
                    </w:rPr>
                    <w:t>固废治理</w:t>
                  </w:r>
                </w:p>
              </w:tc>
              <w:tc>
                <w:tcPr>
                  <w:tcW w:w="3942" w:type="pct"/>
                  <w:vAlign w:val="center"/>
                </w:tcPr>
                <w:p w14:paraId="268768F2">
                  <w:pPr>
                    <w:widowControl w:val="0"/>
                    <w:overflowPunct w:val="0"/>
                    <w:autoSpaceDE w:val="0"/>
                    <w:autoSpaceDN w:val="0"/>
                    <w:snapToGrid w:val="0"/>
                    <w:jc w:val="left"/>
                    <w:rPr>
                      <w:rFonts w:hint="eastAsia" w:eastAsia="宋体"/>
                      <w:color w:val="auto"/>
                      <w:lang w:val="en-US" w:eastAsia="zh-CN"/>
                      <w14:ligatures w14:val="standardContextual"/>
                    </w:rPr>
                  </w:pPr>
                  <w:r>
                    <w:rPr>
                      <w:rFonts w:hint="eastAsia"/>
                      <w:color w:val="auto"/>
                      <w14:ligatures w14:val="standardContextual"/>
                    </w:rPr>
                    <w:t>一般固体废物：暂存于产品堆料区内。废土料、沉淀泥渣、收集尘用于路基铺路综合利用；废金属外售钢铁厂综合利用；轻物质、废布袋外售物资回收站</w:t>
                  </w:r>
                  <w:r>
                    <w:rPr>
                      <w:rFonts w:hint="eastAsia"/>
                      <w:color w:val="auto"/>
                      <w:lang w:eastAsia="zh-CN"/>
                      <w14:ligatures w14:val="standardContextual"/>
                    </w:rPr>
                    <w:t>。</w:t>
                  </w:r>
                </w:p>
                <w:p w14:paraId="1B5B276A">
                  <w:pPr>
                    <w:widowControl w:val="0"/>
                    <w:overflowPunct w:val="0"/>
                    <w:autoSpaceDE w:val="0"/>
                    <w:autoSpaceDN w:val="0"/>
                    <w:snapToGrid w:val="0"/>
                    <w:jc w:val="left"/>
                    <w:rPr>
                      <w:color w:val="auto"/>
                      <w14:ligatures w14:val="standardContextual"/>
                    </w:rPr>
                  </w:pPr>
                  <w:r>
                    <w:rPr>
                      <w:rFonts w:hint="eastAsia"/>
                      <w:color w:val="auto"/>
                      <w14:ligatures w14:val="standardContextual"/>
                    </w:rPr>
                    <w:t>危险废物：机修产生的废矿物油、废机油桶、含油抹布经收集后存放于危废间，定期交有资质单位运输处理</w:t>
                  </w:r>
                </w:p>
                <w:p w14:paraId="5C7DA854">
                  <w:pPr>
                    <w:widowControl w:val="0"/>
                    <w:overflowPunct w:val="0"/>
                    <w:autoSpaceDE w:val="0"/>
                    <w:autoSpaceDN w:val="0"/>
                    <w:snapToGrid w:val="0"/>
                    <w:jc w:val="left"/>
                    <w:rPr>
                      <w:color w:val="auto"/>
                      <w14:ligatures w14:val="standardContextual"/>
                    </w:rPr>
                  </w:pPr>
                  <w:r>
                    <w:rPr>
                      <w:rFonts w:hint="eastAsia"/>
                      <w:color w:val="auto"/>
                      <w14:ligatures w14:val="standardContextual"/>
                    </w:rPr>
                    <w:t>生活垃圾：交由环卫部门处置</w:t>
                  </w:r>
                </w:p>
              </w:tc>
            </w:tr>
          </w:tbl>
          <w:p w14:paraId="1B85936E">
            <w:pPr>
              <w:pStyle w:val="7"/>
            </w:pPr>
            <w:r>
              <w:rPr>
                <w:rFonts w:hint="eastAsia"/>
              </w:rPr>
              <w:t>四、产品方案</w:t>
            </w:r>
          </w:p>
          <w:p w14:paraId="78C790D5">
            <w:pPr>
              <w:pStyle w:val="3"/>
              <w:ind w:firstLine="480"/>
            </w:pPr>
            <w:r>
              <w:rPr>
                <w:rFonts w:hint="eastAsia"/>
              </w:rPr>
              <w:t>本项目可处置建筑垃圾总量约5万t/a，经分拣后可利用部分（主要为混凝土块）进入综合利用生产线进行破碎、磁选、风选，得到碎石，剩余不可利用的废金属、轻物质、废土料外售综合利用。</w:t>
            </w:r>
          </w:p>
          <w:p w14:paraId="3A15A838">
            <w:pPr>
              <w:pStyle w:val="48"/>
            </w:pPr>
            <w:r>
              <w:rPr>
                <w:rFonts w:hint="eastAsia"/>
              </w:rPr>
              <w:t xml:space="preserve">表2- </w:t>
            </w:r>
            <w:r>
              <w:fldChar w:fldCharType="begin"/>
            </w:r>
            <w:r>
              <w:instrText xml:space="preserve"> </w:instrText>
            </w:r>
            <w:r>
              <w:rPr>
                <w:rFonts w:hint="eastAsia"/>
              </w:rPr>
              <w:instrText xml:space="preserve">SEQ 表2- \* ARABIC</w:instrText>
            </w:r>
            <w:r>
              <w:instrText xml:space="preserve"> </w:instrText>
            </w:r>
            <w:r>
              <w:fldChar w:fldCharType="separate"/>
            </w:r>
            <w:r>
              <w:t>2</w:t>
            </w:r>
            <w:r>
              <w:fldChar w:fldCharType="end"/>
            </w:r>
            <w:r>
              <w:rPr>
                <w:rFonts w:hint="eastAsia"/>
              </w:rPr>
              <w:t>：项目产品方案及规模</w:t>
            </w:r>
          </w:p>
          <w:tbl>
            <w:tblPr>
              <w:tblStyle w:val="4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121"/>
              <w:gridCol w:w="1276"/>
              <w:gridCol w:w="1135"/>
              <w:gridCol w:w="1418"/>
              <w:gridCol w:w="3192"/>
            </w:tblGrid>
            <w:tr w14:paraId="2725B6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121" w:type="dxa"/>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279273CA">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序号</w:t>
                  </w:r>
                </w:p>
              </w:tc>
              <w:tc>
                <w:tcPr>
                  <w:tcW w:w="1276"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3870CA20">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产品名称</w:t>
                  </w:r>
                </w:p>
              </w:tc>
              <w:tc>
                <w:tcPr>
                  <w:tcW w:w="1135"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5A06FAE0">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年产量</w:t>
                  </w:r>
                </w:p>
              </w:tc>
              <w:tc>
                <w:tcPr>
                  <w:tcW w:w="1418"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58D347A1">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单位</w:t>
                  </w:r>
                </w:p>
              </w:tc>
              <w:tc>
                <w:tcPr>
                  <w:tcW w:w="3192" w:type="dxa"/>
                  <w:tcBorders>
                    <w:top w:val="single" w:color="auto" w:sz="12" w:space="0"/>
                    <w:bottom w:val="single" w:color="auto" w:sz="12" w:space="0"/>
                    <w:right w:val="nil"/>
                    <w:insideH w:val="single" w:sz="12" w:space="0"/>
                    <w:insideV w:val="single" w:sz="4" w:space="0"/>
                    <w:tl2br w:val="nil"/>
                    <w:tr2bl w:val="nil"/>
                  </w:tcBorders>
                  <w:vAlign w:val="center"/>
                </w:tcPr>
                <w:p w14:paraId="3C6FC6AD">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规格</w:t>
                  </w:r>
                </w:p>
              </w:tc>
            </w:tr>
            <w:tr w14:paraId="38B312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121" w:type="dxa"/>
                  <w:vAlign w:val="center"/>
                </w:tcPr>
                <w:p w14:paraId="6CE4F1DB">
                  <w:pPr>
                    <w:widowControl w:val="0"/>
                    <w:overflowPunct w:val="0"/>
                    <w:autoSpaceDE w:val="0"/>
                    <w:autoSpaceDN w:val="0"/>
                    <w:snapToGrid w:val="0"/>
                    <w:jc w:val="center"/>
                    <w:rPr>
                      <w14:ligatures w14:val="standardContextual"/>
                    </w:rPr>
                  </w:pPr>
                  <w:r>
                    <w:rPr>
                      <w:rFonts w:hint="eastAsia"/>
                      <w14:ligatures w14:val="standardContextual"/>
                    </w:rPr>
                    <w:t>1</w:t>
                  </w:r>
                </w:p>
              </w:tc>
              <w:tc>
                <w:tcPr>
                  <w:tcW w:w="1276" w:type="dxa"/>
                  <w:vAlign w:val="center"/>
                </w:tcPr>
                <w:p w14:paraId="261F59E4">
                  <w:pPr>
                    <w:widowControl w:val="0"/>
                    <w:overflowPunct w:val="0"/>
                    <w:autoSpaceDE w:val="0"/>
                    <w:autoSpaceDN w:val="0"/>
                    <w:snapToGrid w:val="0"/>
                    <w:jc w:val="center"/>
                    <w:rPr>
                      <w14:ligatures w14:val="standardContextual"/>
                    </w:rPr>
                  </w:pPr>
                  <w:r>
                    <w:rPr>
                      <w:rFonts w:hint="eastAsia"/>
                      <w14:ligatures w14:val="standardContextual"/>
                    </w:rPr>
                    <w:t>碎石</w:t>
                  </w:r>
                </w:p>
              </w:tc>
              <w:tc>
                <w:tcPr>
                  <w:tcW w:w="1135" w:type="dxa"/>
                  <w:vAlign w:val="center"/>
                </w:tcPr>
                <w:p w14:paraId="1BC85912">
                  <w:pPr>
                    <w:widowControl w:val="0"/>
                    <w:overflowPunct w:val="0"/>
                    <w:autoSpaceDE w:val="0"/>
                    <w:autoSpaceDN w:val="0"/>
                    <w:snapToGrid w:val="0"/>
                    <w:jc w:val="center"/>
                    <w:rPr>
                      <w14:ligatures w14:val="standardContextual"/>
                    </w:rPr>
                  </w:pPr>
                  <w:r>
                    <w:rPr>
                      <w:rFonts w:hint="eastAsia"/>
                      <w14:ligatures w14:val="standardContextual"/>
                    </w:rPr>
                    <w:t>3.5</w:t>
                  </w:r>
                </w:p>
              </w:tc>
              <w:tc>
                <w:tcPr>
                  <w:tcW w:w="1418" w:type="dxa"/>
                  <w:vAlign w:val="center"/>
                </w:tcPr>
                <w:p w14:paraId="700DC7D3">
                  <w:pPr>
                    <w:widowControl w:val="0"/>
                    <w:overflowPunct w:val="0"/>
                    <w:autoSpaceDE w:val="0"/>
                    <w:autoSpaceDN w:val="0"/>
                    <w:snapToGrid w:val="0"/>
                    <w:jc w:val="center"/>
                    <w:rPr>
                      <w14:ligatures w14:val="standardContextual"/>
                    </w:rPr>
                  </w:pPr>
                  <w:r>
                    <w:rPr>
                      <w:rFonts w:hint="eastAsia"/>
                      <w14:ligatures w14:val="standardContextual"/>
                    </w:rPr>
                    <w:t>万吨/年</w:t>
                  </w:r>
                </w:p>
              </w:tc>
              <w:tc>
                <w:tcPr>
                  <w:tcW w:w="3192" w:type="dxa"/>
                  <w:vAlign w:val="center"/>
                </w:tcPr>
                <w:p w14:paraId="5BB7E402">
                  <w:pPr>
                    <w:widowControl w:val="0"/>
                    <w:overflowPunct w:val="0"/>
                    <w:autoSpaceDE w:val="0"/>
                    <w:autoSpaceDN w:val="0"/>
                    <w:snapToGrid w:val="0"/>
                    <w:jc w:val="center"/>
                    <w:rPr>
                      <w14:ligatures w14:val="standardContextual"/>
                    </w:rPr>
                  </w:pPr>
                  <w:r>
                    <w:rPr>
                      <w:rFonts w:hint="eastAsia"/>
                      <w14:ligatures w14:val="standardContextual"/>
                    </w:rPr>
                    <w:t>米石（5-10mm）、小12子（10-15mm）、大12子（15-0mm）、13子（16-31.5mm）</w:t>
                  </w:r>
                </w:p>
              </w:tc>
            </w:tr>
          </w:tbl>
          <w:p w14:paraId="7264BF61">
            <w:pPr>
              <w:pStyle w:val="7"/>
            </w:pPr>
            <w:r>
              <w:rPr>
                <w:rFonts w:hint="eastAsia"/>
              </w:rPr>
              <w:t>五、主要生产设施</w:t>
            </w:r>
          </w:p>
          <w:p w14:paraId="381CA287">
            <w:pPr>
              <w:pStyle w:val="3"/>
              <w:tabs>
                <w:tab w:val="left" w:pos="4433"/>
              </w:tabs>
              <w:ind w:firstLine="480"/>
            </w:pPr>
            <w:r>
              <w:rPr>
                <w:rFonts w:hint="eastAsia"/>
              </w:rPr>
              <w:t>本项目主要设备明细见下表。</w:t>
            </w:r>
          </w:p>
          <w:p w14:paraId="23A3C5F0">
            <w:pPr>
              <w:pStyle w:val="48"/>
            </w:pPr>
            <w:bookmarkStart w:id="22" w:name="_Ref176945961"/>
            <w:r>
              <w:rPr>
                <w:rFonts w:hint="eastAsia"/>
              </w:rPr>
              <w:t xml:space="preserve">表2- </w:t>
            </w:r>
            <w:r>
              <w:fldChar w:fldCharType="begin"/>
            </w:r>
            <w:r>
              <w:instrText xml:space="preserve"> </w:instrText>
            </w:r>
            <w:r>
              <w:rPr>
                <w:rFonts w:hint="eastAsia"/>
              </w:rPr>
              <w:instrText xml:space="preserve">SEQ 表2- \* ARABIC</w:instrText>
            </w:r>
            <w:r>
              <w:instrText xml:space="preserve"> </w:instrText>
            </w:r>
            <w:r>
              <w:fldChar w:fldCharType="separate"/>
            </w:r>
            <w:r>
              <w:t>3</w:t>
            </w:r>
            <w:r>
              <w:fldChar w:fldCharType="end"/>
            </w:r>
            <w:r>
              <w:rPr>
                <w:rFonts w:hint="eastAsia"/>
              </w:rPr>
              <w:t>：本项目主要设备</w:t>
            </w:r>
            <w:bookmarkEnd w:id="22"/>
          </w:p>
          <w:tbl>
            <w:tblPr>
              <w:tblStyle w:val="4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712"/>
              <w:gridCol w:w="2927"/>
              <w:gridCol w:w="2558"/>
              <w:gridCol w:w="1091"/>
              <w:gridCol w:w="1089"/>
            </w:tblGrid>
            <w:tr w14:paraId="5D3DAA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25" w:type="pc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360E16F4">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序号</w:t>
                  </w:r>
                </w:p>
              </w:tc>
              <w:tc>
                <w:tcPr>
                  <w:tcW w:w="1747"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55936927">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名称</w:t>
                  </w:r>
                </w:p>
              </w:tc>
              <w:tc>
                <w:tcPr>
                  <w:tcW w:w="1527"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1335E732">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规格（cm）</w:t>
                  </w:r>
                </w:p>
              </w:tc>
              <w:tc>
                <w:tcPr>
                  <w:tcW w:w="651"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15F31D78">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数量</w:t>
                  </w:r>
                </w:p>
              </w:tc>
              <w:tc>
                <w:tcPr>
                  <w:tcW w:w="650" w:type="pct"/>
                  <w:tcBorders>
                    <w:top w:val="single" w:color="auto" w:sz="12" w:space="0"/>
                    <w:bottom w:val="single" w:color="auto" w:sz="12" w:space="0"/>
                    <w:right w:val="nil"/>
                    <w:insideH w:val="single" w:sz="12" w:space="0"/>
                    <w:insideV w:val="single" w:sz="4" w:space="0"/>
                    <w:tl2br w:val="nil"/>
                    <w:tr2bl w:val="nil"/>
                  </w:tcBorders>
                  <w:vAlign w:val="center"/>
                </w:tcPr>
                <w:p w14:paraId="14518073">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单位</w:t>
                  </w:r>
                </w:p>
              </w:tc>
            </w:tr>
            <w:tr w14:paraId="61EA23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25" w:type="pct"/>
                  <w:vAlign w:val="center"/>
                </w:tcPr>
                <w:p w14:paraId="3AC78C7C">
                  <w:pPr>
                    <w:pStyle w:val="65"/>
                    <w:widowControl w:val="0"/>
                    <w:numPr>
                      <w:ilvl w:val="0"/>
                      <w:numId w:val="2"/>
                    </w:numPr>
                    <w:overflowPunct w:val="0"/>
                    <w:autoSpaceDE w:val="0"/>
                    <w:autoSpaceDN w:val="0"/>
                    <w:snapToGrid w:val="0"/>
                    <w:ind w:firstLineChars="0"/>
                    <w:jc w:val="center"/>
                    <w:rPr>
                      <w14:ligatures w14:val="standardContextual"/>
                    </w:rPr>
                  </w:pPr>
                </w:p>
              </w:tc>
              <w:tc>
                <w:tcPr>
                  <w:tcW w:w="1747" w:type="pct"/>
                  <w:vAlign w:val="center"/>
                </w:tcPr>
                <w:p w14:paraId="1465547B">
                  <w:pPr>
                    <w:widowControl w:val="0"/>
                    <w:overflowPunct w:val="0"/>
                    <w:autoSpaceDE w:val="0"/>
                    <w:autoSpaceDN w:val="0"/>
                    <w:snapToGrid w:val="0"/>
                    <w:jc w:val="center"/>
                    <w:rPr>
                      <w14:ligatures w14:val="standardContextual"/>
                    </w:rPr>
                  </w:pPr>
                  <w:r>
                    <w:rPr>
                      <w:rFonts w:hint="eastAsia"/>
                      <w14:ligatures w14:val="standardContextual"/>
                    </w:rPr>
                    <w:t>链板给料机</w:t>
                  </w:r>
                </w:p>
              </w:tc>
              <w:tc>
                <w:tcPr>
                  <w:tcW w:w="1527" w:type="pct"/>
                  <w:vAlign w:val="center"/>
                </w:tcPr>
                <w:p w14:paraId="0E66A796">
                  <w:pPr>
                    <w:widowControl w:val="0"/>
                    <w:overflowPunct w:val="0"/>
                    <w:autoSpaceDE w:val="0"/>
                    <w:autoSpaceDN w:val="0"/>
                    <w:snapToGrid w:val="0"/>
                    <w:jc w:val="center"/>
                    <w:rPr>
                      <w14:ligatures w14:val="standardContextual"/>
                    </w:rPr>
                  </w:pPr>
                  <w:r>
                    <w:rPr>
                      <w:rFonts w:hint="eastAsia"/>
                      <w14:ligatures w14:val="standardContextual"/>
                    </w:rPr>
                    <w:t>1000*4000</w:t>
                  </w:r>
                </w:p>
              </w:tc>
              <w:tc>
                <w:tcPr>
                  <w:tcW w:w="651" w:type="pct"/>
                  <w:vAlign w:val="center"/>
                </w:tcPr>
                <w:p w14:paraId="1337E21D">
                  <w:pPr>
                    <w:widowControl w:val="0"/>
                    <w:overflowPunct w:val="0"/>
                    <w:autoSpaceDE w:val="0"/>
                    <w:autoSpaceDN w:val="0"/>
                    <w:snapToGrid w:val="0"/>
                    <w:jc w:val="center"/>
                    <w:rPr>
                      <w14:ligatures w14:val="standardContextual"/>
                    </w:rPr>
                  </w:pPr>
                  <w:r>
                    <w:rPr>
                      <w:rFonts w:hint="eastAsia"/>
                      <w14:ligatures w14:val="standardContextual"/>
                    </w:rPr>
                    <w:t>2</w:t>
                  </w:r>
                </w:p>
              </w:tc>
              <w:tc>
                <w:tcPr>
                  <w:tcW w:w="650" w:type="pct"/>
                  <w:vAlign w:val="center"/>
                </w:tcPr>
                <w:p w14:paraId="092C6EED">
                  <w:pPr>
                    <w:widowControl w:val="0"/>
                    <w:overflowPunct w:val="0"/>
                    <w:autoSpaceDE w:val="0"/>
                    <w:autoSpaceDN w:val="0"/>
                    <w:snapToGrid w:val="0"/>
                    <w:jc w:val="center"/>
                    <w:rPr>
                      <w14:ligatures w14:val="standardContextual"/>
                    </w:rPr>
                  </w:pPr>
                  <w:r>
                    <w:rPr>
                      <w:rFonts w:hint="eastAsia"/>
                      <w14:ligatures w14:val="standardContextual"/>
                    </w:rPr>
                    <w:t>台</w:t>
                  </w:r>
                </w:p>
              </w:tc>
            </w:tr>
            <w:tr w14:paraId="3B6F26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25" w:type="pct"/>
                  <w:vAlign w:val="center"/>
                </w:tcPr>
                <w:p w14:paraId="747AD8F1">
                  <w:pPr>
                    <w:pStyle w:val="65"/>
                    <w:widowControl w:val="0"/>
                    <w:numPr>
                      <w:ilvl w:val="0"/>
                      <w:numId w:val="2"/>
                    </w:numPr>
                    <w:overflowPunct w:val="0"/>
                    <w:autoSpaceDE w:val="0"/>
                    <w:autoSpaceDN w:val="0"/>
                    <w:snapToGrid w:val="0"/>
                    <w:ind w:firstLineChars="0"/>
                    <w:jc w:val="center"/>
                    <w:rPr>
                      <w14:ligatures w14:val="standardContextual"/>
                    </w:rPr>
                  </w:pPr>
                </w:p>
              </w:tc>
              <w:tc>
                <w:tcPr>
                  <w:tcW w:w="1747" w:type="pct"/>
                  <w:vAlign w:val="center"/>
                </w:tcPr>
                <w:p w14:paraId="27E178E8">
                  <w:pPr>
                    <w:widowControl w:val="0"/>
                    <w:overflowPunct w:val="0"/>
                    <w:autoSpaceDE w:val="0"/>
                    <w:autoSpaceDN w:val="0"/>
                    <w:snapToGrid w:val="0"/>
                    <w:jc w:val="center"/>
                    <w:rPr>
                      <w14:ligatures w14:val="standardContextual"/>
                    </w:rPr>
                  </w:pPr>
                  <w:r>
                    <w:rPr>
                      <w:rFonts w:hint="eastAsia"/>
                      <w14:ligatures w14:val="standardContextual"/>
                    </w:rPr>
                    <w:t>双轴撕碎机</w:t>
                  </w:r>
                </w:p>
              </w:tc>
              <w:tc>
                <w:tcPr>
                  <w:tcW w:w="1527" w:type="pct"/>
                  <w:vAlign w:val="center"/>
                </w:tcPr>
                <w:p w14:paraId="0FE830BB">
                  <w:pPr>
                    <w:widowControl w:val="0"/>
                    <w:overflowPunct w:val="0"/>
                    <w:autoSpaceDE w:val="0"/>
                    <w:autoSpaceDN w:val="0"/>
                    <w:snapToGrid w:val="0"/>
                    <w:jc w:val="center"/>
                    <w:rPr>
                      <w14:ligatures w14:val="standardContextual"/>
                    </w:rPr>
                  </w:pPr>
                  <w:r>
                    <w:rPr>
                      <w:rFonts w:hint="eastAsia"/>
                      <w14:ligatures w14:val="standardContextual"/>
                    </w:rPr>
                    <w:t>GX-1200</w:t>
                  </w:r>
                </w:p>
              </w:tc>
              <w:tc>
                <w:tcPr>
                  <w:tcW w:w="651" w:type="pct"/>
                  <w:vAlign w:val="center"/>
                </w:tcPr>
                <w:p w14:paraId="59A21E3E">
                  <w:pPr>
                    <w:widowControl w:val="0"/>
                    <w:overflowPunct w:val="0"/>
                    <w:autoSpaceDE w:val="0"/>
                    <w:autoSpaceDN w:val="0"/>
                    <w:snapToGrid w:val="0"/>
                    <w:jc w:val="center"/>
                    <w:rPr>
                      <w14:ligatures w14:val="standardContextual"/>
                    </w:rPr>
                  </w:pPr>
                  <w:r>
                    <w:rPr>
                      <w:rFonts w:hint="eastAsia"/>
                      <w14:ligatures w14:val="standardContextual"/>
                    </w:rPr>
                    <w:t>1</w:t>
                  </w:r>
                </w:p>
              </w:tc>
              <w:tc>
                <w:tcPr>
                  <w:tcW w:w="650" w:type="pct"/>
                  <w:vAlign w:val="center"/>
                </w:tcPr>
                <w:p w14:paraId="38205C13">
                  <w:pPr>
                    <w:widowControl w:val="0"/>
                    <w:overflowPunct w:val="0"/>
                    <w:autoSpaceDE w:val="0"/>
                    <w:autoSpaceDN w:val="0"/>
                    <w:snapToGrid w:val="0"/>
                    <w:jc w:val="center"/>
                    <w:rPr>
                      <w14:ligatures w14:val="standardContextual"/>
                    </w:rPr>
                  </w:pPr>
                  <w:r>
                    <w:rPr>
                      <w:rFonts w:hint="eastAsia"/>
                      <w14:ligatures w14:val="standardContextual"/>
                    </w:rPr>
                    <w:t>台</w:t>
                  </w:r>
                </w:p>
              </w:tc>
            </w:tr>
            <w:tr w14:paraId="5AA0DE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25" w:type="pct"/>
                  <w:vAlign w:val="center"/>
                </w:tcPr>
                <w:p w14:paraId="452866D2">
                  <w:pPr>
                    <w:pStyle w:val="65"/>
                    <w:widowControl w:val="0"/>
                    <w:numPr>
                      <w:ilvl w:val="0"/>
                      <w:numId w:val="2"/>
                    </w:numPr>
                    <w:overflowPunct w:val="0"/>
                    <w:autoSpaceDE w:val="0"/>
                    <w:autoSpaceDN w:val="0"/>
                    <w:snapToGrid w:val="0"/>
                    <w:ind w:firstLineChars="0"/>
                    <w:jc w:val="center"/>
                    <w:rPr>
                      <w14:ligatures w14:val="standardContextual"/>
                    </w:rPr>
                  </w:pPr>
                </w:p>
              </w:tc>
              <w:tc>
                <w:tcPr>
                  <w:tcW w:w="1747" w:type="pct"/>
                  <w:vAlign w:val="center"/>
                </w:tcPr>
                <w:p w14:paraId="39FD63F3">
                  <w:pPr>
                    <w:widowControl w:val="0"/>
                    <w:overflowPunct w:val="0"/>
                    <w:autoSpaceDE w:val="0"/>
                    <w:autoSpaceDN w:val="0"/>
                    <w:snapToGrid w:val="0"/>
                    <w:jc w:val="center"/>
                    <w:rPr>
                      <w14:ligatures w14:val="standardContextual"/>
                    </w:rPr>
                  </w:pPr>
                  <w:r>
                    <w:rPr>
                      <w:rFonts w:hint="eastAsia"/>
                      <w14:ligatures w14:val="standardContextual"/>
                    </w:rPr>
                    <w:t>皮带上料机</w:t>
                  </w:r>
                </w:p>
              </w:tc>
              <w:tc>
                <w:tcPr>
                  <w:tcW w:w="1527" w:type="pct"/>
                  <w:vAlign w:val="center"/>
                </w:tcPr>
                <w:p w14:paraId="48F03D10">
                  <w:pPr>
                    <w:widowControl w:val="0"/>
                    <w:overflowPunct w:val="0"/>
                    <w:autoSpaceDE w:val="0"/>
                    <w:autoSpaceDN w:val="0"/>
                    <w:snapToGrid w:val="0"/>
                    <w:jc w:val="center"/>
                    <w:rPr>
                      <w14:ligatures w14:val="standardContextual"/>
                    </w:rPr>
                  </w:pPr>
                  <w:r>
                    <w:rPr>
                      <w:rFonts w:hint="eastAsia"/>
                      <w14:ligatures w14:val="standardContextual"/>
                    </w:rPr>
                    <w:t>800*10000</w:t>
                  </w:r>
                </w:p>
              </w:tc>
              <w:tc>
                <w:tcPr>
                  <w:tcW w:w="651" w:type="pct"/>
                  <w:vAlign w:val="center"/>
                </w:tcPr>
                <w:p w14:paraId="43637C35">
                  <w:pPr>
                    <w:widowControl w:val="0"/>
                    <w:overflowPunct w:val="0"/>
                    <w:autoSpaceDE w:val="0"/>
                    <w:autoSpaceDN w:val="0"/>
                    <w:snapToGrid w:val="0"/>
                    <w:jc w:val="center"/>
                    <w:rPr>
                      <w14:ligatures w14:val="standardContextual"/>
                    </w:rPr>
                  </w:pPr>
                  <w:r>
                    <w:rPr>
                      <w:rFonts w:hint="eastAsia"/>
                      <w14:ligatures w14:val="standardContextual"/>
                    </w:rPr>
                    <w:t>2</w:t>
                  </w:r>
                </w:p>
              </w:tc>
              <w:tc>
                <w:tcPr>
                  <w:tcW w:w="650" w:type="pct"/>
                  <w:vAlign w:val="center"/>
                </w:tcPr>
                <w:p w14:paraId="5E3EE167">
                  <w:pPr>
                    <w:widowControl w:val="0"/>
                    <w:overflowPunct w:val="0"/>
                    <w:autoSpaceDE w:val="0"/>
                    <w:autoSpaceDN w:val="0"/>
                    <w:snapToGrid w:val="0"/>
                    <w:jc w:val="center"/>
                    <w:rPr>
                      <w14:ligatures w14:val="standardContextual"/>
                    </w:rPr>
                  </w:pPr>
                  <w:r>
                    <w:rPr>
                      <w:rFonts w:hint="eastAsia"/>
                      <w14:ligatures w14:val="standardContextual"/>
                    </w:rPr>
                    <w:t>台</w:t>
                  </w:r>
                </w:p>
              </w:tc>
            </w:tr>
            <w:tr w14:paraId="5911AC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25" w:type="pct"/>
                  <w:vAlign w:val="center"/>
                </w:tcPr>
                <w:p w14:paraId="555A862D">
                  <w:pPr>
                    <w:pStyle w:val="65"/>
                    <w:widowControl w:val="0"/>
                    <w:numPr>
                      <w:ilvl w:val="0"/>
                      <w:numId w:val="2"/>
                    </w:numPr>
                    <w:overflowPunct w:val="0"/>
                    <w:autoSpaceDE w:val="0"/>
                    <w:autoSpaceDN w:val="0"/>
                    <w:snapToGrid w:val="0"/>
                    <w:ind w:firstLineChars="0"/>
                    <w:jc w:val="center"/>
                    <w:rPr>
                      <w14:ligatures w14:val="standardContextual"/>
                    </w:rPr>
                  </w:pPr>
                </w:p>
              </w:tc>
              <w:tc>
                <w:tcPr>
                  <w:tcW w:w="1747" w:type="pct"/>
                  <w:vAlign w:val="center"/>
                </w:tcPr>
                <w:p w14:paraId="0CDA4CC9">
                  <w:pPr>
                    <w:widowControl w:val="0"/>
                    <w:overflowPunct w:val="0"/>
                    <w:autoSpaceDE w:val="0"/>
                    <w:autoSpaceDN w:val="0"/>
                    <w:snapToGrid w:val="0"/>
                    <w:jc w:val="center"/>
                    <w:rPr>
                      <w14:ligatures w14:val="standardContextual"/>
                    </w:rPr>
                  </w:pPr>
                  <w:r>
                    <w:rPr>
                      <w:rFonts w:hint="eastAsia"/>
                      <w14:ligatures w14:val="standardContextual"/>
                    </w:rPr>
                    <w:t>滚筒筛分机</w:t>
                  </w:r>
                </w:p>
              </w:tc>
              <w:tc>
                <w:tcPr>
                  <w:tcW w:w="1527" w:type="pct"/>
                  <w:vAlign w:val="center"/>
                </w:tcPr>
                <w:p w14:paraId="2DC065BB">
                  <w:pPr>
                    <w:widowControl w:val="0"/>
                    <w:overflowPunct w:val="0"/>
                    <w:autoSpaceDE w:val="0"/>
                    <w:autoSpaceDN w:val="0"/>
                    <w:snapToGrid w:val="0"/>
                    <w:jc w:val="center"/>
                    <w:rPr>
                      <w14:ligatures w14:val="standardContextual"/>
                    </w:rPr>
                  </w:pPr>
                  <w:r>
                    <w:rPr>
                      <w:rFonts w:hint="eastAsia"/>
                      <w14:ligatures w14:val="standardContextual"/>
                    </w:rPr>
                    <w:t>∮1500*6000</w:t>
                  </w:r>
                </w:p>
              </w:tc>
              <w:tc>
                <w:tcPr>
                  <w:tcW w:w="651" w:type="pct"/>
                  <w:vAlign w:val="center"/>
                </w:tcPr>
                <w:p w14:paraId="490B7EF1">
                  <w:pPr>
                    <w:widowControl w:val="0"/>
                    <w:overflowPunct w:val="0"/>
                    <w:autoSpaceDE w:val="0"/>
                    <w:autoSpaceDN w:val="0"/>
                    <w:snapToGrid w:val="0"/>
                    <w:jc w:val="center"/>
                    <w:rPr>
                      <w14:ligatures w14:val="standardContextual"/>
                    </w:rPr>
                  </w:pPr>
                  <w:r>
                    <w:rPr>
                      <w:rFonts w:hint="eastAsia"/>
                      <w14:ligatures w14:val="standardContextual"/>
                    </w:rPr>
                    <w:t>1</w:t>
                  </w:r>
                </w:p>
              </w:tc>
              <w:tc>
                <w:tcPr>
                  <w:tcW w:w="650" w:type="pct"/>
                  <w:vAlign w:val="center"/>
                </w:tcPr>
                <w:p w14:paraId="711C4A3E">
                  <w:pPr>
                    <w:widowControl w:val="0"/>
                    <w:overflowPunct w:val="0"/>
                    <w:autoSpaceDE w:val="0"/>
                    <w:autoSpaceDN w:val="0"/>
                    <w:snapToGrid w:val="0"/>
                    <w:jc w:val="center"/>
                    <w:rPr>
                      <w14:ligatures w14:val="standardContextual"/>
                    </w:rPr>
                  </w:pPr>
                  <w:r>
                    <w:rPr>
                      <w:rFonts w:hint="eastAsia"/>
                      <w14:ligatures w14:val="standardContextual"/>
                    </w:rPr>
                    <w:t>台</w:t>
                  </w:r>
                </w:p>
              </w:tc>
            </w:tr>
            <w:tr w14:paraId="276551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25" w:type="pct"/>
                  <w:vAlign w:val="center"/>
                </w:tcPr>
                <w:p w14:paraId="21C05D09">
                  <w:pPr>
                    <w:pStyle w:val="65"/>
                    <w:widowControl w:val="0"/>
                    <w:numPr>
                      <w:ilvl w:val="0"/>
                      <w:numId w:val="2"/>
                    </w:numPr>
                    <w:overflowPunct w:val="0"/>
                    <w:autoSpaceDE w:val="0"/>
                    <w:autoSpaceDN w:val="0"/>
                    <w:snapToGrid w:val="0"/>
                    <w:ind w:firstLineChars="0"/>
                    <w:jc w:val="center"/>
                    <w:rPr>
                      <w14:ligatures w14:val="standardContextual"/>
                    </w:rPr>
                  </w:pPr>
                </w:p>
              </w:tc>
              <w:tc>
                <w:tcPr>
                  <w:tcW w:w="1747" w:type="pct"/>
                  <w:vAlign w:val="center"/>
                </w:tcPr>
                <w:p w14:paraId="6BBDEDA5">
                  <w:pPr>
                    <w:widowControl w:val="0"/>
                    <w:overflowPunct w:val="0"/>
                    <w:autoSpaceDE w:val="0"/>
                    <w:autoSpaceDN w:val="0"/>
                    <w:snapToGrid w:val="0"/>
                    <w:jc w:val="center"/>
                    <w:rPr>
                      <w:rFonts w:cs="宋体"/>
                      <w:sz w:val="22"/>
                      <w:szCs w:val="22"/>
                      <w14:ligatures w14:val="standardContextual"/>
                    </w:rPr>
                  </w:pPr>
                  <w:r>
                    <w:rPr>
                      <w:rFonts w:hint="eastAsia"/>
                      <w14:ligatures w14:val="standardContextual"/>
                    </w:rPr>
                    <w:t>筛下物收集皮带机</w:t>
                  </w:r>
                </w:p>
              </w:tc>
              <w:tc>
                <w:tcPr>
                  <w:tcW w:w="1527" w:type="pct"/>
                  <w:vAlign w:val="center"/>
                </w:tcPr>
                <w:p w14:paraId="7052C8CD">
                  <w:pPr>
                    <w:widowControl w:val="0"/>
                    <w:overflowPunct w:val="0"/>
                    <w:autoSpaceDE w:val="0"/>
                    <w:autoSpaceDN w:val="0"/>
                    <w:snapToGrid w:val="0"/>
                    <w:jc w:val="center"/>
                    <w:rPr>
                      <w:rFonts w:cs="宋体"/>
                      <w:sz w:val="22"/>
                      <w:szCs w:val="22"/>
                      <w14:ligatures w14:val="standardContextual"/>
                    </w:rPr>
                  </w:pPr>
                  <w:r>
                    <w:rPr>
                      <w:rFonts w:hint="eastAsia"/>
                      <w14:ligatures w14:val="standardContextual"/>
                    </w:rPr>
                    <w:t>500*7000</w:t>
                  </w:r>
                </w:p>
              </w:tc>
              <w:tc>
                <w:tcPr>
                  <w:tcW w:w="651" w:type="pct"/>
                  <w:vAlign w:val="center"/>
                </w:tcPr>
                <w:p w14:paraId="32EE5609">
                  <w:pPr>
                    <w:widowControl w:val="0"/>
                    <w:overflowPunct w:val="0"/>
                    <w:autoSpaceDE w:val="0"/>
                    <w:autoSpaceDN w:val="0"/>
                    <w:snapToGrid w:val="0"/>
                    <w:jc w:val="center"/>
                    <w:rPr>
                      <w14:ligatures w14:val="standardContextual"/>
                    </w:rPr>
                  </w:pPr>
                  <w:r>
                    <w:rPr>
                      <w:rFonts w:hint="eastAsia"/>
                      <w14:ligatures w14:val="standardContextual"/>
                    </w:rPr>
                    <w:t>1</w:t>
                  </w:r>
                </w:p>
              </w:tc>
              <w:tc>
                <w:tcPr>
                  <w:tcW w:w="650" w:type="pct"/>
                  <w:vAlign w:val="center"/>
                </w:tcPr>
                <w:p w14:paraId="2604F0B3">
                  <w:pPr>
                    <w:widowControl w:val="0"/>
                    <w:overflowPunct w:val="0"/>
                    <w:autoSpaceDE w:val="0"/>
                    <w:autoSpaceDN w:val="0"/>
                    <w:snapToGrid w:val="0"/>
                    <w:jc w:val="center"/>
                    <w:rPr>
                      <w14:ligatures w14:val="standardContextual"/>
                    </w:rPr>
                  </w:pPr>
                  <w:r>
                    <w:rPr>
                      <w:rFonts w:hint="eastAsia"/>
                      <w14:ligatures w14:val="standardContextual"/>
                    </w:rPr>
                    <w:t>台</w:t>
                  </w:r>
                </w:p>
              </w:tc>
            </w:tr>
            <w:tr w14:paraId="572B63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25" w:type="pct"/>
                  <w:vAlign w:val="center"/>
                </w:tcPr>
                <w:p w14:paraId="08156E9E">
                  <w:pPr>
                    <w:pStyle w:val="65"/>
                    <w:widowControl w:val="0"/>
                    <w:numPr>
                      <w:ilvl w:val="0"/>
                      <w:numId w:val="2"/>
                    </w:numPr>
                    <w:overflowPunct w:val="0"/>
                    <w:autoSpaceDE w:val="0"/>
                    <w:autoSpaceDN w:val="0"/>
                    <w:snapToGrid w:val="0"/>
                    <w:ind w:firstLineChars="0"/>
                    <w:jc w:val="center"/>
                    <w:rPr>
                      <w14:ligatures w14:val="standardContextual"/>
                    </w:rPr>
                  </w:pPr>
                </w:p>
              </w:tc>
              <w:tc>
                <w:tcPr>
                  <w:tcW w:w="1747" w:type="pct"/>
                  <w:vAlign w:val="center"/>
                </w:tcPr>
                <w:p w14:paraId="39414F4F">
                  <w:pPr>
                    <w:widowControl w:val="0"/>
                    <w:overflowPunct w:val="0"/>
                    <w:autoSpaceDE w:val="0"/>
                    <w:autoSpaceDN w:val="0"/>
                    <w:snapToGrid w:val="0"/>
                    <w:jc w:val="center"/>
                    <w:rPr>
                      <w:rFonts w:cs="宋体"/>
                      <w:sz w:val="22"/>
                      <w:szCs w:val="22"/>
                      <w14:ligatures w14:val="standardContextual"/>
                    </w:rPr>
                  </w:pPr>
                  <w:r>
                    <w:rPr>
                      <w:rFonts w:hint="eastAsia"/>
                      <w14:ligatures w14:val="standardContextual"/>
                    </w:rPr>
                    <w:t>筛下物转运皮带机</w:t>
                  </w:r>
                </w:p>
              </w:tc>
              <w:tc>
                <w:tcPr>
                  <w:tcW w:w="1527" w:type="pct"/>
                  <w:vAlign w:val="center"/>
                </w:tcPr>
                <w:p w14:paraId="198C4E1D">
                  <w:pPr>
                    <w:widowControl w:val="0"/>
                    <w:overflowPunct w:val="0"/>
                    <w:autoSpaceDE w:val="0"/>
                    <w:autoSpaceDN w:val="0"/>
                    <w:snapToGrid w:val="0"/>
                    <w:jc w:val="center"/>
                    <w:rPr>
                      <w:rFonts w:cs="宋体"/>
                      <w:sz w:val="22"/>
                      <w:szCs w:val="22"/>
                      <w14:ligatures w14:val="standardContextual"/>
                    </w:rPr>
                  </w:pPr>
                  <w:r>
                    <w:rPr>
                      <w:rFonts w:hint="eastAsia"/>
                      <w14:ligatures w14:val="standardContextual"/>
                    </w:rPr>
                    <w:t>500*10000</w:t>
                  </w:r>
                </w:p>
              </w:tc>
              <w:tc>
                <w:tcPr>
                  <w:tcW w:w="651" w:type="pct"/>
                  <w:vAlign w:val="center"/>
                </w:tcPr>
                <w:p w14:paraId="369D5BCB">
                  <w:pPr>
                    <w:widowControl w:val="0"/>
                    <w:overflowPunct w:val="0"/>
                    <w:autoSpaceDE w:val="0"/>
                    <w:autoSpaceDN w:val="0"/>
                    <w:snapToGrid w:val="0"/>
                    <w:jc w:val="center"/>
                    <w:rPr>
                      <w14:ligatures w14:val="standardContextual"/>
                    </w:rPr>
                  </w:pPr>
                  <w:r>
                    <w:rPr>
                      <w:rFonts w:hint="eastAsia"/>
                      <w14:ligatures w14:val="standardContextual"/>
                    </w:rPr>
                    <w:t>1</w:t>
                  </w:r>
                </w:p>
              </w:tc>
              <w:tc>
                <w:tcPr>
                  <w:tcW w:w="650" w:type="pct"/>
                  <w:vAlign w:val="center"/>
                </w:tcPr>
                <w:p w14:paraId="6955B7A8">
                  <w:pPr>
                    <w:widowControl w:val="0"/>
                    <w:overflowPunct w:val="0"/>
                    <w:autoSpaceDE w:val="0"/>
                    <w:autoSpaceDN w:val="0"/>
                    <w:snapToGrid w:val="0"/>
                    <w:jc w:val="center"/>
                    <w:rPr>
                      <w14:ligatures w14:val="standardContextual"/>
                    </w:rPr>
                  </w:pPr>
                  <w:r>
                    <w:rPr>
                      <w:rFonts w:hint="eastAsia"/>
                      <w14:ligatures w14:val="standardContextual"/>
                    </w:rPr>
                    <w:t>台</w:t>
                  </w:r>
                </w:p>
              </w:tc>
            </w:tr>
            <w:tr w14:paraId="47956F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25" w:type="pct"/>
                  <w:vAlign w:val="center"/>
                </w:tcPr>
                <w:p w14:paraId="62556C15">
                  <w:pPr>
                    <w:pStyle w:val="65"/>
                    <w:widowControl w:val="0"/>
                    <w:numPr>
                      <w:ilvl w:val="0"/>
                      <w:numId w:val="2"/>
                    </w:numPr>
                    <w:overflowPunct w:val="0"/>
                    <w:autoSpaceDE w:val="0"/>
                    <w:autoSpaceDN w:val="0"/>
                    <w:snapToGrid w:val="0"/>
                    <w:ind w:firstLineChars="0"/>
                    <w:jc w:val="center"/>
                    <w:rPr>
                      <w14:ligatures w14:val="standardContextual"/>
                    </w:rPr>
                  </w:pPr>
                </w:p>
              </w:tc>
              <w:tc>
                <w:tcPr>
                  <w:tcW w:w="1747" w:type="pct"/>
                  <w:vAlign w:val="center"/>
                </w:tcPr>
                <w:p w14:paraId="02203CF8">
                  <w:pPr>
                    <w:widowControl w:val="0"/>
                    <w:overflowPunct w:val="0"/>
                    <w:autoSpaceDE w:val="0"/>
                    <w:autoSpaceDN w:val="0"/>
                    <w:snapToGrid w:val="0"/>
                    <w:jc w:val="center"/>
                    <w:rPr>
                      <w:rFonts w:cs="宋体"/>
                      <w:sz w:val="22"/>
                      <w:szCs w:val="22"/>
                      <w14:ligatures w14:val="standardContextual"/>
                    </w:rPr>
                  </w:pPr>
                  <w:r>
                    <w:rPr>
                      <w:rFonts w:hint="eastAsia"/>
                      <w14:ligatures w14:val="standardContextual"/>
                    </w:rPr>
                    <w:t>筛上物转运皮带机</w:t>
                  </w:r>
                </w:p>
              </w:tc>
              <w:tc>
                <w:tcPr>
                  <w:tcW w:w="1527" w:type="pct"/>
                  <w:vAlign w:val="center"/>
                </w:tcPr>
                <w:p w14:paraId="29CFB9AE">
                  <w:pPr>
                    <w:widowControl w:val="0"/>
                    <w:overflowPunct w:val="0"/>
                    <w:autoSpaceDE w:val="0"/>
                    <w:autoSpaceDN w:val="0"/>
                    <w:snapToGrid w:val="0"/>
                    <w:jc w:val="center"/>
                    <w:rPr>
                      <w:rFonts w:cs="宋体"/>
                      <w:sz w:val="22"/>
                      <w:szCs w:val="22"/>
                      <w14:ligatures w14:val="standardContextual"/>
                    </w:rPr>
                  </w:pPr>
                  <w:r>
                    <w:rPr>
                      <w:rFonts w:hint="eastAsia"/>
                      <w14:ligatures w14:val="standardContextual"/>
                    </w:rPr>
                    <w:t>650*10000</w:t>
                  </w:r>
                </w:p>
              </w:tc>
              <w:tc>
                <w:tcPr>
                  <w:tcW w:w="651" w:type="pct"/>
                  <w:vAlign w:val="center"/>
                </w:tcPr>
                <w:p w14:paraId="21131BE9">
                  <w:pPr>
                    <w:widowControl w:val="0"/>
                    <w:overflowPunct w:val="0"/>
                    <w:autoSpaceDE w:val="0"/>
                    <w:autoSpaceDN w:val="0"/>
                    <w:snapToGrid w:val="0"/>
                    <w:jc w:val="center"/>
                    <w:rPr>
                      <w14:ligatures w14:val="standardContextual"/>
                    </w:rPr>
                  </w:pPr>
                  <w:r>
                    <w:rPr>
                      <w:rFonts w:hint="eastAsia"/>
                      <w14:ligatures w14:val="standardContextual"/>
                    </w:rPr>
                    <w:t>1</w:t>
                  </w:r>
                </w:p>
              </w:tc>
              <w:tc>
                <w:tcPr>
                  <w:tcW w:w="650" w:type="pct"/>
                  <w:vAlign w:val="center"/>
                </w:tcPr>
                <w:p w14:paraId="26634A7B">
                  <w:pPr>
                    <w:widowControl w:val="0"/>
                    <w:overflowPunct w:val="0"/>
                    <w:autoSpaceDE w:val="0"/>
                    <w:autoSpaceDN w:val="0"/>
                    <w:snapToGrid w:val="0"/>
                    <w:jc w:val="center"/>
                    <w:rPr>
                      <w14:ligatures w14:val="standardContextual"/>
                    </w:rPr>
                  </w:pPr>
                  <w:r>
                    <w:rPr>
                      <w:rFonts w:hint="eastAsia"/>
                      <w14:ligatures w14:val="standardContextual"/>
                    </w:rPr>
                    <w:t>台</w:t>
                  </w:r>
                </w:p>
              </w:tc>
            </w:tr>
            <w:tr w14:paraId="77A7F9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25" w:type="pct"/>
                  <w:vAlign w:val="center"/>
                </w:tcPr>
                <w:p w14:paraId="05242F75">
                  <w:pPr>
                    <w:pStyle w:val="65"/>
                    <w:widowControl w:val="0"/>
                    <w:numPr>
                      <w:ilvl w:val="0"/>
                      <w:numId w:val="2"/>
                    </w:numPr>
                    <w:overflowPunct w:val="0"/>
                    <w:autoSpaceDE w:val="0"/>
                    <w:autoSpaceDN w:val="0"/>
                    <w:snapToGrid w:val="0"/>
                    <w:ind w:firstLineChars="0"/>
                    <w:jc w:val="center"/>
                    <w:rPr>
                      <w14:ligatures w14:val="standardContextual"/>
                    </w:rPr>
                  </w:pPr>
                </w:p>
              </w:tc>
              <w:tc>
                <w:tcPr>
                  <w:tcW w:w="1747" w:type="pct"/>
                  <w:vAlign w:val="center"/>
                </w:tcPr>
                <w:p w14:paraId="583D471C">
                  <w:pPr>
                    <w:widowControl w:val="0"/>
                    <w:overflowPunct w:val="0"/>
                    <w:autoSpaceDE w:val="0"/>
                    <w:autoSpaceDN w:val="0"/>
                    <w:snapToGrid w:val="0"/>
                    <w:jc w:val="center"/>
                    <w:rPr>
                      <w14:ligatures w14:val="standardContextual"/>
                    </w:rPr>
                  </w:pPr>
                  <w:r>
                    <w:rPr>
                      <w:rFonts w:hint="eastAsia"/>
                      <w14:ligatures w14:val="standardContextual"/>
                    </w:rPr>
                    <w:t>悬挂式除铁器</w:t>
                  </w:r>
                </w:p>
              </w:tc>
              <w:tc>
                <w:tcPr>
                  <w:tcW w:w="1527" w:type="pct"/>
                  <w:vAlign w:val="center"/>
                </w:tcPr>
                <w:p w14:paraId="41DDF26F">
                  <w:pPr>
                    <w:widowControl w:val="0"/>
                    <w:overflowPunct w:val="0"/>
                    <w:autoSpaceDE w:val="0"/>
                    <w:autoSpaceDN w:val="0"/>
                    <w:snapToGrid w:val="0"/>
                    <w:jc w:val="center"/>
                    <w:rPr>
                      <w14:ligatures w14:val="standardContextual"/>
                    </w:rPr>
                  </w:pPr>
                  <w:r>
                    <w:rPr>
                      <w:rFonts w:hint="eastAsia"/>
                      <w14:ligatures w14:val="standardContextual"/>
                    </w:rPr>
                    <w:t>600*1500</w:t>
                  </w:r>
                </w:p>
              </w:tc>
              <w:tc>
                <w:tcPr>
                  <w:tcW w:w="651" w:type="pct"/>
                  <w:vAlign w:val="center"/>
                </w:tcPr>
                <w:p w14:paraId="7AAA706D">
                  <w:pPr>
                    <w:widowControl w:val="0"/>
                    <w:overflowPunct w:val="0"/>
                    <w:autoSpaceDE w:val="0"/>
                    <w:autoSpaceDN w:val="0"/>
                    <w:snapToGrid w:val="0"/>
                    <w:jc w:val="center"/>
                    <w:rPr>
                      <w14:ligatures w14:val="standardContextual"/>
                    </w:rPr>
                  </w:pPr>
                  <w:r>
                    <w:rPr>
                      <w:rFonts w:hint="eastAsia"/>
                      <w14:ligatures w14:val="standardContextual"/>
                    </w:rPr>
                    <w:t>1</w:t>
                  </w:r>
                </w:p>
              </w:tc>
              <w:tc>
                <w:tcPr>
                  <w:tcW w:w="650" w:type="pct"/>
                  <w:vAlign w:val="center"/>
                </w:tcPr>
                <w:p w14:paraId="408056F7">
                  <w:pPr>
                    <w:widowControl w:val="0"/>
                    <w:overflowPunct w:val="0"/>
                    <w:autoSpaceDE w:val="0"/>
                    <w:autoSpaceDN w:val="0"/>
                    <w:snapToGrid w:val="0"/>
                    <w:jc w:val="center"/>
                    <w:rPr>
                      <w14:ligatures w14:val="standardContextual"/>
                    </w:rPr>
                  </w:pPr>
                  <w:r>
                    <w:rPr>
                      <w:rFonts w:hint="eastAsia"/>
                      <w14:ligatures w14:val="standardContextual"/>
                    </w:rPr>
                    <w:t>台</w:t>
                  </w:r>
                </w:p>
              </w:tc>
            </w:tr>
            <w:tr w14:paraId="6C0BF1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20" w:hRule="atLeast"/>
                <w:jc w:val="center"/>
              </w:trPr>
              <w:tc>
                <w:tcPr>
                  <w:tcW w:w="425" w:type="pct"/>
                  <w:vAlign w:val="center"/>
                </w:tcPr>
                <w:p w14:paraId="58D25570">
                  <w:pPr>
                    <w:pStyle w:val="65"/>
                    <w:widowControl w:val="0"/>
                    <w:numPr>
                      <w:ilvl w:val="0"/>
                      <w:numId w:val="2"/>
                    </w:numPr>
                    <w:overflowPunct w:val="0"/>
                    <w:autoSpaceDE w:val="0"/>
                    <w:autoSpaceDN w:val="0"/>
                    <w:snapToGrid w:val="0"/>
                    <w:ind w:firstLineChars="0"/>
                    <w:jc w:val="center"/>
                    <w:rPr>
                      <w14:ligatures w14:val="standardContextual"/>
                    </w:rPr>
                  </w:pPr>
                </w:p>
              </w:tc>
              <w:tc>
                <w:tcPr>
                  <w:tcW w:w="1747" w:type="pct"/>
                  <w:vAlign w:val="center"/>
                </w:tcPr>
                <w:p w14:paraId="182499EF">
                  <w:pPr>
                    <w:widowControl w:val="0"/>
                    <w:overflowPunct w:val="0"/>
                    <w:autoSpaceDE w:val="0"/>
                    <w:autoSpaceDN w:val="0"/>
                    <w:snapToGrid w:val="0"/>
                    <w:jc w:val="center"/>
                    <w:rPr>
                      <w14:ligatures w14:val="standardContextual"/>
                    </w:rPr>
                  </w:pPr>
                  <w:r>
                    <w:rPr>
                      <w:rFonts w:hint="eastAsia"/>
                      <w14:ligatures w14:val="standardContextual"/>
                    </w:rPr>
                    <w:t>综合风选机</w:t>
                  </w:r>
                </w:p>
              </w:tc>
              <w:tc>
                <w:tcPr>
                  <w:tcW w:w="1527" w:type="pct"/>
                  <w:vAlign w:val="center"/>
                </w:tcPr>
                <w:p w14:paraId="4F321D0C">
                  <w:pPr>
                    <w:widowControl w:val="0"/>
                    <w:overflowPunct w:val="0"/>
                    <w:autoSpaceDE w:val="0"/>
                    <w:autoSpaceDN w:val="0"/>
                    <w:snapToGrid w:val="0"/>
                    <w:jc w:val="center"/>
                    <w:rPr>
                      <w14:ligatures w14:val="standardContextual"/>
                    </w:rPr>
                  </w:pPr>
                  <w:r>
                    <w:rPr>
                      <w:rFonts w:hint="eastAsia"/>
                      <w14:ligatures w14:val="standardContextual"/>
                    </w:rPr>
                    <w:t>2500*10000</w:t>
                  </w:r>
                </w:p>
              </w:tc>
              <w:tc>
                <w:tcPr>
                  <w:tcW w:w="651" w:type="pct"/>
                  <w:vAlign w:val="center"/>
                </w:tcPr>
                <w:p w14:paraId="50912A2D">
                  <w:pPr>
                    <w:widowControl w:val="0"/>
                    <w:overflowPunct w:val="0"/>
                    <w:autoSpaceDE w:val="0"/>
                    <w:autoSpaceDN w:val="0"/>
                    <w:snapToGrid w:val="0"/>
                    <w:jc w:val="center"/>
                    <w:rPr>
                      <w14:ligatures w14:val="standardContextual"/>
                    </w:rPr>
                  </w:pPr>
                  <w:r>
                    <w:rPr>
                      <w:rFonts w:hint="eastAsia"/>
                      <w14:ligatures w14:val="standardContextual"/>
                    </w:rPr>
                    <w:t>1</w:t>
                  </w:r>
                </w:p>
              </w:tc>
              <w:tc>
                <w:tcPr>
                  <w:tcW w:w="650" w:type="pct"/>
                  <w:vAlign w:val="center"/>
                </w:tcPr>
                <w:p w14:paraId="720A594D">
                  <w:pPr>
                    <w:widowControl w:val="0"/>
                    <w:overflowPunct w:val="0"/>
                    <w:autoSpaceDE w:val="0"/>
                    <w:autoSpaceDN w:val="0"/>
                    <w:snapToGrid w:val="0"/>
                    <w:jc w:val="center"/>
                    <w:rPr>
                      <w14:ligatures w14:val="standardContextual"/>
                    </w:rPr>
                  </w:pPr>
                  <w:r>
                    <w:rPr>
                      <w:rFonts w:hint="eastAsia"/>
                      <w14:ligatures w14:val="standardContextual"/>
                    </w:rPr>
                    <w:t>台</w:t>
                  </w:r>
                </w:p>
              </w:tc>
            </w:tr>
            <w:tr w14:paraId="7755C3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20" w:hRule="atLeast"/>
                <w:jc w:val="center"/>
              </w:trPr>
              <w:tc>
                <w:tcPr>
                  <w:tcW w:w="425" w:type="pct"/>
                  <w:vAlign w:val="center"/>
                </w:tcPr>
                <w:p w14:paraId="114722B8">
                  <w:pPr>
                    <w:pStyle w:val="65"/>
                    <w:widowControl w:val="0"/>
                    <w:numPr>
                      <w:ilvl w:val="0"/>
                      <w:numId w:val="2"/>
                    </w:numPr>
                    <w:overflowPunct w:val="0"/>
                    <w:autoSpaceDE w:val="0"/>
                    <w:autoSpaceDN w:val="0"/>
                    <w:snapToGrid w:val="0"/>
                    <w:ind w:firstLineChars="0"/>
                    <w:jc w:val="center"/>
                    <w:rPr>
                      <w14:ligatures w14:val="standardContextual"/>
                    </w:rPr>
                  </w:pPr>
                </w:p>
              </w:tc>
              <w:tc>
                <w:tcPr>
                  <w:tcW w:w="1747" w:type="pct"/>
                  <w:vAlign w:val="center"/>
                </w:tcPr>
                <w:p w14:paraId="710B9C92">
                  <w:pPr>
                    <w:widowControl w:val="0"/>
                    <w:overflowPunct w:val="0"/>
                    <w:autoSpaceDE w:val="0"/>
                    <w:autoSpaceDN w:val="0"/>
                    <w:snapToGrid w:val="0"/>
                    <w:jc w:val="center"/>
                    <w:rPr>
                      <w14:ligatures w14:val="standardContextual"/>
                    </w:rPr>
                  </w:pPr>
                  <w:r>
                    <w:rPr>
                      <w:rFonts w:hint="eastAsia"/>
                      <w14:ligatures w14:val="standardContextual"/>
                    </w:rPr>
                    <w:t>轻物质输送皮带机</w:t>
                  </w:r>
                </w:p>
              </w:tc>
              <w:tc>
                <w:tcPr>
                  <w:tcW w:w="1527" w:type="pct"/>
                  <w:vAlign w:val="center"/>
                </w:tcPr>
                <w:p w14:paraId="658281ED">
                  <w:pPr>
                    <w:widowControl w:val="0"/>
                    <w:overflowPunct w:val="0"/>
                    <w:autoSpaceDE w:val="0"/>
                    <w:autoSpaceDN w:val="0"/>
                    <w:snapToGrid w:val="0"/>
                    <w:jc w:val="center"/>
                    <w:rPr>
                      <w14:ligatures w14:val="standardContextual"/>
                    </w:rPr>
                  </w:pPr>
                  <w:r>
                    <w:rPr>
                      <w:rFonts w:hint="eastAsia"/>
                      <w14:ligatures w14:val="standardContextual"/>
                    </w:rPr>
                    <w:t>650*10000</w:t>
                  </w:r>
                </w:p>
              </w:tc>
              <w:tc>
                <w:tcPr>
                  <w:tcW w:w="651" w:type="pct"/>
                  <w:vAlign w:val="center"/>
                </w:tcPr>
                <w:p w14:paraId="5ABF48B9">
                  <w:pPr>
                    <w:widowControl w:val="0"/>
                    <w:overflowPunct w:val="0"/>
                    <w:autoSpaceDE w:val="0"/>
                    <w:autoSpaceDN w:val="0"/>
                    <w:snapToGrid w:val="0"/>
                    <w:jc w:val="center"/>
                    <w:rPr>
                      <w14:ligatures w14:val="standardContextual"/>
                    </w:rPr>
                  </w:pPr>
                  <w:r>
                    <w:rPr>
                      <w:rFonts w:hint="eastAsia"/>
                      <w14:ligatures w14:val="standardContextual"/>
                    </w:rPr>
                    <w:t>1</w:t>
                  </w:r>
                </w:p>
              </w:tc>
              <w:tc>
                <w:tcPr>
                  <w:tcW w:w="650" w:type="pct"/>
                  <w:vAlign w:val="center"/>
                </w:tcPr>
                <w:p w14:paraId="2C5732C8">
                  <w:pPr>
                    <w:widowControl w:val="0"/>
                    <w:overflowPunct w:val="0"/>
                    <w:autoSpaceDE w:val="0"/>
                    <w:autoSpaceDN w:val="0"/>
                    <w:snapToGrid w:val="0"/>
                    <w:jc w:val="center"/>
                    <w:rPr>
                      <w14:ligatures w14:val="standardContextual"/>
                    </w:rPr>
                  </w:pPr>
                  <w:r>
                    <w:rPr>
                      <w:rFonts w:hint="eastAsia"/>
                      <w14:ligatures w14:val="standardContextual"/>
                    </w:rPr>
                    <w:t>台</w:t>
                  </w:r>
                </w:p>
              </w:tc>
            </w:tr>
            <w:tr w14:paraId="414936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20" w:hRule="atLeast"/>
                <w:jc w:val="center"/>
              </w:trPr>
              <w:tc>
                <w:tcPr>
                  <w:tcW w:w="425" w:type="pct"/>
                  <w:vAlign w:val="center"/>
                </w:tcPr>
                <w:p w14:paraId="30291F32">
                  <w:pPr>
                    <w:pStyle w:val="65"/>
                    <w:widowControl w:val="0"/>
                    <w:numPr>
                      <w:ilvl w:val="0"/>
                      <w:numId w:val="2"/>
                    </w:numPr>
                    <w:overflowPunct w:val="0"/>
                    <w:autoSpaceDE w:val="0"/>
                    <w:autoSpaceDN w:val="0"/>
                    <w:snapToGrid w:val="0"/>
                    <w:ind w:firstLineChars="0"/>
                    <w:jc w:val="center"/>
                    <w:rPr>
                      <w14:ligatures w14:val="standardContextual"/>
                    </w:rPr>
                  </w:pPr>
                </w:p>
              </w:tc>
              <w:tc>
                <w:tcPr>
                  <w:tcW w:w="1747" w:type="pct"/>
                  <w:vAlign w:val="center"/>
                </w:tcPr>
                <w:p w14:paraId="349E87AC">
                  <w:pPr>
                    <w:widowControl w:val="0"/>
                    <w:overflowPunct w:val="0"/>
                    <w:autoSpaceDE w:val="0"/>
                    <w:autoSpaceDN w:val="0"/>
                    <w:snapToGrid w:val="0"/>
                    <w:jc w:val="center"/>
                    <w:rPr>
                      <w14:ligatures w14:val="standardContextual"/>
                    </w:rPr>
                  </w:pPr>
                  <w:r>
                    <w:rPr>
                      <w:rFonts w:hint="eastAsia"/>
                      <w14:ligatures w14:val="standardContextual"/>
                    </w:rPr>
                    <w:t>全自动打包机</w:t>
                  </w:r>
                </w:p>
              </w:tc>
              <w:tc>
                <w:tcPr>
                  <w:tcW w:w="1527" w:type="pct"/>
                  <w:vAlign w:val="center"/>
                </w:tcPr>
                <w:p w14:paraId="40C7A867">
                  <w:pPr>
                    <w:widowControl w:val="0"/>
                    <w:overflowPunct w:val="0"/>
                    <w:autoSpaceDE w:val="0"/>
                    <w:autoSpaceDN w:val="0"/>
                    <w:snapToGrid w:val="0"/>
                    <w:jc w:val="center"/>
                    <w:rPr>
                      <w14:ligatures w14:val="standardContextual"/>
                    </w:rPr>
                  </w:pPr>
                  <w:r>
                    <w:rPr>
                      <w:rFonts w:hint="eastAsia"/>
                      <w14:ligatures w14:val="standardContextual"/>
                    </w:rPr>
                    <w:t>2000*9000</w:t>
                  </w:r>
                </w:p>
              </w:tc>
              <w:tc>
                <w:tcPr>
                  <w:tcW w:w="651" w:type="pct"/>
                  <w:vAlign w:val="center"/>
                </w:tcPr>
                <w:p w14:paraId="469445DE">
                  <w:pPr>
                    <w:widowControl w:val="0"/>
                    <w:overflowPunct w:val="0"/>
                    <w:autoSpaceDE w:val="0"/>
                    <w:autoSpaceDN w:val="0"/>
                    <w:snapToGrid w:val="0"/>
                    <w:jc w:val="center"/>
                    <w:rPr>
                      <w14:ligatures w14:val="standardContextual"/>
                    </w:rPr>
                  </w:pPr>
                  <w:r>
                    <w:rPr>
                      <w:rFonts w:hint="eastAsia"/>
                      <w14:ligatures w14:val="standardContextual"/>
                    </w:rPr>
                    <w:t>1</w:t>
                  </w:r>
                </w:p>
              </w:tc>
              <w:tc>
                <w:tcPr>
                  <w:tcW w:w="650" w:type="pct"/>
                  <w:vAlign w:val="center"/>
                </w:tcPr>
                <w:p w14:paraId="536583DE">
                  <w:pPr>
                    <w:widowControl w:val="0"/>
                    <w:overflowPunct w:val="0"/>
                    <w:autoSpaceDE w:val="0"/>
                    <w:autoSpaceDN w:val="0"/>
                    <w:snapToGrid w:val="0"/>
                    <w:jc w:val="center"/>
                    <w:rPr>
                      <w14:ligatures w14:val="standardContextual"/>
                    </w:rPr>
                  </w:pPr>
                  <w:r>
                    <w:rPr>
                      <w:rFonts w:hint="eastAsia"/>
                      <w14:ligatures w14:val="standardContextual"/>
                    </w:rPr>
                    <w:t>台</w:t>
                  </w:r>
                </w:p>
              </w:tc>
            </w:tr>
            <w:tr w14:paraId="63E0CF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20" w:hRule="atLeast"/>
                <w:jc w:val="center"/>
              </w:trPr>
              <w:tc>
                <w:tcPr>
                  <w:tcW w:w="425" w:type="pct"/>
                  <w:vAlign w:val="center"/>
                </w:tcPr>
                <w:p w14:paraId="2C9CD9A7">
                  <w:pPr>
                    <w:pStyle w:val="65"/>
                    <w:widowControl w:val="0"/>
                    <w:numPr>
                      <w:ilvl w:val="0"/>
                      <w:numId w:val="2"/>
                    </w:numPr>
                    <w:overflowPunct w:val="0"/>
                    <w:autoSpaceDE w:val="0"/>
                    <w:autoSpaceDN w:val="0"/>
                    <w:snapToGrid w:val="0"/>
                    <w:ind w:firstLineChars="0"/>
                    <w:jc w:val="center"/>
                    <w:rPr>
                      <w14:ligatures w14:val="standardContextual"/>
                    </w:rPr>
                  </w:pPr>
                </w:p>
              </w:tc>
              <w:tc>
                <w:tcPr>
                  <w:tcW w:w="1747" w:type="pct"/>
                  <w:vAlign w:val="center"/>
                </w:tcPr>
                <w:p w14:paraId="1856AF5E">
                  <w:pPr>
                    <w:widowControl w:val="0"/>
                    <w:overflowPunct w:val="0"/>
                    <w:autoSpaceDE w:val="0"/>
                    <w:autoSpaceDN w:val="0"/>
                    <w:snapToGrid w:val="0"/>
                    <w:jc w:val="center"/>
                    <w:rPr>
                      <w:b/>
                      <w:bCs/>
                      <w14:ligatures w14:val="standardContextual"/>
                    </w:rPr>
                  </w:pPr>
                  <w:r>
                    <w:rPr>
                      <w:rFonts w:hint="eastAsia"/>
                      <w:b/>
                      <w:bCs/>
                      <w14:ligatures w14:val="standardContextual"/>
                    </w:rPr>
                    <w:t>地磅</w:t>
                  </w:r>
                </w:p>
              </w:tc>
              <w:tc>
                <w:tcPr>
                  <w:tcW w:w="1527" w:type="pct"/>
                  <w:vAlign w:val="center"/>
                </w:tcPr>
                <w:p w14:paraId="50925881">
                  <w:pPr>
                    <w:widowControl w:val="0"/>
                    <w:overflowPunct w:val="0"/>
                    <w:autoSpaceDE w:val="0"/>
                    <w:autoSpaceDN w:val="0"/>
                    <w:snapToGrid w:val="0"/>
                    <w:jc w:val="center"/>
                    <w:rPr>
                      <w:b/>
                      <w:bCs/>
                      <w14:ligatures w14:val="standardContextual"/>
                    </w:rPr>
                  </w:pPr>
                  <w:r>
                    <w:rPr>
                      <w:rFonts w:hint="eastAsia"/>
                      <w:b/>
                      <w:bCs/>
                      <w14:ligatures w14:val="standardContextual"/>
                    </w:rPr>
                    <w:t>/</w:t>
                  </w:r>
                </w:p>
              </w:tc>
              <w:tc>
                <w:tcPr>
                  <w:tcW w:w="651" w:type="pct"/>
                  <w:vAlign w:val="center"/>
                </w:tcPr>
                <w:p w14:paraId="195A1EEA">
                  <w:pPr>
                    <w:widowControl w:val="0"/>
                    <w:overflowPunct w:val="0"/>
                    <w:autoSpaceDE w:val="0"/>
                    <w:autoSpaceDN w:val="0"/>
                    <w:snapToGrid w:val="0"/>
                    <w:jc w:val="center"/>
                    <w:rPr>
                      <w:b/>
                      <w:bCs/>
                      <w14:ligatures w14:val="standardContextual"/>
                    </w:rPr>
                  </w:pPr>
                  <w:r>
                    <w:rPr>
                      <w:rFonts w:hint="eastAsia"/>
                      <w:b/>
                      <w:bCs/>
                      <w14:ligatures w14:val="standardContextual"/>
                    </w:rPr>
                    <w:t>1</w:t>
                  </w:r>
                </w:p>
              </w:tc>
              <w:tc>
                <w:tcPr>
                  <w:tcW w:w="650" w:type="pct"/>
                  <w:vAlign w:val="center"/>
                </w:tcPr>
                <w:p w14:paraId="3160A683">
                  <w:pPr>
                    <w:widowControl w:val="0"/>
                    <w:overflowPunct w:val="0"/>
                    <w:autoSpaceDE w:val="0"/>
                    <w:autoSpaceDN w:val="0"/>
                    <w:snapToGrid w:val="0"/>
                    <w:jc w:val="center"/>
                    <w:rPr>
                      <w:b/>
                      <w:bCs/>
                      <w14:ligatures w14:val="standardContextual"/>
                    </w:rPr>
                  </w:pPr>
                  <w:r>
                    <w:rPr>
                      <w:rFonts w:hint="eastAsia"/>
                      <w:b/>
                      <w:bCs/>
                      <w14:ligatures w14:val="standardContextual"/>
                    </w:rPr>
                    <w:t>台</w:t>
                  </w:r>
                </w:p>
              </w:tc>
            </w:tr>
            <w:tr w14:paraId="4C8F1A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20" w:hRule="atLeast"/>
                <w:jc w:val="center"/>
              </w:trPr>
              <w:tc>
                <w:tcPr>
                  <w:tcW w:w="425" w:type="pct"/>
                  <w:vAlign w:val="center"/>
                </w:tcPr>
                <w:p w14:paraId="4D4C805D">
                  <w:pPr>
                    <w:pStyle w:val="65"/>
                    <w:widowControl w:val="0"/>
                    <w:numPr>
                      <w:ilvl w:val="0"/>
                      <w:numId w:val="2"/>
                    </w:numPr>
                    <w:overflowPunct w:val="0"/>
                    <w:autoSpaceDE w:val="0"/>
                    <w:autoSpaceDN w:val="0"/>
                    <w:snapToGrid w:val="0"/>
                    <w:ind w:firstLineChars="0"/>
                    <w:jc w:val="center"/>
                    <w:rPr>
                      <w14:ligatures w14:val="standardContextual"/>
                    </w:rPr>
                  </w:pPr>
                </w:p>
              </w:tc>
              <w:tc>
                <w:tcPr>
                  <w:tcW w:w="1747" w:type="pct"/>
                  <w:vAlign w:val="center"/>
                </w:tcPr>
                <w:p w14:paraId="0AE54941">
                  <w:pPr>
                    <w:widowControl w:val="0"/>
                    <w:overflowPunct w:val="0"/>
                    <w:autoSpaceDE w:val="0"/>
                    <w:autoSpaceDN w:val="0"/>
                    <w:snapToGrid w:val="0"/>
                    <w:jc w:val="center"/>
                    <w:rPr>
                      <w14:ligatures w14:val="standardContextual"/>
                    </w:rPr>
                  </w:pPr>
                  <w:r>
                    <w:rPr>
                      <w:rFonts w:hint="eastAsia"/>
                      <w14:ligatures w14:val="standardContextual"/>
                    </w:rPr>
                    <w:t>电控系统</w:t>
                  </w:r>
                </w:p>
              </w:tc>
              <w:tc>
                <w:tcPr>
                  <w:tcW w:w="1527" w:type="pct"/>
                  <w:vAlign w:val="center"/>
                </w:tcPr>
                <w:p w14:paraId="1937F172">
                  <w:pPr>
                    <w:widowControl w:val="0"/>
                    <w:overflowPunct w:val="0"/>
                    <w:autoSpaceDE w:val="0"/>
                    <w:autoSpaceDN w:val="0"/>
                    <w:snapToGrid w:val="0"/>
                    <w:jc w:val="center"/>
                    <w:rPr>
                      <w14:ligatures w14:val="standardContextual"/>
                    </w:rPr>
                  </w:pPr>
                  <w:r>
                    <w:rPr>
                      <w:rFonts w:hint="eastAsia"/>
                      <w14:ligatures w14:val="standardContextual"/>
                    </w:rPr>
                    <w:t>/</w:t>
                  </w:r>
                </w:p>
              </w:tc>
              <w:tc>
                <w:tcPr>
                  <w:tcW w:w="651" w:type="pct"/>
                  <w:vAlign w:val="center"/>
                </w:tcPr>
                <w:p w14:paraId="12366A0C">
                  <w:pPr>
                    <w:widowControl w:val="0"/>
                    <w:overflowPunct w:val="0"/>
                    <w:autoSpaceDE w:val="0"/>
                    <w:autoSpaceDN w:val="0"/>
                    <w:snapToGrid w:val="0"/>
                    <w:jc w:val="center"/>
                    <w:rPr>
                      <w14:ligatures w14:val="standardContextual"/>
                    </w:rPr>
                  </w:pPr>
                  <w:r>
                    <w:rPr>
                      <w:rFonts w:hint="eastAsia"/>
                      <w14:ligatures w14:val="standardContextual"/>
                    </w:rPr>
                    <w:t>1</w:t>
                  </w:r>
                </w:p>
              </w:tc>
              <w:tc>
                <w:tcPr>
                  <w:tcW w:w="650" w:type="pct"/>
                  <w:vAlign w:val="center"/>
                </w:tcPr>
                <w:p w14:paraId="7EEA151E">
                  <w:pPr>
                    <w:widowControl w:val="0"/>
                    <w:overflowPunct w:val="0"/>
                    <w:autoSpaceDE w:val="0"/>
                    <w:autoSpaceDN w:val="0"/>
                    <w:snapToGrid w:val="0"/>
                    <w:jc w:val="center"/>
                    <w:rPr>
                      <w14:ligatures w14:val="standardContextual"/>
                    </w:rPr>
                  </w:pPr>
                  <w:r>
                    <w:rPr>
                      <w:rFonts w:hint="eastAsia"/>
                      <w14:ligatures w14:val="standardContextual"/>
                    </w:rPr>
                    <w:t>套</w:t>
                  </w:r>
                </w:p>
              </w:tc>
            </w:tr>
            <w:tr w14:paraId="3D2C95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20" w:hRule="atLeast"/>
                <w:jc w:val="center"/>
              </w:trPr>
              <w:tc>
                <w:tcPr>
                  <w:tcW w:w="425" w:type="pct"/>
                  <w:vAlign w:val="center"/>
                </w:tcPr>
                <w:p w14:paraId="2900957B">
                  <w:pPr>
                    <w:pStyle w:val="65"/>
                    <w:widowControl w:val="0"/>
                    <w:numPr>
                      <w:ilvl w:val="0"/>
                      <w:numId w:val="2"/>
                    </w:numPr>
                    <w:overflowPunct w:val="0"/>
                    <w:autoSpaceDE w:val="0"/>
                    <w:autoSpaceDN w:val="0"/>
                    <w:snapToGrid w:val="0"/>
                    <w:ind w:firstLineChars="0"/>
                    <w:jc w:val="center"/>
                    <w:rPr>
                      <w14:ligatures w14:val="standardContextual"/>
                    </w:rPr>
                  </w:pPr>
                </w:p>
              </w:tc>
              <w:tc>
                <w:tcPr>
                  <w:tcW w:w="1747" w:type="pct"/>
                  <w:vAlign w:val="center"/>
                </w:tcPr>
                <w:p w14:paraId="16734F9A">
                  <w:pPr>
                    <w:widowControl w:val="0"/>
                    <w:overflowPunct w:val="0"/>
                    <w:autoSpaceDE w:val="0"/>
                    <w:autoSpaceDN w:val="0"/>
                    <w:snapToGrid w:val="0"/>
                    <w:jc w:val="center"/>
                    <w:rPr>
                      <w14:ligatures w14:val="standardContextual"/>
                    </w:rPr>
                  </w:pPr>
                  <w:r>
                    <w:rPr>
                      <w:rFonts w:hint="eastAsia"/>
                      <w14:ligatures w14:val="standardContextual"/>
                    </w:rPr>
                    <w:t>布袋除尘器</w:t>
                  </w:r>
                </w:p>
              </w:tc>
              <w:tc>
                <w:tcPr>
                  <w:tcW w:w="1527" w:type="pct"/>
                  <w:vAlign w:val="center"/>
                </w:tcPr>
                <w:p w14:paraId="60C17819">
                  <w:pPr>
                    <w:widowControl w:val="0"/>
                    <w:overflowPunct w:val="0"/>
                    <w:autoSpaceDE w:val="0"/>
                    <w:autoSpaceDN w:val="0"/>
                    <w:snapToGrid w:val="0"/>
                    <w:jc w:val="center"/>
                    <w:rPr>
                      <w14:ligatures w14:val="standardContextual"/>
                    </w:rPr>
                  </w:pPr>
                </w:p>
              </w:tc>
              <w:tc>
                <w:tcPr>
                  <w:tcW w:w="651" w:type="pct"/>
                  <w:vAlign w:val="center"/>
                </w:tcPr>
                <w:p w14:paraId="792936EA">
                  <w:pPr>
                    <w:widowControl w:val="0"/>
                    <w:overflowPunct w:val="0"/>
                    <w:autoSpaceDE w:val="0"/>
                    <w:autoSpaceDN w:val="0"/>
                    <w:snapToGrid w:val="0"/>
                    <w:jc w:val="center"/>
                    <w:rPr>
                      <w14:ligatures w14:val="standardContextual"/>
                    </w:rPr>
                  </w:pPr>
                  <w:r>
                    <w:rPr>
                      <w:rFonts w:hint="eastAsia"/>
                      <w14:ligatures w14:val="standardContextual"/>
                    </w:rPr>
                    <w:t>1</w:t>
                  </w:r>
                </w:p>
              </w:tc>
              <w:tc>
                <w:tcPr>
                  <w:tcW w:w="650" w:type="pct"/>
                  <w:vAlign w:val="center"/>
                </w:tcPr>
                <w:p w14:paraId="2D0CC61F">
                  <w:pPr>
                    <w:widowControl w:val="0"/>
                    <w:overflowPunct w:val="0"/>
                    <w:autoSpaceDE w:val="0"/>
                    <w:autoSpaceDN w:val="0"/>
                    <w:snapToGrid w:val="0"/>
                    <w:jc w:val="center"/>
                    <w:rPr>
                      <w14:ligatures w14:val="standardContextual"/>
                    </w:rPr>
                  </w:pPr>
                  <w:r>
                    <w:rPr>
                      <w:rFonts w:hint="eastAsia"/>
                      <w14:ligatures w14:val="standardContextual"/>
                    </w:rPr>
                    <w:t>台</w:t>
                  </w:r>
                </w:p>
              </w:tc>
            </w:tr>
            <w:tr w14:paraId="4F077C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20" w:hRule="atLeast"/>
                <w:jc w:val="center"/>
              </w:trPr>
              <w:tc>
                <w:tcPr>
                  <w:tcW w:w="425" w:type="pct"/>
                  <w:vAlign w:val="center"/>
                </w:tcPr>
                <w:p w14:paraId="537F1E2B">
                  <w:pPr>
                    <w:pStyle w:val="65"/>
                    <w:widowControl w:val="0"/>
                    <w:numPr>
                      <w:ilvl w:val="0"/>
                      <w:numId w:val="2"/>
                    </w:numPr>
                    <w:overflowPunct w:val="0"/>
                    <w:autoSpaceDE w:val="0"/>
                    <w:autoSpaceDN w:val="0"/>
                    <w:snapToGrid w:val="0"/>
                    <w:ind w:firstLineChars="0"/>
                    <w:jc w:val="center"/>
                    <w:rPr>
                      <w14:ligatures w14:val="standardContextual"/>
                    </w:rPr>
                  </w:pPr>
                </w:p>
              </w:tc>
              <w:tc>
                <w:tcPr>
                  <w:tcW w:w="1747" w:type="pct"/>
                  <w:vAlign w:val="center"/>
                </w:tcPr>
                <w:p w14:paraId="4EB534D5">
                  <w:pPr>
                    <w:widowControl w:val="0"/>
                    <w:overflowPunct w:val="0"/>
                    <w:autoSpaceDE w:val="0"/>
                    <w:autoSpaceDN w:val="0"/>
                    <w:snapToGrid w:val="0"/>
                    <w:jc w:val="center"/>
                    <w:rPr>
                      <w14:ligatures w14:val="standardContextual"/>
                    </w:rPr>
                  </w:pPr>
                  <w:r>
                    <w:rPr>
                      <w:rFonts w:hint="eastAsia"/>
                      <w14:ligatures w14:val="standardContextual"/>
                    </w:rPr>
                    <w:t>风机</w:t>
                  </w:r>
                </w:p>
              </w:tc>
              <w:tc>
                <w:tcPr>
                  <w:tcW w:w="1527" w:type="pct"/>
                  <w:vAlign w:val="center"/>
                </w:tcPr>
                <w:p w14:paraId="18B8A7B9">
                  <w:pPr>
                    <w:widowControl w:val="0"/>
                    <w:overflowPunct w:val="0"/>
                    <w:autoSpaceDE w:val="0"/>
                    <w:autoSpaceDN w:val="0"/>
                    <w:snapToGrid w:val="0"/>
                    <w:jc w:val="center"/>
                    <w:rPr>
                      <w14:ligatures w14:val="standardContextual"/>
                    </w:rPr>
                  </w:pPr>
                  <w:r>
                    <w:rPr>
                      <w:rFonts w:hint="eastAsia"/>
                      <w14:ligatures w14:val="standardContextual"/>
                    </w:rPr>
                    <w:t>风量10000m</w:t>
                  </w:r>
                  <w:r>
                    <w:rPr>
                      <w:rFonts w:hint="eastAsia"/>
                      <w:vertAlign w:val="superscript"/>
                      <w14:ligatures w14:val="standardContextual"/>
                    </w:rPr>
                    <w:t>3</w:t>
                  </w:r>
                  <w:r>
                    <w:rPr>
                      <w:rFonts w:hint="eastAsia"/>
                      <w14:ligatures w14:val="standardContextual"/>
                    </w:rPr>
                    <w:t>/h</w:t>
                  </w:r>
                </w:p>
              </w:tc>
              <w:tc>
                <w:tcPr>
                  <w:tcW w:w="651" w:type="pct"/>
                  <w:vAlign w:val="center"/>
                </w:tcPr>
                <w:p w14:paraId="7F071D99">
                  <w:pPr>
                    <w:widowControl w:val="0"/>
                    <w:overflowPunct w:val="0"/>
                    <w:autoSpaceDE w:val="0"/>
                    <w:autoSpaceDN w:val="0"/>
                    <w:snapToGrid w:val="0"/>
                    <w:jc w:val="center"/>
                    <w:rPr>
                      <w14:ligatures w14:val="standardContextual"/>
                    </w:rPr>
                  </w:pPr>
                  <w:r>
                    <w:rPr>
                      <w:rFonts w:hint="eastAsia"/>
                      <w14:ligatures w14:val="standardContextual"/>
                    </w:rPr>
                    <w:t>1</w:t>
                  </w:r>
                </w:p>
              </w:tc>
              <w:tc>
                <w:tcPr>
                  <w:tcW w:w="650" w:type="pct"/>
                  <w:vAlign w:val="center"/>
                </w:tcPr>
                <w:p w14:paraId="106FD0A3">
                  <w:pPr>
                    <w:widowControl w:val="0"/>
                    <w:overflowPunct w:val="0"/>
                    <w:autoSpaceDE w:val="0"/>
                    <w:autoSpaceDN w:val="0"/>
                    <w:snapToGrid w:val="0"/>
                    <w:jc w:val="center"/>
                    <w:rPr>
                      <w14:ligatures w14:val="standardContextual"/>
                    </w:rPr>
                  </w:pPr>
                  <w:r>
                    <w:rPr>
                      <w:rFonts w:hint="eastAsia"/>
                      <w14:ligatures w14:val="standardContextual"/>
                    </w:rPr>
                    <w:t>台</w:t>
                  </w:r>
                </w:p>
              </w:tc>
            </w:tr>
          </w:tbl>
          <w:p w14:paraId="3C690CC0">
            <w:pPr>
              <w:pStyle w:val="7"/>
            </w:pPr>
            <w:r>
              <w:rPr>
                <w:rFonts w:hint="eastAsia"/>
              </w:rPr>
              <w:t>六、主要原辅材料及燃料</w:t>
            </w:r>
          </w:p>
          <w:p w14:paraId="6AFA5E2E">
            <w:pPr>
              <w:pStyle w:val="48"/>
            </w:pPr>
            <w:bookmarkStart w:id="23" w:name="_Ref186111855"/>
            <w:r>
              <w:rPr>
                <w:rFonts w:hint="eastAsia"/>
              </w:rPr>
              <w:t xml:space="preserve">表2- </w:t>
            </w:r>
            <w:r>
              <w:fldChar w:fldCharType="begin"/>
            </w:r>
            <w:r>
              <w:instrText xml:space="preserve"> </w:instrText>
            </w:r>
            <w:r>
              <w:rPr>
                <w:rFonts w:hint="eastAsia"/>
              </w:rPr>
              <w:instrText xml:space="preserve">SEQ 表2- \* ARABIC</w:instrText>
            </w:r>
            <w:r>
              <w:instrText xml:space="preserve"> </w:instrText>
            </w:r>
            <w:r>
              <w:fldChar w:fldCharType="separate"/>
            </w:r>
            <w:r>
              <w:t>4</w:t>
            </w:r>
            <w:r>
              <w:fldChar w:fldCharType="end"/>
            </w:r>
            <w:r>
              <w:rPr>
                <w:rFonts w:hint="eastAsia"/>
              </w:rPr>
              <w:t>：主要原辅材料用量一览表</w:t>
            </w:r>
            <w:bookmarkEnd w:id="23"/>
          </w:p>
          <w:tbl>
            <w:tblPr>
              <w:tblStyle w:val="4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564"/>
              <w:gridCol w:w="1036"/>
              <w:gridCol w:w="1019"/>
              <w:gridCol w:w="1456"/>
              <w:gridCol w:w="4302"/>
            </w:tblGrid>
            <w:tr w14:paraId="2A5F16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70" w:hRule="atLeast"/>
                <w:jc w:val="center"/>
              </w:trPr>
              <w:tc>
                <w:tcPr>
                  <w:tcW w:w="337" w:type="pc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03C1E2A2">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序号</w:t>
                  </w:r>
                </w:p>
              </w:tc>
              <w:tc>
                <w:tcPr>
                  <w:tcW w:w="618"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40201633">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名称</w:t>
                  </w:r>
                </w:p>
              </w:tc>
              <w:tc>
                <w:tcPr>
                  <w:tcW w:w="608"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65AAAD53">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年用量</w:t>
                  </w:r>
                </w:p>
              </w:tc>
              <w:tc>
                <w:tcPr>
                  <w:tcW w:w="869"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1FB9107E">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储存位置</w:t>
                  </w:r>
                </w:p>
              </w:tc>
              <w:tc>
                <w:tcPr>
                  <w:tcW w:w="2567" w:type="pct"/>
                  <w:tcBorders>
                    <w:top w:val="single" w:color="auto" w:sz="12" w:space="0"/>
                    <w:bottom w:val="single" w:color="auto" w:sz="12" w:space="0"/>
                    <w:right w:val="nil"/>
                    <w:insideH w:val="single" w:sz="12" w:space="0"/>
                    <w:insideV w:val="single" w:sz="4" w:space="0"/>
                    <w:tl2br w:val="nil"/>
                    <w:tr2bl w:val="nil"/>
                  </w:tcBorders>
                  <w:vAlign w:val="center"/>
                </w:tcPr>
                <w:p w14:paraId="2A0088F5">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备注</w:t>
                  </w:r>
                </w:p>
              </w:tc>
            </w:tr>
            <w:tr w14:paraId="7845C1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37" w:type="pct"/>
                  <w:vAlign w:val="center"/>
                </w:tcPr>
                <w:p w14:paraId="1CE7BB94">
                  <w:pPr>
                    <w:widowControl w:val="0"/>
                    <w:overflowPunct w:val="0"/>
                    <w:autoSpaceDE w:val="0"/>
                    <w:autoSpaceDN w:val="0"/>
                    <w:snapToGrid w:val="0"/>
                    <w:jc w:val="center"/>
                    <w:rPr>
                      <w14:ligatures w14:val="standardContextual"/>
                    </w:rPr>
                  </w:pPr>
                  <w:r>
                    <w:rPr>
                      <w14:ligatures w14:val="standardContextual"/>
                    </w:rPr>
                    <w:t>1</w:t>
                  </w:r>
                </w:p>
              </w:tc>
              <w:tc>
                <w:tcPr>
                  <w:tcW w:w="618" w:type="pct"/>
                  <w:vAlign w:val="center"/>
                </w:tcPr>
                <w:p w14:paraId="0113DF4E">
                  <w:pPr>
                    <w:widowControl w:val="0"/>
                    <w:overflowPunct w:val="0"/>
                    <w:autoSpaceDE w:val="0"/>
                    <w:autoSpaceDN w:val="0"/>
                    <w:snapToGrid w:val="0"/>
                    <w:jc w:val="center"/>
                    <w:rPr>
                      <w14:ligatures w14:val="standardContextual"/>
                    </w:rPr>
                  </w:pPr>
                  <w:r>
                    <w:rPr>
                      <w:rFonts w:hint="eastAsia"/>
                      <w14:ligatures w14:val="standardContextual"/>
                    </w:rPr>
                    <w:t>建筑垃圾</w:t>
                  </w:r>
                </w:p>
              </w:tc>
              <w:tc>
                <w:tcPr>
                  <w:tcW w:w="608" w:type="pct"/>
                  <w:vAlign w:val="center"/>
                </w:tcPr>
                <w:p w14:paraId="6EAAB23C">
                  <w:pPr>
                    <w:widowControl w:val="0"/>
                    <w:overflowPunct w:val="0"/>
                    <w:autoSpaceDE w:val="0"/>
                    <w:autoSpaceDN w:val="0"/>
                    <w:snapToGrid w:val="0"/>
                    <w:jc w:val="center"/>
                    <w:rPr>
                      <w:color w:val="auto"/>
                      <w14:ligatures w14:val="standardContextual"/>
                    </w:rPr>
                  </w:pPr>
                  <w:r>
                    <w:rPr>
                      <w:rFonts w:hint="eastAsia"/>
                      <w:color w:val="auto"/>
                      <w14:ligatures w14:val="standardContextual"/>
                    </w:rPr>
                    <w:t>5万t</w:t>
                  </w:r>
                </w:p>
              </w:tc>
              <w:tc>
                <w:tcPr>
                  <w:tcW w:w="869" w:type="pct"/>
                  <w:vAlign w:val="center"/>
                </w:tcPr>
                <w:p w14:paraId="6B25913A">
                  <w:pPr>
                    <w:widowControl w:val="0"/>
                    <w:overflowPunct w:val="0"/>
                    <w:autoSpaceDE w:val="0"/>
                    <w:autoSpaceDN w:val="0"/>
                    <w:snapToGrid w:val="0"/>
                    <w:jc w:val="center"/>
                    <w:rPr>
                      <w:color w:val="auto"/>
                      <w14:ligatures w14:val="standardContextual"/>
                    </w:rPr>
                  </w:pPr>
                  <w:r>
                    <w:rPr>
                      <w:rFonts w:hint="eastAsia"/>
                      <w:color w:val="auto"/>
                      <w14:ligatures w14:val="standardContextual"/>
                    </w:rPr>
                    <w:t>生产车间</w:t>
                  </w:r>
                </w:p>
              </w:tc>
              <w:tc>
                <w:tcPr>
                  <w:tcW w:w="2567" w:type="pct"/>
                  <w:vAlign w:val="center"/>
                </w:tcPr>
                <w:p w14:paraId="726A7233">
                  <w:pPr>
                    <w:widowControl w:val="0"/>
                    <w:overflowPunct w:val="0"/>
                    <w:autoSpaceDE w:val="0"/>
                    <w:autoSpaceDN w:val="0"/>
                    <w:snapToGrid w:val="0"/>
                    <w:jc w:val="center"/>
                    <w:rPr>
                      <w:color w:val="auto"/>
                      <w14:ligatures w14:val="standardContextual"/>
                    </w:rPr>
                  </w:pPr>
                  <w:r>
                    <w:rPr>
                      <w:snapToGrid w:val="0"/>
                      <w:color w:val="auto"/>
                      <w14:ligatures w14:val="standardContextual"/>
                    </w:rPr>
                    <w:t>本项目使用</w:t>
                  </w:r>
                  <w:r>
                    <w:rPr>
                      <w:rFonts w:hint="eastAsia"/>
                      <w:snapToGrid w:val="0"/>
                      <w:color w:val="auto"/>
                      <w14:ligatures w14:val="standardContextual"/>
                    </w:rPr>
                    <w:t>的建筑垃圾主要为工程垃圾和拆除垃圾。</w:t>
                  </w:r>
                  <w:r>
                    <w:rPr>
                      <w:rFonts w:hint="eastAsia"/>
                      <w:color w:val="auto"/>
                      <w:u w:val="single"/>
                      <w14:ligatures w14:val="standardContextual"/>
                    </w:rPr>
                    <w:t>来源为中国(广西)自由贸易试验区钦州港片区城市建设开发所产生的建筑垃圾为主。</w:t>
                  </w:r>
                  <w:r>
                    <w:rPr>
                      <w:rFonts w:hint="eastAsia"/>
                      <w:color w:val="auto"/>
                      <w14:ligatures w14:val="standardContextual"/>
                    </w:rPr>
                    <w:t>来源以钦州市城市建设开发所产生的建筑垃圾为主，亦可</w:t>
                  </w:r>
                  <w:r>
                    <w:rPr>
                      <w:rFonts w:hint="eastAsia"/>
                      <w:color w:val="auto"/>
                      <w:lang w:eastAsia="zh-CN"/>
                      <w14:ligatures w14:val="standardContextual"/>
                    </w:rPr>
                    <w:t>接收</w:t>
                  </w:r>
                  <w:r>
                    <w:rPr>
                      <w:rFonts w:hint="eastAsia"/>
                      <w:color w:val="auto"/>
                      <w14:ligatures w14:val="standardContextual"/>
                    </w:rPr>
                    <w:t>周边建筑垃圾。根据建设单位提供资料，建筑垃圾中金属类约占0.10%、塑料类约占5.40%、木材约占10%、混凝土块（石块）约占70%、土方约占14.50%。</w:t>
                  </w:r>
                </w:p>
              </w:tc>
            </w:tr>
            <w:tr w14:paraId="19CC14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37" w:type="pct"/>
                  <w:vAlign w:val="center"/>
                </w:tcPr>
                <w:p w14:paraId="6EABEF4F">
                  <w:pPr>
                    <w:widowControl w:val="0"/>
                    <w:overflowPunct w:val="0"/>
                    <w:autoSpaceDE w:val="0"/>
                    <w:autoSpaceDN w:val="0"/>
                    <w:snapToGrid w:val="0"/>
                    <w:jc w:val="center"/>
                    <w:rPr>
                      <w14:ligatures w14:val="standardContextual"/>
                    </w:rPr>
                  </w:pPr>
                  <w:r>
                    <w:rPr>
                      <w:rFonts w:hint="eastAsia"/>
                      <w14:ligatures w14:val="standardContextual"/>
                    </w:rPr>
                    <w:t>2</w:t>
                  </w:r>
                </w:p>
              </w:tc>
              <w:tc>
                <w:tcPr>
                  <w:tcW w:w="618" w:type="pct"/>
                  <w:vAlign w:val="center"/>
                </w:tcPr>
                <w:p w14:paraId="5508A93A">
                  <w:pPr>
                    <w:widowControl w:val="0"/>
                    <w:overflowPunct w:val="0"/>
                    <w:autoSpaceDE w:val="0"/>
                    <w:autoSpaceDN w:val="0"/>
                    <w:snapToGrid w:val="0"/>
                    <w:jc w:val="center"/>
                    <w:rPr>
                      <w14:ligatures w14:val="standardContextual"/>
                    </w:rPr>
                  </w:pPr>
                  <w:r>
                    <w:rPr>
                      <w:rFonts w:hint="eastAsia"/>
                      <w14:ligatures w14:val="standardContextual"/>
                    </w:rPr>
                    <w:t>PAC</w:t>
                  </w:r>
                </w:p>
              </w:tc>
              <w:tc>
                <w:tcPr>
                  <w:tcW w:w="608" w:type="pct"/>
                  <w:vAlign w:val="center"/>
                </w:tcPr>
                <w:p w14:paraId="4850F5E7">
                  <w:pPr>
                    <w:widowControl w:val="0"/>
                    <w:overflowPunct w:val="0"/>
                    <w:autoSpaceDE w:val="0"/>
                    <w:autoSpaceDN w:val="0"/>
                    <w:snapToGrid w:val="0"/>
                    <w:jc w:val="center"/>
                    <w:rPr>
                      <w:color w:val="auto"/>
                      <w14:ligatures w14:val="standardContextual"/>
                    </w:rPr>
                  </w:pPr>
                  <w:r>
                    <w:rPr>
                      <w:rFonts w:hint="eastAsia"/>
                      <w:color w:val="auto"/>
                      <w14:ligatures w14:val="standardContextual"/>
                    </w:rPr>
                    <w:t>0.5t</w:t>
                  </w:r>
                </w:p>
              </w:tc>
              <w:tc>
                <w:tcPr>
                  <w:tcW w:w="869" w:type="pct"/>
                  <w:vAlign w:val="top"/>
                </w:tcPr>
                <w:p w14:paraId="60580711">
                  <w:pPr>
                    <w:widowControl w:val="0"/>
                    <w:overflowPunct w:val="0"/>
                    <w:autoSpaceDE w:val="0"/>
                    <w:autoSpaceDN w:val="0"/>
                    <w:snapToGrid w:val="0"/>
                    <w:jc w:val="center"/>
                    <w:rPr>
                      <w:color w:val="auto"/>
                      <w14:ligatures w14:val="standardContextual"/>
                    </w:rPr>
                  </w:pPr>
                  <w:r>
                    <w:rPr>
                      <w:rFonts w:hint="eastAsia"/>
                      <w:color w:val="auto"/>
                      <w14:ligatures w14:val="standardContextual"/>
                    </w:rPr>
                    <w:t>生产车间</w:t>
                  </w:r>
                </w:p>
              </w:tc>
              <w:tc>
                <w:tcPr>
                  <w:tcW w:w="2567" w:type="pct"/>
                  <w:vAlign w:val="center"/>
                </w:tcPr>
                <w:p w14:paraId="2C140360">
                  <w:pPr>
                    <w:widowControl w:val="0"/>
                    <w:overflowPunct w:val="0"/>
                    <w:autoSpaceDE w:val="0"/>
                    <w:autoSpaceDN w:val="0"/>
                    <w:snapToGrid w:val="0"/>
                    <w:jc w:val="center"/>
                    <w:rPr>
                      <w:color w:val="auto"/>
                      <w14:ligatures w14:val="standardContextual"/>
                    </w:rPr>
                  </w:pPr>
                  <w:r>
                    <w:rPr>
                      <w:rFonts w:hint="eastAsia"/>
                      <w:color w:val="auto"/>
                      <w14:ligatures w14:val="standardContextual"/>
                    </w:rPr>
                    <w:t>废水絮凝沉淀</w:t>
                  </w:r>
                </w:p>
              </w:tc>
            </w:tr>
            <w:tr w14:paraId="40E440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37" w:type="pct"/>
                  <w:vAlign w:val="center"/>
                </w:tcPr>
                <w:p w14:paraId="1E8680EF">
                  <w:pPr>
                    <w:widowControl w:val="0"/>
                    <w:overflowPunct w:val="0"/>
                    <w:autoSpaceDE w:val="0"/>
                    <w:autoSpaceDN w:val="0"/>
                    <w:snapToGrid w:val="0"/>
                    <w:jc w:val="center"/>
                    <w:rPr>
                      <w14:ligatures w14:val="standardContextual"/>
                    </w:rPr>
                  </w:pPr>
                  <w:r>
                    <w:rPr>
                      <w:rFonts w:hint="eastAsia"/>
                      <w14:ligatures w14:val="standardContextual"/>
                    </w:rPr>
                    <w:t>6</w:t>
                  </w:r>
                </w:p>
              </w:tc>
              <w:tc>
                <w:tcPr>
                  <w:tcW w:w="618" w:type="pct"/>
                  <w:vAlign w:val="center"/>
                </w:tcPr>
                <w:p w14:paraId="290D02BA">
                  <w:pPr>
                    <w:widowControl w:val="0"/>
                    <w:overflowPunct w:val="0"/>
                    <w:autoSpaceDE w:val="0"/>
                    <w:autoSpaceDN w:val="0"/>
                    <w:snapToGrid w:val="0"/>
                    <w:jc w:val="center"/>
                    <w:rPr>
                      <w14:ligatures w14:val="standardContextual"/>
                    </w:rPr>
                  </w:pPr>
                  <w:r>
                    <w:rPr>
                      <w:rFonts w:hint="eastAsia"/>
                      <w14:ligatures w14:val="standardContextual"/>
                    </w:rPr>
                    <w:t>PAM</w:t>
                  </w:r>
                </w:p>
              </w:tc>
              <w:tc>
                <w:tcPr>
                  <w:tcW w:w="608" w:type="pct"/>
                  <w:vAlign w:val="center"/>
                </w:tcPr>
                <w:p w14:paraId="732E725C">
                  <w:pPr>
                    <w:widowControl w:val="0"/>
                    <w:overflowPunct w:val="0"/>
                    <w:autoSpaceDE w:val="0"/>
                    <w:autoSpaceDN w:val="0"/>
                    <w:snapToGrid w:val="0"/>
                    <w:jc w:val="center"/>
                    <w:rPr>
                      <w:color w:val="auto"/>
                      <w14:ligatures w14:val="standardContextual"/>
                    </w:rPr>
                  </w:pPr>
                  <w:r>
                    <w:rPr>
                      <w:rFonts w:hint="eastAsia"/>
                      <w:color w:val="auto"/>
                      <w14:ligatures w14:val="standardContextual"/>
                    </w:rPr>
                    <w:t>0.5t</w:t>
                  </w:r>
                </w:p>
              </w:tc>
              <w:tc>
                <w:tcPr>
                  <w:tcW w:w="869" w:type="pct"/>
                  <w:vAlign w:val="top"/>
                </w:tcPr>
                <w:p w14:paraId="30FEE4D9">
                  <w:pPr>
                    <w:widowControl w:val="0"/>
                    <w:overflowPunct w:val="0"/>
                    <w:autoSpaceDE w:val="0"/>
                    <w:autoSpaceDN w:val="0"/>
                    <w:snapToGrid w:val="0"/>
                    <w:jc w:val="center"/>
                    <w:rPr>
                      <w:color w:val="auto"/>
                      <w14:ligatures w14:val="standardContextual"/>
                    </w:rPr>
                  </w:pPr>
                  <w:r>
                    <w:rPr>
                      <w:rFonts w:hint="eastAsia"/>
                      <w:color w:val="auto"/>
                      <w14:ligatures w14:val="standardContextual"/>
                    </w:rPr>
                    <w:t>生产车间</w:t>
                  </w:r>
                </w:p>
              </w:tc>
              <w:tc>
                <w:tcPr>
                  <w:tcW w:w="2567" w:type="pct"/>
                  <w:vAlign w:val="center"/>
                </w:tcPr>
                <w:p w14:paraId="3D9E21D0">
                  <w:pPr>
                    <w:widowControl w:val="0"/>
                    <w:overflowPunct w:val="0"/>
                    <w:autoSpaceDE w:val="0"/>
                    <w:autoSpaceDN w:val="0"/>
                    <w:snapToGrid w:val="0"/>
                    <w:jc w:val="center"/>
                    <w:rPr>
                      <w:color w:val="auto"/>
                      <w14:ligatures w14:val="standardContextual"/>
                    </w:rPr>
                  </w:pPr>
                  <w:r>
                    <w:rPr>
                      <w:rFonts w:hint="eastAsia"/>
                      <w:color w:val="auto"/>
                      <w14:ligatures w14:val="standardContextual"/>
                    </w:rPr>
                    <w:t>废水絮凝沉淀</w:t>
                  </w:r>
                </w:p>
              </w:tc>
            </w:tr>
            <w:tr w14:paraId="6FC34A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37" w:type="pct"/>
                  <w:vAlign w:val="center"/>
                </w:tcPr>
                <w:p w14:paraId="50E486E4">
                  <w:pPr>
                    <w:widowControl w:val="0"/>
                    <w:overflowPunct w:val="0"/>
                    <w:autoSpaceDE w:val="0"/>
                    <w:autoSpaceDN w:val="0"/>
                    <w:snapToGrid w:val="0"/>
                    <w:jc w:val="center"/>
                    <w:rPr>
                      <w14:ligatures w14:val="standardContextual"/>
                    </w:rPr>
                  </w:pPr>
                  <w:r>
                    <w:rPr>
                      <w:rFonts w:hint="eastAsia"/>
                      <w14:ligatures w14:val="standardContextual"/>
                    </w:rPr>
                    <w:t>7</w:t>
                  </w:r>
                </w:p>
              </w:tc>
              <w:tc>
                <w:tcPr>
                  <w:tcW w:w="618" w:type="pct"/>
                  <w:vAlign w:val="center"/>
                </w:tcPr>
                <w:p w14:paraId="6A17C206">
                  <w:pPr>
                    <w:widowControl w:val="0"/>
                    <w:overflowPunct w:val="0"/>
                    <w:autoSpaceDE w:val="0"/>
                    <w:autoSpaceDN w:val="0"/>
                    <w:snapToGrid w:val="0"/>
                    <w:jc w:val="center"/>
                    <w:rPr>
                      <w14:ligatures w14:val="standardContextual"/>
                    </w:rPr>
                  </w:pPr>
                  <w:r>
                    <w:rPr>
                      <w:rFonts w:hint="eastAsia"/>
                      <w14:ligatures w14:val="standardContextual"/>
                    </w:rPr>
                    <w:t>水</w:t>
                  </w:r>
                </w:p>
              </w:tc>
              <w:tc>
                <w:tcPr>
                  <w:tcW w:w="608" w:type="pct"/>
                  <w:vAlign w:val="center"/>
                </w:tcPr>
                <w:p w14:paraId="2C7B6148">
                  <w:pPr>
                    <w:widowControl w:val="0"/>
                    <w:overflowPunct w:val="0"/>
                    <w:autoSpaceDE w:val="0"/>
                    <w:autoSpaceDN w:val="0"/>
                    <w:snapToGrid w:val="0"/>
                    <w:jc w:val="center"/>
                    <w:rPr>
                      <w:color w:val="auto"/>
                      <w14:ligatures w14:val="standardContextual"/>
                    </w:rPr>
                  </w:pPr>
                  <w:r>
                    <w:rPr>
                      <w:color w:val="auto"/>
                      <w14:ligatures w14:val="standardContextual"/>
                    </w:rPr>
                    <w:t>3696</w:t>
                  </w:r>
                  <w:r>
                    <w:rPr>
                      <w:rFonts w:hint="eastAsia"/>
                      <w:color w:val="auto"/>
                      <w14:ligatures w14:val="standardContextual"/>
                    </w:rPr>
                    <w:t>t</w:t>
                  </w:r>
                </w:p>
              </w:tc>
              <w:tc>
                <w:tcPr>
                  <w:tcW w:w="869" w:type="pct"/>
                  <w:vAlign w:val="top"/>
                </w:tcPr>
                <w:p w14:paraId="57468A82">
                  <w:pPr>
                    <w:widowControl w:val="0"/>
                    <w:overflowPunct w:val="0"/>
                    <w:autoSpaceDE w:val="0"/>
                    <w:autoSpaceDN w:val="0"/>
                    <w:snapToGrid w:val="0"/>
                    <w:jc w:val="center"/>
                    <w:rPr>
                      <w:color w:val="auto"/>
                      <w14:ligatures w14:val="standardContextual"/>
                    </w:rPr>
                  </w:pPr>
                  <w:r>
                    <w:rPr>
                      <w:rFonts w:hint="eastAsia"/>
                      <w:color w:val="auto"/>
                      <w14:ligatures w14:val="standardContextual"/>
                    </w:rPr>
                    <w:t>/</w:t>
                  </w:r>
                </w:p>
              </w:tc>
              <w:tc>
                <w:tcPr>
                  <w:tcW w:w="2567" w:type="pct"/>
                  <w:vAlign w:val="center"/>
                </w:tcPr>
                <w:p w14:paraId="483C6FF2">
                  <w:pPr>
                    <w:widowControl w:val="0"/>
                    <w:overflowPunct w:val="0"/>
                    <w:autoSpaceDE w:val="0"/>
                    <w:autoSpaceDN w:val="0"/>
                    <w:snapToGrid w:val="0"/>
                    <w:jc w:val="center"/>
                    <w:rPr>
                      <w:color w:val="auto"/>
                      <w14:ligatures w14:val="standardContextual"/>
                    </w:rPr>
                  </w:pPr>
                  <w:r>
                    <w:rPr>
                      <w:rFonts w:hint="eastAsia"/>
                      <w:color w:val="auto"/>
                      <w14:ligatures w14:val="standardContextual"/>
                    </w:rPr>
                    <w:t>/</w:t>
                  </w:r>
                </w:p>
              </w:tc>
            </w:tr>
            <w:tr w14:paraId="3A3E1E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37" w:type="pct"/>
                  <w:vAlign w:val="center"/>
                </w:tcPr>
                <w:p w14:paraId="0A913889">
                  <w:pPr>
                    <w:widowControl w:val="0"/>
                    <w:overflowPunct w:val="0"/>
                    <w:autoSpaceDE w:val="0"/>
                    <w:autoSpaceDN w:val="0"/>
                    <w:snapToGrid w:val="0"/>
                    <w:jc w:val="center"/>
                    <w:rPr>
                      <w14:ligatures w14:val="standardContextual"/>
                    </w:rPr>
                  </w:pPr>
                  <w:r>
                    <w:rPr>
                      <w:rFonts w:hint="eastAsia"/>
                      <w14:ligatures w14:val="standardContextual"/>
                    </w:rPr>
                    <w:t>8</w:t>
                  </w:r>
                </w:p>
              </w:tc>
              <w:tc>
                <w:tcPr>
                  <w:tcW w:w="618" w:type="pct"/>
                  <w:vAlign w:val="center"/>
                </w:tcPr>
                <w:p w14:paraId="00329233">
                  <w:pPr>
                    <w:widowControl w:val="0"/>
                    <w:overflowPunct w:val="0"/>
                    <w:autoSpaceDE w:val="0"/>
                    <w:autoSpaceDN w:val="0"/>
                    <w:snapToGrid w:val="0"/>
                    <w:jc w:val="center"/>
                    <w:rPr>
                      <w14:ligatures w14:val="standardContextual"/>
                    </w:rPr>
                  </w:pPr>
                  <w:r>
                    <w:rPr>
                      <w:rFonts w:hint="eastAsia"/>
                      <w14:ligatures w14:val="standardContextual"/>
                    </w:rPr>
                    <w:t>电</w:t>
                  </w:r>
                </w:p>
              </w:tc>
              <w:tc>
                <w:tcPr>
                  <w:tcW w:w="608" w:type="pct"/>
                  <w:vAlign w:val="center"/>
                </w:tcPr>
                <w:p w14:paraId="2F1F6B5F">
                  <w:pPr>
                    <w:widowControl w:val="0"/>
                    <w:overflowPunct w:val="0"/>
                    <w:autoSpaceDE w:val="0"/>
                    <w:autoSpaceDN w:val="0"/>
                    <w:snapToGrid w:val="0"/>
                    <w:jc w:val="center"/>
                    <w:rPr>
                      <w:color w:val="auto"/>
                      <w14:ligatures w14:val="standardContextual"/>
                    </w:rPr>
                  </w:pPr>
                  <w:r>
                    <w:rPr>
                      <w:rFonts w:hint="eastAsia"/>
                      <w:color w:val="auto"/>
                      <w14:ligatures w14:val="standardContextual"/>
                    </w:rPr>
                    <w:t>30kWh/a</w:t>
                  </w:r>
                </w:p>
              </w:tc>
              <w:tc>
                <w:tcPr>
                  <w:tcW w:w="869" w:type="pct"/>
                  <w:vAlign w:val="center"/>
                </w:tcPr>
                <w:p w14:paraId="7CF3FF60">
                  <w:pPr>
                    <w:widowControl w:val="0"/>
                    <w:overflowPunct w:val="0"/>
                    <w:autoSpaceDE w:val="0"/>
                    <w:autoSpaceDN w:val="0"/>
                    <w:snapToGrid w:val="0"/>
                    <w:jc w:val="center"/>
                    <w:rPr>
                      <w:color w:val="auto"/>
                      <w14:ligatures w14:val="standardContextual"/>
                    </w:rPr>
                  </w:pPr>
                  <w:r>
                    <w:rPr>
                      <w:rFonts w:hint="eastAsia"/>
                      <w:color w:val="auto"/>
                      <w14:ligatures w14:val="standardContextual"/>
                    </w:rPr>
                    <w:t>/</w:t>
                  </w:r>
                </w:p>
              </w:tc>
              <w:tc>
                <w:tcPr>
                  <w:tcW w:w="2567" w:type="pct"/>
                  <w:vAlign w:val="center"/>
                </w:tcPr>
                <w:p w14:paraId="3798FE23">
                  <w:pPr>
                    <w:widowControl w:val="0"/>
                    <w:overflowPunct w:val="0"/>
                    <w:autoSpaceDE w:val="0"/>
                    <w:autoSpaceDN w:val="0"/>
                    <w:snapToGrid w:val="0"/>
                    <w:jc w:val="center"/>
                    <w:rPr>
                      <w:color w:val="auto"/>
                      <w14:ligatures w14:val="standardContextual"/>
                    </w:rPr>
                  </w:pPr>
                  <w:r>
                    <w:rPr>
                      <w:rFonts w:hint="eastAsia"/>
                      <w:color w:val="auto"/>
                      <w14:ligatures w14:val="standardContextual"/>
                    </w:rPr>
                    <w:t>/</w:t>
                  </w:r>
                </w:p>
              </w:tc>
            </w:tr>
          </w:tbl>
          <w:p w14:paraId="6A6A0740">
            <w:pPr>
              <w:pStyle w:val="3"/>
              <w:ind w:firstLine="480"/>
            </w:pPr>
            <w:r>
              <w:rPr>
                <w:rFonts w:hint="eastAsia"/>
              </w:rPr>
              <w:t>建筑垃圾进厂要求：</w:t>
            </w:r>
          </w:p>
          <w:p w14:paraId="16FAB7E3">
            <w:pPr>
              <w:pStyle w:val="3"/>
              <w:ind w:firstLine="480"/>
            </w:pPr>
            <w:r>
              <w:rPr>
                <w:rFonts w:hint="eastAsia"/>
              </w:rPr>
              <w:t>根据《全国城市建筑垃圾专项整治工作方案》（建城〔2024〕72号）、《钦州市城市建筑垃圾管理办法》（钦政办〔2016〕14号）、《建筑垃圾处理技术标准》（CJJ/T134-2019），对本项目建筑垃圾入场提出以下控制性要求：</w:t>
            </w:r>
          </w:p>
          <w:p w14:paraId="20B21F52">
            <w:pPr>
              <w:pStyle w:val="3"/>
              <w:ind w:firstLine="480"/>
            </w:pPr>
            <w:r>
              <w:rPr>
                <w:rFonts w:hint="eastAsia"/>
              </w:rPr>
              <w:t>（1）处置建筑垃圾的单位在运输建筑垃圾时，应当随车携带建筑垃圾处置核准文件，按照城市人民政府有关部门规定的运输路线、时间运行，不得丢弃、遗撒建筑垃圾，不得超出核准范围承运建筑垃圾。</w:t>
            </w:r>
          </w:p>
          <w:p w14:paraId="78228F1A">
            <w:pPr>
              <w:pStyle w:val="3"/>
              <w:ind w:firstLine="480"/>
            </w:pPr>
            <w:r>
              <w:rPr>
                <w:rFonts w:hint="eastAsia"/>
              </w:rPr>
              <w:t>（2）禁止所有工业废弃物入场，建筑垃圾消纳场不得消纳工业垃圾、生活垃圾和有毒有害垃圾。</w:t>
            </w:r>
          </w:p>
          <w:p w14:paraId="79E52B15">
            <w:pPr>
              <w:pStyle w:val="3"/>
              <w:ind w:firstLine="480"/>
            </w:pPr>
            <w:r>
              <w:rPr>
                <w:rFonts w:hint="eastAsia"/>
              </w:rPr>
              <w:t>（3）生活垃圾焚烧炉（包括焚烧飞灰）禁止进入；生活垃圾堆肥产生的固体残余物禁止入场。</w:t>
            </w:r>
          </w:p>
          <w:p w14:paraId="50610F43">
            <w:pPr>
              <w:pStyle w:val="3"/>
              <w:ind w:firstLine="480"/>
            </w:pPr>
            <w:r>
              <w:rPr>
                <w:rFonts w:hint="eastAsia"/>
              </w:rPr>
              <w:t>（4）建筑垃圾收运、处理全过程不得混入生活垃圾、</w:t>
            </w:r>
            <w:r>
              <w:rPr>
                <w:rFonts w:hint="eastAsia"/>
                <w:lang w:eastAsia="zh-CN"/>
              </w:rPr>
              <w:t>沉渣</w:t>
            </w:r>
            <w:r>
              <w:rPr>
                <w:rFonts w:hint="eastAsia"/>
              </w:rPr>
              <w:t>、河道疏浚底泥、工业垃圾和危险废物等。</w:t>
            </w:r>
          </w:p>
          <w:p w14:paraId="69ECB008">
            <w:pPr>
              <w:pStyle w:val="3"/>
              <w:ind w:firstLine="480"/>
            </w:pPr>
            <w:r>
              <w:rPr>
                <w:rFonts w:hint="eastAsia"/>
              </w:rPr>
              <w:t>（5）由于收集的建筑垃圾可能混入不符合要求的生活垃圾等，不</w:t>
            </w:r>
            <w:r>
              <w:rPr>
                <w:rFonts w:hint="eastAsia"/>
                <w:lang w:eastAsia="zh-CN"/>
              </w:rPr>
              <w:t>符合</w:t>
            </w:r>
            <w:r>
              <w:rPr>
                <w:rFonts w:hint="eastAsia"/>
              </w:rPr>
              <w:t>该项目</w:t>
            </w:r>
            <w:r>
              <w:rPr>
                <w:rFonts w:hint="eastAsia"/>
                <w:lang w:eastAsia="zh-CN"/>
              </w:rPr>
              <w:t>进场</w:t>
            </w:r>
            <w:r>
              <w:rPr>
                <w:rFonts w:hint="eastAsia"/>
              </w:rPr>
              <w:t>要求，因此要求建设单位在拆除现场对垃圾进行简单分拣，将建筑垃圾与生活垃圾分拣分离，并做好拆除现场的洒水抑尘、降噪等环保措施。分拣出的生活垃圾依据相应的处理方式异地消纳，不在本项目服务范围内。建筑垃圾入场后应做好台账管理记录，按类别分类记录，加强入场管理。此外，本项目不涉及建筑垃圾运输，建筑垃圾由有资质的运输单位按照相关部门规定的路线进行运输。</w:t>
            </w:r>
          </w:p>
          <w:p w14:paraId="6C6CAFCF">
            <w:pPr>
              <w:pStyle w:val="3"/>
              <w:ind w:firstLine="480"/>
            </w:pPr>
            <w:r>
              <w:rPr>
                <w:rFonts w:hint="eastAsia"/>
              </w:rPr>
              <w:t>（6）本项目准入建筑垃圾清单：①场平土地开挖垃圾；②道路开挖垃圾；③旧建筑物拆除垃圾，主要是拆除老化的旧建筑物（如拆违、治违）过程中产生的建筑废弃物，主要分为砖和石头、混凝土、木材、塑料、废金属等几类。④建筑施工垃圾，是指在建筑施工过程中产生的剩余混凝土（工程中没有使用掉的混凝土）、建筑碎料（凿除、抹灰等产生的旧混凝土、砂浆等矿物材料)以及木材纸金属和</w:t>
            </w:r>
            <w:r>
              <w:rPr>
                <w:rFonts w:hint="eastAsia"/>
                <w:lang w:eastAsia="zh-CN"/>
              </w:rPr>
              <w:t>其他</w:t>
            </w:r>
            <w:r>
              <w:rPr>
                <w:rFonts w:hint="eastAsia"/>
              </w:rPr>
              <w:t>废料等。</w:t>
            </w:r>
          </w:p>
          <w:p w14:paraId="54A0B2FA">
            <w:pPr>
              <w:pStyle w:val="3"/>
              <w:ind w:firstLine="480"/>
            </w:pPr>
            <w:r>
              <w:rPr>
                <w:rFonts w:hint="eastAsia"/>
              </w:rPr>
              <w:t>（7）本项目禁入清单：危险废物、矿业固体废物、生活垃圾、含重金属、有害物质超标的原料、其他不符合国家规定的用途和标准的固体废物原料、易燃易爆或易释放挥发性毒性物质的固体废物。</w:t>
            </w:r>
          </w:p>
          <w:p w14:paraId="404DFDE6">
            <w:pPr>
              <w:pStyle w:val="7"/>
            </w:pPr>
            <w:r>
              <w:rPr>
                <w:rFonts w:hint="eastAsia"/>
              </w:rPr>
              <w:t>七、劳动定员及工作制度</w:t>
            </w:r>
          </w:p>
          <w:p w14:paraId="53A2CEF5">
            <w:pPr>
              <w:pStyle w:val="3"/>
              <w:ind w:firstLine="480"/>
            </w:pPr>
            <w:r>
              <w:rPr>
                <w:rFonts w:hint="eastAsia"/>
              </w:rPr>
              <w:t>本项目劳动定员6人。每天运行8h，年运行时间为年工作300天，共</w:t>
            </w:r>
            <w:bookmarkStart w:id="24" w:name="OLE_LINK220"/>
            <w:r>
              <w:rPr>
                <w:rFonts w:hint="eastAsia"/>
              </w:rPr>
              <w:t>2400h/a</w:t>
            </w:r>
            <w:bookmarkEnd w:id="24"/>
            <w:r>
              <w:rPr>
                <w:rFonts w:hint="eastAsia"/>
              </w:rPr>
              <w:t>。</w:t>
            </w:r>
          </w:p>
          <w:p w14:paraId="096B7EF1">
            <w:pPr>
              <w:pStyle w:val="7"/>
            </w:pPr>
            <w:r>
              <w:rPr>
                <w:rFonts w:hint="eastAsia"/>
              </w:rPr>
              <w:t>八、物料平衡</w:t>
            </w:r>
          </w:p>
          <w:p w14:paraId="26390B0E">
            <w:pPr>
              <w:pStyle w:val="48"/>
            </w:pPr>
            <w:r>
              <w:rPr>
                <w:rFonts w:hint="eastAsia"/>
              </w:rPr>
              <w:t xml:space="preserve">表2- </w:t>
            </w:r>
            <w:r>
              <w:fldChar w:fldCharType="begin"/>
            </w:r>
            <w:r>
              <w:instrText xml:space="preserve"> </w:instrText>
            </w:r>
            <w:r>
              <w:rPr>
                <w:rFonts w:hint="eastAsia"/>
              </w:rPr>
              <w:instrText xml:space="preserve">SEQ 表2- \* ARABIC</w:instrText>
            </w:r>
            <w:r>
              <w:instrText xml:space="preserve"> </w:instrText>
            </w:r>
            <w:r>
              <w:fldChar w:fldCharType="separate"/>
            </w:r>
            <w:r>
              <w:t>5</w:t>
            </w:r>
            <w:r>
              <w:fldChar w:fldCharType="end"/>
            </w:r>
            <w:r>
              <w:rPr>
                <w:rFonts w:hint="eastAsia"/>
              </w:rPr>
              <w:t>：物料平衡表</w:t>
            </w:r>
          </w:p>
          <w:tbl>
            <w:tblPr>
              <w:tblStyle w:val="4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628"/>
              <w:gridCol w:w="1628"/>
              <w:gridCol w:w="1628"/>
              <w:gridCol w:w="1629"/>
              <w:gridCol w:w="1629"/>
            </w:tblGrid>
            <w:tr w14:paraId="618F69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628" w:type="dxa"/>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1AE50726">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序号</w:t>
                  </w:r>
                </w:p>
              </w:tc>
              <w:tc>
                <w:tcPr>
                  <w:tcW w:w="3256" w:type="dxa"/>
                  <w:gridSpan w:val="2"/>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1879EF10">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输入</w:t>
                  </w:r>
                </w:p>
              </w:tc>
              <w:tc>
                <w:tcPr>
                  <w:tcW w:w="3258" w:type="dxa"/>
                  <w:gridSpan w:val="2"/>
                  <w:tcBorders>
                    <w:top w:val="single" w:color="auto" w:sz="12" w:space="0"/>
                    <w:bottom w:val="single" w:color="auto" w:sz="12" w:space="0"/>
                    <w:right w:val="nil"/>
                    <w:insideH w:val="single" w:sz="12" w:space="0"/>
                    <w:insideV w:val="single" w:sz="4" w:space="0"/>
                    <w:tl2br w:val="nil"/>
                    <w:tr2bl w:val="nil"/>
                  </w:tcBorders>
                  <w:vAlign w:val="center"/>
                </w:tcPr>
                <w:p w14:paraId="3F5957F0">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输出</w:t>
                  </w:r>
                </w:p>
              </w:tc>
            </w:tr>
            <w:tr w14:paraId="243D7F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628" w:type="dxa"/>
                  <w:vAlign w:val="center"/>
                </w:tcPr>
                <w:p w14:paraId="55C5BF00">
                  <w:pPr>
                    <w:widowControl w:val="0"/>
                    <w:overflowPunct w:val="0"/>
                    <w:autoSpaceDE w:val="0"/>
                    <w:autoSpaceDN w:val="0"/>
                    <w:snapToGrid w:val="0"/>
                    <w:jc w:val="center"/>
                    <w:rPr>
                      <w14:ligatures w14:val="standardContextual"/>
                    </w:rPr>
                  </w:pPr>
                  <w:r>
                    <w:rPr>
                      <w:rFonts w:hint="eastAsia"/>
                      <w14:ligatures w14:val="standardContextual"/>
                    </w:rPr>
                    <w:t>1</w:t>
                  </w:r>
                </w:p>
              </w:tc>
              <w:tc>
                <w:tcPr>
                  <w:tcW w:w="1628" w:type="dxa"/>
                  <w:vMerge w:val="restart"/>
                  <w:vAlign w:val="center"/>
                </w:tcPr>
                <w:p w14:paraId="1E3D3B6B">
                  <w:pPr>
                    <w:widowControl w:val="0"/>
                    <w:overflowPunct w:val="0"/>
                    <w:autoSpaceDE w:val="0"/>
                    <w:autoSpaceDN w:val="0"/>
                    <w:snapToGrid w:val="0"/>
                    <w:jc w:val="center"/>
                    <w:rPr>
                      <w14:ligatures w14:val="standardContextual"/>
                    </w:rPr>
                  </w:pPr>
                  <w:r>
                    <w:rPr>
                      <w:rFonts w:hint="eastAsia"/>
                      <w14:ligatures w14:val="standardContextual"/>
                    </w:rPr>
                    <w:t>建筑垃圾</w:t>
                  </w:r>
                </w:p>
              </w:tc>
              <w:tc>
                <w:tcPr>
                  <w:tcW w:w="1628" w:type="dxa"/>
                  <w:vMerge w:val="restart"/>
                  <w:vAlign w:val="center"/>
                </w:tcPr>
                <w:p w14:paraId="2E1D383C">
                  <w:pPr>
                    <w:widowControl w:val="0"/>
                    <w:overflowPunct w:val="0"/>
                    <w:autoSpaceDE w:val="0"/>
                    <w:autoSpaceDN w:val="0"/>
                    <w:snapToGrid w:val="0"/>
                    <w:jc w:val="center"/>
                    <w:rPr>
                      <w14:ligatures w14:val="standardContextual"/>
                    </w:rPr>
                  </w:pPr>
                  <w:r>
                    <w:rPr>
                      <w:rFonts w:hint="eastAsia"/>
                      <w14:ligatures w14:val="standardContextual"/>
                    </w:rPr>
                    <w:t>50000t/a</w:t>
                  </w:r>
                </w:p>
              </w:tc>
              <w:tc>
                <w:tcPr>
                  <w:tcW w:w="1629" w:type="dxa"/>
                  <w:vAlign w:val="center"/>
                </w:tcPr>
                <w:p w14:paraId="320330C3">
                  <w:pPr>
                    <w:widowControl w:val="0"/>
                    <w:overflowPunct w:val="0"/>
                    <w:autoSpaceDE w:val="0"/>
                    <w:autoSpaceDN w:val="0"/>
                    <w:snapToGrid w:val="0"/>
                    <w:jc w:val="center"/>
                    <w:rPr>
                      <w:color w:val="auto"/>
                      <w14:ligatures w14:val="standardContextual"/>
                    </w:rPr>
                  </w:pPr>
                  <w:r>
                    <w:rPr>
                      <w:rFonts w:hint="eastAsia"/>
                      <w:color w:val="auto"/>
                      <w14:ligatures w14:val="standardContextual"/>
                    </w:rPr>
                    <w:t>废金属</w:t>
                  </w:r>
                </w:p>
              </w:tc>
              <w:tc>
                <w:tcPr>
                  <w:tcW w:w="1629" w:type="dxa"/>
                  <w:vAlign w:val="center"/>
                </w:tcPr>
                <w:p w14:paraId="3F726FF2">
                  <w:pPr>
                    <w:widowControl w:val="0"/>
                    <w:overflowPunct w:val="0"/>
                    <w:autoSpaceDE w:val="0"/>
                    <w:autoSpaceDN w:val="0"/>
                    <w:snapToGrid w:val="0"/>
                    <w:jc w:val="center"/>
                    <w:rPr>
                      <w:color w:val="auto"/>
                      <w14:ligatures w14:val="standardContextual"/>
                    </w:rPr>
                  </w:pPr>
                  <w:r>
                    <w:rPr>
                      <w:color w:val="auto"/>
                      <w14:ligatures w14:val="standardContextual"/>
                    </w:rPr>
                    <w:t>50</w:t>
                  </w:r>
                  <w:r>
                    <w:rPr>
                      <w:rFonts w:hint="eastAsia"/>
                      <w:color w:val="auto"/>
                      <w14:ligatures w14:val="standardContextual"/>
                    </w:rPr>
                    <w:t>t/a</w:t>
                  </w:r>
                </w:p>
              </w:tc>
            </w:tr>
            <w:tr w14:paraId="4C59CF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628" w:type="dxa"/>
                  <w:vAlign w:val="center"/>
                </w:tcPr>
                <w:p w14:paraId="664634D3">
                  <w:pPr>
                    <w:widowControl w:val="0"/>
                    <w:overflowPunct w:val="0"/>
                    <w:autoSpaceDE w:val="0"/>
                    <w:autoSpaceDN w:val="0"/>
                    <w:snapToGrid w:val="0"/>
                    <w:jc w:val="center"/>
                    <w:rPr>
                      <w14:ligatures w14:val="standardContextual"/>
                    </w:rPr>
                  </w:pPr>
                  <w:r>
                    <w:rPr>
                      <w:rFonts w:hint="eastAsia"/>
                      <w14:ligatures w14:val="standardContextual"/>
                    </w:rPr>
                    <w:t>2</w:t>
                  </w:r>
                </w:p>
              </w:tc>
              <w:tc>
                <w:tcPr>
                  <w:tcW w:w="1628" w:type="dxa"/>
                  <w:vMerge w:val="continue"/>
                  <w:vAlign w:val="center"/>
                </w:tcPr>
                <w:p w14:paraId="2E65664F">
                  <w:pPr>
                    <w:widowControl w:val="0"/>
                    <w:overflowPunct w:val="0"/>
                    <w:autoSpaceDE w:val="0"/>
                    <w:autoSpaceDN w:val="0"/>
                    <w:snapToGrid w:val="0"/>
                    <w:jc w:val="center"/>
                    <w:rPr>
                      <w14:ligatures w14:val="standardContextual"/>
                    </w:rPr>
                  </w:pPr>
                </w:p>
              </w:tc>
              <w:tc>
                <w:tcPr>
                  <w:tcW w:w="1628" w:type="dxa"/>
                  <w:vMerge w:val="continue"/>
                  <w:vAlign w:val="center"/>
                </w:tcPr>
                <w:p w14:paraId="0312AE82">
                  <w:pPr>
                    <w:widowControl w:val="0"/>
                    <w:overflowPunct w:val="0"/>
                    <w:autoSpaceDE w:val="0"/>
                    <w:autoSpaceDN w:val="0"/>
                    <w:snapToGrid w:val="0"/>
                    <w:jc w:val="center"/>
                    <w:rPr>
                      <w14:ligatures w14:val="standardContextual"/>
                    </w:rPr>
                  </w:pPr>
                </w:p>
              </w:tc>
              <w:tc>
                <w:tcPr>
                  <w:tcW w:w="1629" w:type="dxa"/>
                  <w:vAlign w:val="center"/>
                </w:tcPr>
                <w:p w14:paraId="7EBD617A">
                  <w:pPr>
                    <w:widowControl w:val="0"/>
                    <w:overflowPunct w:val="0"/>
                    <w:autoSpaceDE w:val="0"/>
                    <w:autoSpaceDN w:val="0"/>
                    <w:snapToGrid w:val="0"/>
                    <w:jc w:val="center"/>
                    <w:rPr>
                      <w:color w:val="auto"/>
                      <w14:ligatures w14:val="standardContextual"/>
                    </w:rPr>
                  </w:pPr>
                  <w:r>
                    <w:rPr>
                      <w:rFonts w:hint="eastAsia"/>
                      <w:color w:val="auto"/>
                      <w14:ligatures w14:val="standardContextual"/>
                    </w:rPr>
                    <w:t>轻物质</w:t>
                  </w:r>
                </w:p>
              </w:tc>
              <w:tc>
                <w:tcPr>
                  <w:tcW w:w="1629" w:type="dxa"/>
                  <w:vAlign w:val="center"/>
                </w:tcPr>
                <w:p w14:paraId="425184A0">
                  <w:pPr>
                    <w:widowControl w:val="0"/>
                    <w:overflowPunct w:val="0"/>
                    <w:autoSpaceDE w:val="0"/>
                    <w:autoSpaceDN w:val="0"/>
                    <w:snapToGrid w:val="0"/>
                    <w:jc w:val="center"/>
                    <w:rPr>
                      <w:color w:val="auto"/>
                      <w14:ligatures w14:val="standardContextual"/>
                    </w:rPr>
                  </w:pPr>
                  <w:r>
                    <w:rPr>
                      <w:color w:val="auto"/>
                      <w14:ligatures w14:val="standardContextual"/>
                    </w:rPr>
                    <w:t>7700</w:t>
                  </w:r>
                  <w:r>
                    <w:rPr>
                      <w:rFonts w:hint="eastAsia"/>
                      <w:color w:val="auto"/>
                      <w14:ligatures w14:val="standardContextual"/>
                    </w:rPr>
                    <w:t>t/a</w:t>
                  </w:r>
                </w:p>
              </w:tc>
            </w:tr>
            <w:tr w14:paraId="40FACF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628" w:type="dxa"/>
                  <w:vAlign w:val="center"/>
                </w:tcPr>
                <w:p w14:paraId="2C89D2B2">
                  <w:pPr>
                    <w:widowControl w:val="0"/>
                    <w:overflowPunct w:val="0"/>
                    <w:autoSpaceDE w:val="0"/>
                    <w:autoSpaceDN w:val="0"/>
                    <w:snapToGrid w:val="0"/>
                    <w:jc w:val="center"/>
                    <w:rPr>
                      <w14:ligatures w14:val="standardContextual"/>
                    </w:rPr>
                  </w:pPr>
                  <w:r>
                    <w:rPr>
                      <w:rFonts w:hint="eastAsia"/>
                      <w14:ligatures w14:val="standardContextual"/>
                    </w:rPr>
                    <w:t>3</w:t>
                  </w:r>
                </w:p>
              </w:tc>
              <w:tc>
                <w:tcPr>
                  <w:tcW w:w="1628" w:type="dxa"/>
                  <w:vMerge w:val="continue"/>
                  <w:vAlign w:val="center"/>
                </w:tcPr>
                <w:p w14:paraId="3E64C138">
                  <w:pPr>
                    <w:widowControl w:val="0"/>
                    <w:overflowPunct w:val="0"/>
                    <w:autoSpaceDE w:val="0"/>
                    <w:autoSpaceDN w:val="0"/>
                    <w:snapToGrid w:val="0"/>
                    <w:jc w:val="center"/>
                    <w:rPr>
                      <w14:ligatures w14:val="standardContextual"/>
                    </w:rPr>
                  </w:pPr>
                </w:p>
              </w:tc>
              <w:tc>
                <w:tcPr>
                  <w:tcW w:w="1628" w:type="dxa"/>
                  <w:vMerge w:val="continue"/>
                  <w:vAlign w:val="center"/>
                </w:tcPr>
                <w:p w14:paraId="3A5550EB">
                  <w:pPr>
                    <w:widowControl w:val="0"/>
                    <w:overflowPunct w:val="0"/>
                    <w:autoSpaceDE w:val="0"/>
                    <w:autoSpaceDN w:val="0"/>
                    <w:snapToGrid w:val="0"/>
                    <w:jc w:val="center"/>
                    <w:rPr>
                      <w14:ligatures w14:val="standardContextual"/>
                    </w:rPr>
                  </w:pPr>
                </w:p>
              </w:tc>
              <w:tc>
                <w:tcPr>
                  <w:tcW w:w="1629" w:type="dxa"/>
                  <w:vAlign w:val="center"/>
                </w:tcPr>
                <w:p w14:paraId="760E1D76">
                  <w:pPr>
                    <w:widowControl w:val="0"/>
                    <w:overflowPunct w:val="0"/>
                    <w:autoSpaceDE w:val="0"/>
                    <w:autoSpaceDN w:val="0"/>
                    <w:snapToGrid w:val="0"/>
                    <w:jc w:val="center"/>
                    <w:rPr>
                      <w:color w:val="auto"/>
                      <w14:ligatures w14:val="standardContextual"/>
                    </w:rPr>
                  </w:pPr>
                  <w:r>
                    <w:rPr>
                      <w:rFonts w:hint="eastAsia"/>
                      <w:color w:val="auto"/>
                      <w14:ligatures w14:val="standardContextual"/>
                    </w:rPr>
                    <w:t>碎石</w:t>
                  </w:r>
                </w:p>
              </w:tc>
              <w:tc>
                <w:tcPr>
                  <w:tcW w:w="1629" w:type="dxa"/>
                  <w:vAlign w:val="center"/>
                </w:tcPr>
                <w:p w14:paraId="168D2CC2">
                  <w:pPr>
                    <w:widowControl w:val="0"/>
                    <w:overflowPunct w:val="0"/>
                    <w:autoSpaceDE w:val="0"/>
                    <w:autoSpaceDN w:val="0"/>
                    <w:snapToGrid w:val="0"/>
                    <w:jc w:val="center"/>
                    <w:rPr>
                      <w:color w:val="auto"/>
                      <w14:ligatures w14:val="standardContextual"/>
                    </w:rPr>
                  </w:pPr>
                  <w:r>
                    <w:rPr>
                      <w:color w:val="auto"/>
                      <w14:ligatures w14:val="standardContextual"/>
                    </w:rPr>
                    <w:t>35000</w:t>
                  </w:r>
                  <w:r>
                    <w:rPr>
                      <w:rFonts w:hint="eastAsia"/>
                      <w:color w:val="auto"/>
                      <w14:ligatures w14:val="standardContextual"/>
                    </w:rPr>
                    <w:t>t/a</w:t>
                  </w:r>
                </w:p>
              </w:tc>
            </w:tr>
            <w:tr w14:paraId="6FE0A5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628" w:type="dxa"/>
                  <w:vAlign w:val="center"/>
                </w:tcPr>
                <w:p w14:paraId="71006784">
                  <w:pPr>
                    <w:widowControl w:val="0"/>
                    <w:overflowPunct w:val="0"/>
                    <w:autoSpaceDE w:val="0"/>
                    <w:autoSpaceDN w:val="0"/>
                    <w:snapToGrid w:val="0"/>
                    <w:jc w:val="center"/>
                    <w:rPr>
                      <w14:ligatures w14:val="standardContextual"/>
                    </w:rPr>
                  </w:pPr>
                  <w:r>
                    <w:rPr>
                      <w:rFonts w:hint="eastAsia"/>
                      <w14:ligatures w14:val="standardContextual"/>
                    </w:rPr>
                    <w:t>4</w:t>
                  </w:r>
                </w:p>
              </w:tc>
              <w:tc>
                <w:tcPr>
                  <w:tcW w:w="1628" w:type="dxa"/>
                  <w:vMerge w:val="continue"/>
                  <w:vAlign w:val="center"/>
                </w:tcPr>
                <w:p w14:paraId="37901556">
                  <w:pPr>
                    <w:widowControl w:val="0"/>
                    <w:overflowPunct w:val="0"/>
                    <w:autoSpaceDE w:val="0"/>
                    <w:autoSpaceDN w:val="0"/>
                    <w:snapToGrid w:val="0"/>
                    <w:jc w:val="center"/>
                    <w:rPr>
                      <w14:ligatures w14:val="standardContextual"/>
                    </w:rPr>
                  </w:pPr>
                </w:p>
              </w:tc>
              <w:tc>
                <w:tcPr>
                  <w:tcW w:w="1628" w:type="dxa"/>
                  <w:vMerge w:val="continue"/>
                  <w:vAlign w:val="center"/>
                </w:tcPr>
                <w:p w14:paraId="2D8F4AC0">
                  <w:pPr>
                    <w:widowControl w:val="0"/>
                    <w:overflowPunct w:val="0"/>
                    <w:autoSpaceDE w:val="0"/>
                    <w:autoSpaceDN w:val="0"/>
                    <w:snapToGrid w:val="0"/>
                    <w:jc w:val="center"/>
                    <w:rPr>
                      <w14:ligatures w14:val="standardContextual"/>
                    </w:rPr>
                  </w:pPr>
                </w:p>
              </w:tc>
              <w:tc>
                <w:tcPr>
                  <w:tcW w:w="1629" w:type="dxa"/>
                  <w:vAlign w:val="center"/>
                </w:tcPr>
                <w:p w14:paraId="6D337EAA">
                  <w:pPr>
                    <w:widowControl w:val="0"/>
                    <w:overflowPunct w:val="0"/>
                    <w:autoSpaceDE w:val="0"/>
                    <w:autoSpaceDN w:val="0"/>
                    <w:snapToGrid w:val="0"/>
                    <w:jc w:val="center"/>
                    <w:rPr>
                      <w:color w:val="auto"/>
                      <w14:ligatures w14:val="standardContextual"/>
                    </w:rPr>
                  </w:pPr>
                  <w:r>
                    <w:rPr>
                      <w:rFonts w:hint="eastAsia"/>
                      <w:color w:val="auto"/>
                      <w14:ligatures w14:val="standardContextual"/>
                    </w:rPr>
                    <w:t>废土料</w:t>
                  </w:r>
                </w:p>
              </w:tc>
              <w:tc>
                <w:tcPr>
                  <w:tcW w:w="1629" w:type="dxa"/>
                  <w:vAlign w:val="center"/>
                </w:tcPr>
                <w:p w14:paraId="6B8F3492">
                  <w:pPr>
                    <w:widowControl w:val="0"/>
                    <w:overflowPunct w:val="0"/>
                    <w:autoSpaceDE w:val="0"/>
                    <w:autoSpaceDN w:val="0"/>
                    <w:snapToGrid w:val="0"/>
                    <w:jc w:val="center"/>
                    <w:rPr>
                      <w:color w:val="auto"/>
                      <w14:ligatures w14:val="standardContextual"/>
                    </w:rPr>
                  </w:pPr>
                  <w:r>
                    <w:rPr>
                      <w:color w:val="auto"/>
                      <w14:ligatures w14:val="standardContextual"/>
                    </w:rPr>
                    <w:t>712</w:t>
                  </w:r>
                  <w:r>
                    <w:rPr>
                      <w:rFonts w:hint="eastAsia"/>
                      <w:color w:val="auto"/>
                      <w14:ligatures w14:val="standardContextual"/>
                    </w:rPr>
                    <w:t>3.353t/a</w:t>
                  </w:r>
                </w:p>
              </w:tc>
            </w:tr>
            <w:tr w14:paraId="478987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628" w:type="dxa"/>
                  <w:vAlign w:val="center"/>
                </w:tcPr>
                <w:p w14:paraId="1B98F766">
                  <w:pPr>
                    <w:widowControl w:val="0"/>
                    <w:overflowPunct w:val="0"/>
                    <w:autoSpaceDE w:val="0"/>
                    <w:autoSpaceDN w:val="0"/>
                    <w:snapToGrid w:val="0"/>
                    <w:jc w:val="center"/>
                    <w:rPr>
                      <w14:ligatures w14:val="standardContextual"/>
                    </w:rPr>
                  </w:pPr>
                  <w:r>
                    <w:rPr>
                      <w:rFonts w:hint="eastAsia"/>
                      <w14:ligatures w14:val="standardContextual"/>
                    </w:rPr>
                    <w:t>5</w:t>
                  </w:r>
                </w:p>
              </w:tc>
              <w:tc>
                <w:tcPr>
                  <w:tcW w:w="1628" w:type="dxa"/>
                  <w:vMerge w:val="continue"/>
                  <w:vAlign w:val="center"/>
                </w:tcPr>
                <w:p w14:paraId="5657CB89">
                  <w:pPr>
                    <w:widowControl w:val="0"/>
                    <w:overflowPunct w:val="0"/>
                    <w:autoSpaceDE w:val="0"/>
                    <w:autoSpaceDN w:val="0"/>
                    <w:snapToGrid w:val="0"/>
                    <w:jc w:val="center"/>
                    <w:rPr>
                      <w14:ligatures w14:val="standardContextual"/>
                    </w:rPr>
                  </w:pPr>
                </w:p>
              </w:tc>
              <w:tc>
                <w:tcPr>
                  <w:tcW w:w="1628" w:type="dxa"/>
                  <w:vMerge w:val="continue"/>
                  <w:vAlign w:val="center"/>
                </w:tcPr>
                <w:p w14:paraId="01282B8D">
                  <w:pPr>
                    <w:widowControl w:val="0"/>
                    <w:overflowPunct w:val="0"/>
                    <w:autoSpaceDE w:val="0"/>
                    <w:autoSpaceDN w:val="0"/>
                    <w:snapToGrid w:val="0"/>
                    <w:jc w:val="center"/>
                    <w:rPr>
                      <w14:ligatures w14:val="standardContextual"/>
                    </w:rPr>
                  </w:pPr>
                </w:p>
              </w:tc>
              <w:tc>
                <w:tcPr>
                  <w:tcW w:w="1629" w:type="dxa"/>
                  <w:vAlign w:val="center"/>
                </w:tcPr>
                <w:p w14:paraId="7D1B7F75">
                  <w:pPr>
                    <w:widowControl w:val="0"/>
                    <w:overflowPunct w:val="0"/>
                    <w:autoSpaceDE w:val="0"/>
                    <w:autoSpaceDN w:val="0"/>
                    <w:snapToGrid w:val="0"/>
                    <w:jc w:val="center"/>
                    <w:rPr>
                      <w:color w:val="auto"/>
                      <w14:ligatures w14:val="standardContextual"/>
                    </w:rPr>
                  </w:pPr>
                  <w:r>
                    <w:rPr>
                      <w:rFonts w:hint="eastAsia"/>
                      <w:color w:val="auto"/>
                      <w14:ligatures w14:val="standardContextual"/>
                    </w:rPr>
                    <w:t>粉尘外排</w:t>
                  </w:r>
                </w:p>
              </w:tc>
              <w:tc>
                <w:tcPr>
                  <w:tcW w:w="1629" w:type="dxa"/>
                  <w:vAlign w:val="center"/>
                </w:tcPr>
                <w:p w14:paraId="22F5B766">
                  <w:pPr>
                    <w:widowControl w:val="0"/>
                    <w:overflowPunct w:val="0"/>
                    <w:autoSpaceDE w:val="0"/>
                    <w:autoSpaceDN w:val="0"/>
                    <w:snapToGrid w:val="0"/>
                    <w:jc w:val="center"/>
                    <w:rPr>
                      <w:color w:val="auto"/>
                      <w14:ligatures w14:val="standardContextual"/>
                    </w:rPr>
                  </w:pPr>
                  <w:r>
                    <w:rPr>
                      <w:color w:val="auto"/>
                      <w14:ligatures w14:val="standardContextual"/>
                    </w:rPr>
                    <w:t>13.</w:t>
                  </w:r>
                  <w:r>
                    <w:rPr>
                      <w:rFonts w:hint="eastAsia"/>
                      <w:color w:val="auto"/>
                      <w14:ligatures w14:val="standardContextual"/>
                    </w:rPr>
                    <w:t>815t/a</w:t>
                  </w:r>
                </w:p>
              </w:tc>
            </w:tr>
            <w:tr w14:paraId="26D0EA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628" w:type="dxa"/>
                  <w:vAlign w:val="center"/>
                </w:tcPr>
                <w:p w14:paraId="6122D2B5">
                  <w:pPr>
                    <w:widowControl w:val="0"/>
                    <w:overflowPunct w:val="0"/>
                    <w:autoSpaceDE w:val="0"/>
                    <w:autoSpaceDN w:val="0"/>
                    <w:snapToGrid w:val="0"/>
                    <w:jc w:val="center"/>
                    <w:rPr>
                      <w14:ligatures w14:val="standardContextual"/>
                    </w:rPr>
                  </w:pPr>
                  <w:r>
                    <w:rPr>
                      <w:rFonts w:hint="eastAsia"/>
                      <w14:ligatures w14:val="standardContextual"/>
                    </w:rPr>
                    <w:t>6</w:t>
                  </w:r>
                </w:p>
              </w:tc>
              <w:tc>
                <w:tcPr>
                  <w:tcW w:w="1628" w:type="dxa"/>
                  <w:vMerge w:val="continue"/>
                  <w:vAlign w:val="center"/>
                </w:tcPr>
                <w:p w14:paraId="0FFA42FF">
                  <w:pPr>
                    <w:widowControl w:val="0"/>
                    <w:overflowPunct w:val="0"/>
                    <w:autoSpaceDE w:val="0"/>
                    <w:autoSpaceDN w:val="0"/>
                    <w:snapToGrid w:val="0"/>
                    <w:jc w:val="center"/>
                    <w:rPr>
                      <w14:ligatures w14:val="standardContextual"/>
                    </w:rPr>
                  </w:pPr>
                </w:p>
              </w:tc>
              <w:tc>
                <w:tcPr>
                  <w:tcW w:w="1628" w:type="dxa"/>
                  <w:vMerge w:val="continue"/>
                  <w:vAlign w:val="center"/>
                </w:tcPr>
                <w:p w14:paraId="0EE8F0EE">
                  <w:pPr>
                    <w:widowControl w:val="0"/>
                    <w:overflowPunct w:val="0"/>
                    <w:autoSpaceDE w:val="0"/>
                    <w:autoSpaceDN w:val="0"/>
                    <w:snapToGrid w:val="0"/>
                    <w:jc w:val="center"/>
                    <w:rPr>
                      <w14:ligatures w14:val="standardContextual"/>
                    </w:rPr>
                  </w:pPr>
                </w:p>
              </w:tc>
              <w:tc>
                <w:tcPr>
                  <w:tcW w:w="1629" w:type="dxa"/>
                  <w:vAlign w:val="center"/>
                </w:tcPr>
                <w:p w14:paraId="196F8818">
                  <w:pPr>
                    <w:widowControl w:val="0"/>
                    <w:overflowPunct w:val="0"/>
                    <w:autoSpaceDE w:val="0"/>
                    <w:autoSpaceDN w:val="0"/>
                    <w:snapToGrid w:val="0"/>
                    <w:jc w:val="center"/>
                    <w:rPr>
                      <w:color w:val="auto"/>
                      <w14:ligatures w14:val="standardContextual"/>
                    </w:rPr>
                  </w:pPr>
                  <w:r>
                    <w:rPr>
                      <w:rFonts w:hint="eastAsia"/>
                      <w:color w:val="auto"/>
                      <w14:ligatures w14:val="standardContextual"/>
                    </w:rPr>
                    <w:t>收集尘</w:t>
                  </w:r>
                </w:p>
              </w:tc>
              <w:tc>
                <w:tcPr>
                  <w:tcW w:w="1629" w:type="dxa"/>
                  <w:vAlign w:val="center"/>
                </w:tcPr>
                <w:p w14:paraId="66C4CBF2">
                  <w:pPr>
                    <w:widowControl w:val="0"/>
                    <w:overflowPunct w:val="0"/>
                    <w:autoSpaceDE w:val="0"/>
                    <w:autoSpaceDN w:val="0"/>
                    <w:snapToGrid w:val="0"/>
                    <w:jc w:val="center"/>
                    <w:rPr>
                      <w:color w:val="auto"/>
                      <w14:ligatures w14:val="standardContextual"/>
                    </w:rPr>
                  </w:pPr>
                  <w:r>
                    <w:rPr>
                      <w:rFonts w:hint="eastAsia"/>
                      <w:color w:val="auto"/>
                      <w14:ligatures w14:val="standardContextual"/>
                    </w:rPr>
                    <w:t>109.332t/a</w:t>
                  </w:r>
                </w:p>
              </w:tc>
            </w:tr>
            <w:tr w14:paraId="0FEFFA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628" w:type="dxa"/>
                  <w:vAlign w:val="center"/>
                </w:tcPr>
                <w:p w14:paraId="00F5CBFD">
                  <w:pPr>
                    <w:widowControl w:val="0"/>
                    <w:overflowPunct w:val="0"/>
                    <w:autoSpaceDE w:val="0"/>
                    <w:autoSpaceDN w:val="0"/>
                    <w:snapToGrid w:val="0"/>
                    <w:jc w:val="center"/>
                    <w:rPr>
                      <w14:ligatures w14:val="standardContextual"/>
                    </w:rPr>
                  </w:pPr>
                  <w:r>
                    <w:rPr>
                      <w:rFonts w:hint="eastAsia"/>
                      <w14:ligatures w14:val="standardContextual"/>
                    </w:rPr>
                    <w:t>7</w:t>
                  </w:r>
                </w:p>
              </w:tc>
              <w:tc>
                <w:tcPr>
                  <w:tcW w:w="1628" w:type="dxa"/>
                  <w:vAlign w:val="center"/>
                </w:tcPr>
                <w:p w14:paraId="7F991A68">
                  <w:pPr>
                    <w:widowControl w:val="0"/>
                    <w:overflowPunct w:val="0"/>
                    <w:autoSpaceDE w:val="0"/>
                    <w:autoSpaceDN w:val="0"/>
                    <w:snapToGrid w:val="0"/>
                    <w:jc w:val="center"/>
                    <w:rPr>
                      <w14:ligatures w14:val="standardContextual"/>
                    </w:rPr>
                  </w:pPr>
                </w:p>
              </w:tc>
              <w:tc>
                <w:tcPr>
                  <w:tcW w:w="1628" w:type="dxa"/>
                  <w:vAlign w:val="center"/>
                </w:tcPr>
                <w:p w14:paraId="23767F7D">
                  <w:pPr>
                    <w:widowControl w:val="0"/>
                    <w:overflowPunct w:val="0"/>
                    <w:autoSpaceDE w:val="0"/>
                    <w:autoSpaceDN w:val="0"/>
                    <w:snapToGrid w:val="0"/>
                    <w:jc w:val="center"/>
                    <w:rPr>
                      <w14:ligatures w14:val="standardContextual"/>
                    </w:rPr>
                  </w:pPr>
                </w:p>
              </w:tc>
              <w:tc>
                <w:tcPr>
                  <w:tcW w:w="1629" w:type="dxa"/>
                  <w:vAlign w:val="center"/>
                </w:tcPr>
                <w:p w14:paraId="7DBF600E">
                  <w:pPr>
                    <w:widowControl w:val="0"/>
                    <w:overflowPunct w:val="0"/>
                    <w:autoSpaceDE w:val="0"/>
                    <w:autoSpaceDN w:val="0"/>
                    <w:snapToGrid w:val="0"/>
                    <w:jc w:val="center"/>
                    <w:rPr>
                      <w:rFonts w:hint="eastAsia" w:eastAsia="宋体"/>
                      <w:color w:val="auto"/>
                      <w:lang w:eastAsia="zh-CN"/>
                      <w14:ligatures w14:val="standardContextual"/>
                    </w:rPr>
                  </w:pPr>
                  <w:r>
                    <w:rPr>
                      <w:rFonts w:hint="eastAsia"/>
                      <w:color w:val="auto"/>
                      <w:u w:val="single"/>
                      <w:lang w:eastAsia="zh-CN"/>
                      <w14:ligatures w14:val="standardContextual"/>
                    </w:rPr>
                    <w:t>沉渣</w:t>
                  </w:r>
                </w:p>
              </w:tc>
              <w:tc>
                <w:tcPr>
                  <w:tcW w:w="1629" w:type="dxa"/>
                  <w:vAlign w:val="center"/>
                </w:tcPr>
                <w:p w14:paraId="68A45D8B">
                  <w:pPr>
                    <w:widowControl w:val="0"/>
                    <w:overflowPunct w:val="0"/>
                    <w:autoSpaceDE w:val="0"/>
                    <w:autoSpaceDN w:val="0"/>
                    <w:snapToGrid w:val="0"/>
                    <w:jc w:val="center"/>
                    <w:rPr>
                      <w:color w:val="auto"/>
                      <w14:ligatures w14:val="standardContextual"/>
                    </w:rPr>
                  </w:pPr>
                  <w:r>
                    <w:rPr>
                      <w:rFonts w:hint="eastAsia"/>
                      <w:color w:val="auto"/>
                      <w14:ligatures w14:val="standardContextual"/>
                    </w:rPr>
                    <w:t>3.5t/a</w:t>
                  </w:r>
                </w:p>
              </w:tc>
            </w:tr>
            <w:tr w14:paraId="3182F4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628" w:type="dxa"/>
                  <w:vAlign w:val="center"/>
                </w:tcPr>
                <w:p w14:paraId="107F4094">
                  <w:pPr>
                    <w:widowControl w:val="0"/>
                    <w:overflowPunct w:val="0"/>
                    <w:autoSpaceDE w:val="0"/>
                    <w:autoSpaceDN w:val="0"/>
                    <w:snapToGrid w:val="0"/>
                    <w:jc w:val="center"/>
                    <w:rPr>
                      <w14:ligatures w14:val="standardContextual"/>
                    </w:rPr>
                  </w:pPr>
                  <w:r>
                    <w:rPr>
                      <w:rFonts w:hint="eastAsia"/>
                      <w14:ligatures w14:val="standardContextual"/>
                    </w:rPr>
                    <w:t>合计</w:t>
                  </w:r>
                </w:p>
              </w:tc>
              <w:tc>
                <w:tcPr>
                  <w:tcW w:w="1628" w:type="dxa"/>
                  <w:vAlign w:val="center"/>
                </w:tcPr>
                <w:p w14:paraId="2E9FCB10">
                  <w:pPr>
                    <w:widowControl w:val="0"/>
                    <w:overflowPunct w:val="0"/>
                    <w:autoSpaceDE w:val="0"/>
                    <w:autoSpaceDN w:val="0"/>
                    <w:snapToGrid w:val="0"/>
                    <w:jc w:val="center"/>
                    <w:rPr>
                      <w14:ligatures w14:val="standardContextual"/>
                    </w:rPr>
                  </w:pPr>
                  <w:r>
                    <w:rPr>
                      <w:rFonts w:hint="eastAsia"/>
                      <w14:ligatures w14:val="standardContextual"/>
                    </w:rPr>
                    <w:t>/</w:t>
                  </w:r>
                </w:p>
              </w:tc>
              <w:tc>
                <w:tcPr>
                  <w:tcW w:w="1628" w:type="dxa"/>
                  <w:vAlign w:val="center"/>
                </w:tcPr>
                <w:p w14:paraId="433DE9AC">
                  <w:pPr>
                    <w:widowControl w:val="0"/>
                    <w:overflowPunct w:val="0"/>
                    <w:autoSpaceDE w:val="0"/>
                    <w:autoSpaceDN w:val="0"/>
                    <w:snapToGrid w:val="0"/>
                    <w:jc w:val="center"/>
                    <w:rPr>
                      <w14:ligatures w14:val="standardContextual"/>
                    </w:rPr>
                  </w:pPr>
                  <w:r>
                    <w:rPr>
                      <w:rFonts w:hint="eastAsia"/>
                      <w14:ligatures w14:val="standardContextual"/>
                    </w:rPr>
                    <w:t>50000t/a</w:t>
                  </w:r>
                </w:p>
              </w:tc>
              <w:tc>
                <w:tcPr>
                  <w:tcW w:w="1629" w:type="dxa"/>
                  <w:vAlign w:val="center"/>
                </w:tcPr>
                <w:p w14:paraId="393A428D">
                  <w:pPr>
                    <w:widowControl w:val="0"/>
                    <w:overflowPunct w:val="0"/>
                    <w:autoSpaceDE w:val="0"/>
                    <w:autoSpaceDN w:val="0"/>
                    <w:snapToGrid w:val="0"/>
                    <w:jc w:val="center"/>
                    <w:rPr>
                      <w14:ligatures w14:val="standardContextual"/>
                    </w:rPr>
                  </w:pPr>
                  <w:r>
                    <w:rPr>
                      <w:rFonts w:hint="eastAsia"/>
                      <w14:ligatures w14:val="standardContextual"/>
                    </w:rPr>
                    <w:t>/</w:t>
                  </w:r>
                </w:p>
              </w:tc>
              <w:tc>
                <w:tcPr>
                  <w:tcW w:w="1629" w:type="dxa"/>
                  <w:vAlign w:val="center"/>
                </w:tcPr>
                <w:p w14:paraId="0B17F79D">
                  <w:pPr>
                    <w:widowControl w:val="0"/>
                    <w:overflowPunct w:val="0"/>
                    <w:autoSpaceDE w:val="0"/>
                    <w:autoSpaceDN w:val="0"/>
                    <w:snapToGrid w:val="0"/>
                    <w:jc w:val="center"/>
                    <w:rPr>
                      <w14:ligatures w14:val="standardContextual"/>
                    </w:rPr>
                  </w:pPr>
                  <w:r>
                    <w:rPr>
                      <w:rFonts w:hint="eastAsia"/>
                      <w14:ligatures w14:val="standardContextual"/>
                    </w:rPr>
                    <w:t>50000t/a</w:t>
                  </w:r>
                </w:p>
              </w:tc>
            </w:tr>
          </w:tbl>
          <w:p w14:paraId="2AC3FCD0">
            <w:pPr>
              <w:pStyle w:val="7"/>
            </w:pPr>
            <w:r>
              <w:rPr>
                <w:rFonts w:hint="eastAsia"/>
              </w:rPr>
              <w:t>九、水平衡分析</w:t>
            </w:r>
          </w:p>
          <w:p w14:paraId="0A144237">
            <w:pPr>
              <w:pStyle w:val="3"/>
              <w:ind w:firstLine="482"/>
              <w:rPr>
                <w:b/>
                <w:bCs/>
              </w:rPr>
            </w:pPr>
            <w:r>
              <w:rPr>
                <w:rFonts w:hint="eastAsia"/>
                <w:b/>
                <w:bCs/>
              </w:rPr>
              <w:t>（1）给排水分析</w:t>
            </w:r>
          </w:p>
          <w:p w14:paraId="72D40BF4">
            <w:pPr>
              <w:pStyle w:val="3"/>
              <w:ind w:firstLine="480"/>
            </w:pPr>
            <w:r>
              <w:rPr>
                <w:rFonts w:hint="eastAsia"/>
              </w:rPr>
              <w:t>项目用水由市政供水管网供给，主要为生活用水、喷雾除尘用水、车辆清洗用水等。</w:t>
            </w:r>
          </w:p>
          <w:p w14:paraId="0CA6A18D">
            <w:pPr>
              <w:pStyle w:val="3"/>
              <w:ind w:firstLine="480"/>
            </w:pPr>
            <w:r>
              <w:rPr>
                <w:rFonts w:hint="eastAsia"/>
              </w:rPr>
              <w:t>①生活用水</w:t>
            </w:r>
          </w:p>
          <w:p w14:paraId="1970F6C1">
            <w:pPr>
              <w:pStyle w:val="3"/>
              <w:ind w:firstLine="480"/>
            </w:pPr>
            <w:r>
              <w:rPr>
                <w:rFonts w:hint="eastAsia"/>
              </w:rPr>
              <w:t>根据建设单位提供资料，本项目员工均不在厂内食宿。本项目职工人数6人，项目年运行300天。根据《建筑给水排水设计标准》（GB50015-2019），职工生活用水取50L/（d·人）。则职工生活用水量为0.3 m</w:t>
            </w:r>
            <w:r>
              <w:rPr>
                <w:rFonts w:hint="eastAsia"/>
                <w:vertAlign w:val="superscript"/>
              </w:rPr>
              <w:t>3</w:t>
            </w:r>
            <w:r>
              <w:rPr>
                <w:rFonts w:hint="eastAsia"/>
              </w:rPr>
              <w:t>/d，90 m</w:t>
            </w:r>
            <w:r>
              <w:rPr>
                <w:rFonts w:hint="eastAsia"/>
                <w:vertAlign w:val="superscript"/>
              </w:rPr>
              <w:t>3</w:t>
            </w:r>
            <w:r>
              <w:rPr>
                <w:rFonts w:hint="eastAsia"/>
              </w:rPr>
              <w:t>/a。</w:t>
            </w:r>
          </w:p>
          <w:p w14:paraId="7316DC99">
            <w:pPr>
              <w:pStyle w:val="3"/>
              <w:ind w:firstLine="480"/>
            </w:pPr>
            <w:r>
              <w:rPr>
                <w:rFonts w:hint="eastAsia"/>
              </w:rPr>
              <w:t>生活用水损耗量按20%计算，则排放量为0.24 m</w:t>
            </w:r>
            <w:r>
              <w:rPr>
                <w:rFonts w:hint="eastAsia"/>
                <w:vertAlign w:val="superscript"/>
              </w:rPr>
              <w:t>3</w:t>
            </w:r>
            <w:r>
              <w:rPr>
                <w:rFonts w:hint="eastAsia"/>
              </w:rPr>
              <w:t>/d，72 m</w:t>
            </w:r>
            <w:r>
              <w:rPr>
                <w:rFonts w:hint="eastAsia"/>
                <w:vertAlign w:val="superscript"/>
              </w:rPr>
              <w:t>3</w:t>
            </w:r>
            <w:r>
              <w:rPr>
                <w:rFonts w:hint="eastAsia"/>
              </w:rPr>
              <w:t>/a。生活污水经自建化粪池处理达标后</w:t>
            </w:r>
            <w:r>
              <w:rPr>
                <w:rFonts w:hint="eastAsia"/>
                <w:lang w:eastAsia="zh-CN"/>
              </w:rPr>
              <w:t>排入</w:t>
            </w:r>
            <w:r>
              <w:rPr>
                <w:rFonts w:hint="eastAsia"/>
              </w:rPr>
              <w:t>园区污水管网，送至大揽平处理厂处理达标后排放。</w:t>
            </w:r>
          </w:p>
          <w:p w14:paraId="116111C2">
            <w:pPr>
              <w:pStyle w:val="3"/>
              <w:ind w:firstLine="480"/>
            </w:pPr>
            <w:r>
              <w:rPr>
                <w:rFonts w:hint="eastAsia"/>
              </w:rPr>
              <w:t>②喷雾除尘用水：</w:t>
            </w:r>
          </w:p>
          <w:p w14:paraId="618CD1C3">
            <w:pPr>
              <w:pStyle w:val="3"/>
              <w:ind w:firstLine="480"/>
            </w:pPr>
            <w:r>
              <w:rPr>
                <w:rFonts w:hint="eastAsia"/>
              </w:rPr>
              <w:t>项目拟对卸料点、进料点及落料点等位置采用喷雾除尘，喷雾设施喷嘴流量为2L/min·个。本项目考虑在卸料点、进料点、落料点共设置12个喷雾设施，每日喷雾8小时，生产时间按300天计，则喷雾用水量为11.5 m</w:t>
            </w:r>
            <w:r>
              <w:rPr>
                <w:rFonts w:hint="eastAsia"/>
                <w:vertAlign w:val="superscript"/>
              </w:rPr>
              <w:t>3</w:t>
            </w:r>
            <w:r>
              <w:rPr>
                <w:rFonts w:hint="eastAsia"/>
              </w:rPr>
              <w:t>/d（3456.0 m</w:t>
            </w:r>
            <w:r>
              <w:rPr>
                <w:rFonts w:hint="eastAsia"/>
                <w:vertAlign w:val="superscript"/>
              </w:rPr>
              <w:t>3</w:t>
            </w:r>
            <w:r>
              <w:rPr>
                <w:rFonts w:hint="eastAsia"/>
              </w:rPr>
              <w:t>/a）。</w:t>
            </w:r>
          </w:p>
          <w:p w14:paraId="154E9719">
            <w:pPr>
              <w:pStyle w:val="3"/>
              <w:ind w:firstLine="480"/>
            </w:pPr>
            <w:r>
              <w:rPr>
                <w:rFonts w:hint="eastAsia"/>
              </w:rPr>
              <w:t>喷雾除尘废水全部蒸发消耗无外排。</w:t>
            </w:r>
          </w:p>
          <w:p w14:paraId="12F2871C">
            <w:pPr>
              <w:pStyle w:val="3"/>
              <w:ind w:firstLine="480"/>
            </w:pPr>
            <w:r>
              <w:rPr>
                <w:rFonts w:hint="eastAsia"/>
              </w:rPr>
              <w:t>③车辆清洗用水：</w:t>
            </w:r>
          </w:p>
          <w:p w14:paraId="633F555D">
            <w:pPr>
              <w:pStyle w:val="3"/>
              <w:ind w:firstLine="480"/>
            </w:pPr>
            <w:r>
              <w:rPr>
                <w:rFonts w:hint="eastAsia"/>
              </w:rPr>
              <w:t>项目在厂区出入口设置一个车辆清洗平台，主要用于清洗轮胎及部分车身。项目物料运输量约10万吨，单辆货车运输量约20吨，运输车辆约5000辆次/年。根据建设单位提供资料，单辆货车清洗用水约100L/辆次，则用水量为1.67 m</w:t>
            </w:r>
            <w:r>
              <w:rPr>
                <w:rFonts w:hint="eastAsia"/>
                <w:vertAlign w:val="superscript"/>
              </w:rPr>
              <w:t>3</w:t>
            </w:r>
            <w:r>
              <w:rPr>
                <w:rFonts w:hint="eastAsia"/>
              </w:rPr>
              <w:t>/d、500 m</w:t>
            </w:r>
            <w:r>
              <w:rPr>
                <w:rFonts w:hint="eastAsia"/>
                <w:vertAlign w:val="superscript"/>
              </w:rPr>
              <w:t>3</w:t>
            </w:r>
            <w:r>
              <w:rPr>
                <w:rFonts w:hint="eastAsia"/>
              </w:rPr>
              <w:t>/a。</w:t>
            </w:r>
          </w:p>
          <w:p w14:paraId="22A4A8E1">
            <w:pPr>
              <w:pStyle w:val="3"/>
              <w:ind w:firstLine="480"/>
            </w:pPr>
            <w:r>
              <w:rPr>
                <w:rFonts w:hint="eastAsia"/>
              </w:rPr>
              <w:t>冲洗完毕后约有70%的水量经沉淀池收集沉淀后循环使用，不外排，定期清理淤泥，补充用水量为0.50m</w:t>
            </w:r>
            <w:r>
              <w:rPr>
                <w:rFonts w:hint="eastAsia"/>
                <w:vertAlign w:val="superscript"/>
              </w:rPr>
              <w:t>3</w:t>
            </w:r>
            <w:r>
              <w:rPr>
                <w:rFonts w:hint="eastAsia"/>
              </w:rPr>
              <w:t>/d，150m</w:t>
            </w:r>
            <w:r>
              <w:rPr>
                <w:rFonts w:hint="eastAsia"/>
                <w:vertAlign w:val="superscript"/>
              </w:rPr>
              <w:t>3</w:t>
            </w:r>
            <w:r>
              <w:rPr>
                <w:rFonts w:hint="eastAsia"/>
              </w:rPr>
              <w:t>/a。</w:t>
            </w:r>
          </w:p>
          <w:p w14:paraId="7C9F1A11">
            <w:pPr>
              <w:pStyle w:val="3"/>
              <w:ind w:firstLine="480"/>
            </w:pPr>
            <w:r>
              <w:rPr>
                <w:rFonts w:hint="eastAsia"/>
              </w:rPr>
              <w:t>④初期雨水</w:t>
            </w:r>
          </w:p>
          <w:p w14:paraId="245E9956">
            <w:pPr>
              <w:pStyle w:val="3"/>
              <w:ind w:firstLine="480"/>
            </w:pPr>
            <w:r>
              <w:t>项目厂区道路定期清扫，厂区初期雨水主要含有少量的悬浮物，项目拟在</w:t>
            </w:r>
            <w:r>
              <w:rPr>
                <w:rFonts w:hint="eastAsia"/>
              </w:rPr>
              <w:t>项目地势较低位置</w:t>
            </w:r>
            <w:r>
              <w:t>设置初期雨水沉淀池，对厂区初期雨水收集沉淀处理后用于项目周边</w:t>
            </w:r>
            <w:r>
              <w:rPr>
                <w:rFonts w:hint="eastAsia"/>
              </w:rPr>
              <w:t>道路洒水抑尘。</w:t>
            </w:r>
            <w:r>
              <w:t>钦州市的暴雨公式计算如下：</w:t>
            </w:r>
          </w:p>
          <w:p w14:paraId="5F42C6C8">
            <w:pPr>
              <w:pStyle w:val="50"/>
            </w:pPr>
            <w:r>
              <w:object>
                <v:shape id="_x0000_i1025" o:spt="75" type="#_x0000_t75" style="height:43.2pt;width:144pt;" o:ole="t" filled="f" o:preferrelative="t" stroked="f" coordsize="21600,21600">
                  <v:path/>
                  <v:fill on="f" focussize="0,0"/>
                  <v:stroke on="f" joinstyle="miter"/>
                  <v:imagedata r:id="rId14" o:title=""/>
                  <o:lock v:ext="edit" aspectratio="t"/>
                  <w10:wrap type="none"/>
                  <w10:anchorlock/>
                </v:shape>
                <o:OLEObject Type="Embed" ProgID="Equation.KSEE3" ShapeID="_x0000_i1025" DrawAspect="Content" ObjectID="_1468075725" r:id="rId13">
                  <o:LockedField>false</o:LockedField>
                </o:OLEObject>
              </w:object>
            </w:r>
          </w:p>
          <w:p w14:paraId="34FDEB78">
            <w:pPr>
              <w:pStyle w:val="3"/>
              <w:ind w:firstLine="480"/>
            </w:pPr>
            <w:r>
              <w:t>式中：</w:t>
            </w:r>
          </w:p>
          <w:p w14:paraId="015384F5">
            <w:pPr>
              <w:pStyle w:val="3"/>
              <w:ind w:firstLine="480"/>
            </w:pPr>
            <w:r>
              <w:t>q——暴雨强度（L/s·hm</w:t>
            </w:r>
            <w:r>
              <w:rPr>
                <w:vertAlign w:val="superscript"/>
              </w:rPr>
              <w:t>2</w:t>
            </w:r>
            <w:r>
              <w:t>）；</w:t>
            </w:r>
          </w:p>
          <w:p w14:paraId="7C2051AA">
            <w:pPr>
              <w:pStyle w:val="3"/>
              <w:ind w:firstLine="480"/>
            </w:pPr>
            <w:r>
              <w:t>P——重现期，取2年；</w:t>
            </w:r>
          </w:p>
          <w:p w14:paraId="7EE9DC78">
            <w:pPr>
              <w:pStyle w:val="3"/>
              <w:ind w:firstLine="480"/>
            </w:pPr>
            <w:r>
              <w:t>t——降雨历时（min），取15min；</w:t>
            </w:r>
          </w:p>
          <w:p w14:paraId="6CBBDAC2">
            <w:pPr>
              <w:pStyle w:val="3"/>
              <w:ind w:firstLine="480"/>
            </w:pPr>
            <w:r>
              <w:t>经计算，钦州市暴雨强度q为</w:t>
            </w:r>
            <w:r>
              <w:rPr>
                <w:rFonts w:hint="eastAsia"/>
              </w:rPr>
              <w:t>361.04</w:t>
            </w:r>
            <w:r>
              <w:t>L/s•hm</w:t>
            </w:r>
            <w:r>
              <w:rPr>
                <w:vertAlign w:val="superscript"/>
              </w:rPr>
              <w:t>2</w:t>
            </w:r>
            <w:r>
              <w:t>。</w:t>
            </w:r>
          </w:p>
          <w:p w14:paraId="7DC4255B">
            <w:pPr>
              <w:pStyle w:val="3"/>
              <w:ind w:firstLine="480"/>
            </w:pPr>
            <w:r>
              <w:rPr>
                <w:i/>
                <w:iCs/>
              </w:rPr>
              <w:t>Q= qFΨT</w:t>
            </w:r>
          </w:p>
          <w:p w14:paraId="7EE661C0">
            <w:pPr>
              <w:pStyle w:val="3"/>
              <w:ind w:firstLine="480"/>
            </w:pPr>
            <w:r>
              <w:t>式中：</w:t>
            </w:r>
          </w:p>
          <w:p w14:paraId="68DA0F04">
            <w:pPr>
              <w:pStyle w:val="3"/>
              <w:ind w:firstLine="480"/>
            </w:pPr>
            <w:r>
              <w:t>Q——初期雨水排放量</w:t>
            </w:r>
            <w:r>
              <w:rPr>
                <w:rFonts w:hint="eastAsia"/>
              </w:rPr>
              <w:t>，L</w:t>
            </w:r>
            <w:r>
              <w:t>；</w:t>
            </w:r>
          </w:p>
          <w:p w14:paraId="107EE925">
            <w:pPr>
              <w:pStyle w:val="3"/>
              <w:ind w:firstLine="480"/>
            </w:pPr>
            <w:r>
              <w:t>F——汇水面积（</w:t>
            </w:r>
            <w:r>
              <w:rPr>
                <w:rFonts w:hint="eastAsia"/>
              </w:rPr>
              <w:t>hm</w:t>
            </w:r>
            <w:r>
              <w:rPr>
                <w:rFonts w:hint="eastAsia"/>
                <w:vertAlign w:val="superscript"/>
              </w:rPr>
              <w:t>2</w:t>
            </w:r>
            <w:r>
              <w:t>）；</w:t>
            </w:r>
          </w:p>
          <w:p w14:paraId="6FC2D800">
            <w:pPr>
              <w:pStyle w:val="3"/>
              <w:ind w:firstLine="480"/>
            </w:pPr>
            <w:r>
              <w:t>Ψ——为径流系数（项目硬化地面，径流系数取0.</w:t>
            </w:r>
            <w:r>
              <w:rPr>
                <w:rFonts w:hint="eastAsia"/>
              </w:rPr>
              <w:t>8</w:t>
            </w:r>
            <w:r>
              <w:t>）；</w:t>
            </w:r>
          </w:p>
          <w:p w14:paraId="20E5749C">
            <w:pPr>
              <w:pStyle w:val="3"/>
              <w:ind w:firstLine="480"/>
            </w:pPr>
            <w:r>
              <w:t>T——为集水时间，取15min</w:t>
            </w:r>
            <w:r>
              <w:rPr>
                <w:rFonts w:hint="eastAsia"/>
              </w:rPr>
              <w:t>（900s）</w:t>
            </w:r>
            <w:r>
              <w:t>。</w:t>
            </w:r>
          </w:p>
          <w:p w14:paraId="2949F938">
            <w:pPr>
              <w:pStyle w:val="3"/>
              <w:ind w:firstLine="480"/>
              <w:rPr>
                <w:b/>
                <w:bCs/>
              </w:rPr>
            </w:pPr>
            <w:r>
              <w:rPr>
                <w:rFonts w:hint="eastAsia"/>
              </w:rPr>
              <w:t>项目收集初期雨水主要为场地道路，占地面积0.5hm</w:t>
            </w:r>
            <w:r>
              <w:rPr>
                <w:rFonts w:hint="eastAsia"/>
                <w:vertAlign w:val="superscript"/>
              </w:rPr>
              <w:t>2</w:t>
            </w:r>
            <w:r>
              <w:rPr>
                <w:rFonts w:hint="eastAsia"/>
              </w:rPr>
              <w:t>，</w:t>
            </w:r>
            <w:r>
              <w:t>根据以上公式，可得出项目一次暴雨初期雨水量，见</w:t>
            </w:r>
            <w:r>
              <w:fldChar w:fldCharType="begin"/>
            </w:r>
            <w:r>
              <w:instrText xml:space="preserve"> REF _HandyRef45848393587963 \h \* MERGEFORMAT </w:instrText>
            </w:r>
            <w:r>
              <w:fldChar w:fldCharType="separate"/>
            </w:r>
            <w:r>
              <w:rPr>
                <w:rFonts w:hint="eastAsia"/>
              </w:rPr>
              <w:t xml:space="preserve">表2- </w:t>
            </w:r>
            <w:r>
              <w:t>6</w:t>
            </w:r>
            <w:r>
              <w:fldChar w:fldCharType="end"/>
            </w:r>
            <w:r>
              <w:t>。</w:t>
            </w:r>
          </w:p>
          <w:p w14:paraId="6770292D">
            <w:pPr>
              <w:pStyle w:val="48"/>
            </w:pPr>
            <w:bookmarkStart w:id="25" w:name="_HandyRef45848393587963"/>
            <w:r>
              <w:rPr>
                <w:rFonts w:hint="eastAsia"/>
              </w:rPr>
              <w:t xml:space="preserve">表2- </w:t>
            </w:r>
            <w:r>
              <w:fldChar w:fldCharType="begin"/>
            </w:r>
            <w:r>
              <w:instrText xml:space="preserve"> </w:instrText>
            </w:r>
            <w:r>
              <w:rPr>
                <w:rFonts w:hint="eastAsia"/>
              </w:rPr>
              <w:instrText xml:space="preserve">SEQ 表2- \* ARABIC</w:instrText>
            </w:r>
            <w:r>
              <w:instrText xml:space="preserve"> </w:instrText>
            </w:r>
            <w:r>
              <w:fldChar w:fldCharType="separate"/>
            </w:r>
            <w:r>
              <w:t>6</w:t>
            </w:r>
            <w:r>
              <w:fldChar w:fldCharType="end"/>
            </w:r>
            <w:bookmarkEnd w:id="25"/>
            <w:r>
              <w:rPr>
                <w:rFonts w:hint="eastAsia"/>
              </w:rPr>
              <w:t>：初期雨水量计算一览表</w:t>
            </w:r>
          </w:p>
          <w:tbl>
            <w:tblPr>
              <w:tblStyle w:val="4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831"/>
              <w:gridCol w:w="1030"/>
              <w:gridCol w:w="1370"/>
              <w:gridCol w:w="1204"/>
              <w:gridCol w:w="1316"/>
              <w:gridCol w:w="1313"/>
              <w:gridCol w:w="1313"/>
            </w:tblGrid>
            <w:tr w14:paraId="5071BD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37" w:hRule="atLeast"/>
                <w:jc w:val="center"/>
              </w:trPr>
              <w:tc>
                <w:tcPr>
                  <w:tcW w:w="510" w:type="pc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66C90DA8">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14:ligatures w14:val="standardContextual"/>
                    </w:rPr>
                  </w:pPr>
                  <w:r>
                    <w:rPr>
                      <w:rFonts w:hint="default" w:ascii="Times New Roman" w:hAnsi="Times New Roman" w:eastAsia="宋体" w:cs="Times New Roman"/>
                      <w:b/>
                      <w:i w:val="0"/>
                      <w:snapToGrid w:val="0"/>
                      <w14:ligatures w14:val="standardContextual"/>
                    </w:rPr>
                    <w:t>收集区域</w:t>
                  </w:r>
                </w:p>
              </w:tc>
              <w:tc>
                <w:tcPr>
                  <w:tcW w:w="629"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4A1DCB1C">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14:ligatures w14:val="standardContextual"/>
                    </w:rPr>
                  </w:pPr>
                  <w:r>
                    <w:rPr>
                      <w:rFonts w:hint="default" w:ascii="Times New Roman" w:hAnsi="Times New Roman" w:eastAsia="宋体" w:cs="Times New Roman"/>
                      <w:b/>
                      <w:i w:val="0"/>
                      <w:snapToGrid w:val="0"/>
                      <w:sz w:val="24"/>
                      <w14:ligatures w14:val="standardContextual"/>
                    </w:rPr>
                    <w:t>汇水面积</w:t>
                  </w:r>
                </w:p>
              </w:tc>
              <w:tc>
                <w:tcPr>
                  <w:tcW w:w="734"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7405CC48">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14:ligatures w14:val="standardContextual"/>
                    </w:rPr>
                  </w:pPr>
                  <w:r>
                    <w:rPr>
                      <w:rFonts w:hint="default" w:ascii="Times New Roman" w:hAnsi="Times New Roman" w:eastAsia="宋体" w:cs="Times New Roman"/>
                      <w:b/>
                      <w:i w:val="0"/>
                      <w:snapToGrid w:val="0"/>
                      <w:sz w:val="24"/>
                      <w14:ligatures w14:val="standardContextual"/>
                    </w:rPr>
                    <w:t>暴雨强度</w:t>
                  </w:r>
                </w:p>
              </w:tc>
              <w:tc>
                <w:tcPr>
                  <w:tcW w:w="733"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1D7AE191">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14:ligatures w14:val="standardContextual"/>
                    </w:rPr>
                  </w:pPr>
                  <w:r>
                    <w:rPr>
                      <w:rFonts w:hint="default" w:ascii="Times New Roman" w:hAnsi="Times New Roman" w:eastAsia="宋体" w:cs="Times New Roman"/>
                      <w:b/>
                      <w:i w:val="0"/>
                      <w:snapToGrid w:val="0"/>
                      <w:sz w:val="24"/>
                      <w14:ligatures w14:val="standardContextual"/>
                    </w:rPr>
                    <w:t>径流系数</w:t>
                  </w:r>
                </w:p>
              </w:tc>
              <w:tc>
                <w:tcPr>
                  <w:tcW w:w="799"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74BC1B56">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14:ligatures w14:val="standardContextual"/>
                    </w:rPr>
                  </w:pPr>
                  <w:r>
                    <w:rPr>
                      <w:rFonts w:hint="eastAsia" w:ascii="Times New Roman" w:hAnsi="Times New Roman" w:eastAsia="宋体" w:cs="Times New Roman"/>
                      <w:b/>
                      <w:i w:val="0"/>
                      <w:snapToGrid w:val="0"/>
                      <w14:ligatures w14:val="standardContextual"/>
                    </w:rPr>
                    <w:t>集水时间</w:t>
                  </w:r>
                </w:p>
              </w:tc>
              <w:tc>
                <w:tcPr>
                  <w:tcW w:w="797"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0E2C3173">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14:ligatures w14:val="standardContextual"/>
                    </w:rPr>
                  </w:pPr>
                  <w:r>
                    <w:rPr>
                      <w:rFonts w:hint="eastAsia" w:ascii="Times New Roman" w:hAnsi="Times New Roman" w:eastAsia="宋体" w:cs="Times New Roman"/>
                      <w:b/>
                      <w:i w:val="0"/>
                      <w:snapToGrid w:val="0"/>
                      <w14:ligatures w14:val="standardContextual"/>
                    </w:rPr>
                    <w:t>一次暴雨初期雨水量</w:t>
                  </w:r>
                </w:p>
              </w:tc>
              <w:tc>
                <w:tcPr>
                  <w:tcW w:w="797" w:type="pct"/>
                  <w:tcBorders>
                    <w:top w:val="single" w:color="auto" w:sz="12" w:space="0"/>
                    <w:bottom w:val="single" w:color="auto" w:sz="12" w:space="0"/>
                    <w:right w:val="nil"/>
                    <w:insideH w:val="single" w:sz="12" w:space="0"/>
                    <w:insideV w:val="single" w:sz="4" w:space="0"/>
                    <w:tl2br w:val="nil"/>
                    <w:tr2bl w:val="nil"/>
                  </w:tcBorders>
                  <w:vAlign w:val="center"/>
                </w:tcPr>
                <w:p w14:paraId="1FE8F225">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14:ligatures w14:val="standardContextual"/>
                    </w:rPr>
                  </w:pPr>
                  <w:r>
                    <w:rPr>
                      <w:rFonts w:hint="eastAsia" w:ascii="Times New Roman" w:hAnsi="Times New Roman" w:eastAsia="宋体" w:cs="Times New Roman"/>
                      <w:b/>
                      <w:i w:val="0"/>
                      <w:snapToGrid w:val="0"/>
                      <w14:ligatures w14:val="standardContextual"/>
                    </w:rPr>
                    <w:t>沉淀池</w:t>
                  </w:r>
                </w:p>
              </w:tc>
            </w:tr>
            <w:tr w14:paraId="18857E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75" w:hRule="atLeast"/>
                <w:jc w:val="center"/>
              </w:trPr>
              <w:tc>
                <w:tcPr>
                  <w:tcW w:w="510" w:type="pct"/>
                  <w:vAlign w:val="center"/>
                </w:tcPr>
                <w:p w14:paraId="3691F850">
                  <w:pPr>
                    <w:widowControl w:val="0"/>
                    <w:overflowPunct w:val="0"/>
                    <w:autoSpaceDE w:val="0"/>
                    <w:autoSpaceDN w:val="0"/>
                    <w:snapToGrid w:val="0"/>
                    <w:jc w:val="center"/>
                    <w:rPr>
                      <w:snapToGrid w:val="0"/>
                      <w14:ligatures w14:val="standardContextual"/>
                    </w:rPr>
                  </w:pPr>
                  <w:r>
                    <w:rPr>
                      <w:rFonts w:hint="eastAsia"/>
                      <w:snapToGrid w:val="0"/>
                      <w14:ligatures w14:val="standardContextual"/>
                    </w:rPr>
                    <w:t>场地道路</w:t>
                  </w:r>
                </w:p>
              </w:tc>
              <w:tc>
                <w:tcPr>
                  <w:tcW w:w="629" w:type="pct"/>
                  <w:vAlign w:val="center"/>
                </w:tcPr>
                <w:p w14:paraId="18EFDC66">
                  <w:pPr>
                    <w:widowControl w:val="0"/>
                    <w:overflowPunct w:val="0"/>
                    <w:autoSpaceDE w:val="0"/>
                    <w:autoSpaceDN w:val="0"/>
                    <w:snapToGrid w:val="0"/>
                    <w:jc w:val="center"/>
                    <w:rPr>
                      <w:snapToGrid w:val="0"/>
                      <w14:ligatures w14:val="standardContextual"/>
                    </w:rPr>
                  </w:pPr>
                  <w:r>
                    <w:rPr>
                      <w:rFonts w:hint="eastAsia"/>
                      <w:snapToGrid w:val="0"/>
                      <w14:ligatures w14:val="standardContextual"/>
                    </w:rPr>
                    <w:t>0.5h</w:t>
                  </w:r>
                  <w:r>
                    <w:rPr>
                      <w:snapToGrid w:val="0"/>
                      <w14:ligatures w14:val="standardContextual"/>
                    </w:rPr>
                    <w:t>m</w:t>
                  </w:r>
                  <w:r>
                    <w:rPr>
                      <w:snapToGrid w:val="0"/>
                      <w:vertAlign w:val="superscript"/>
                      <w14:ligatures w14:val="standardContextual"/>
                    </w:rPr>
                    <w:t>2</w:t>
                  </w:r>
                </w:p>
              </w:tc>
              <w:tc>
                <w:tcPr>
                  <w:tcW w:w="734" w:type="pct"/>
                  <w:vAlign w:val="center"/>
                </w:tcPr>
                <w:p w14:paraId="44E6E589">
                  <w:pPr>
                    <w:widowControl w:val="0"/>
                    <w:overflowPunct w:val="0"/>
                    <w:autoSpaceDE w:val="0"/>
                    <w:autoSpaceDN w:val="0"/>
                    <w:snapToGrid w:val="0"/>
                    <w:jc w:val="center"/>
                    <w:rPr>
                      <w:snapToGrid w:val="0"/>
                      <w14:ligatures w14:val="standardContextual"/>
                    </w:rPr>
                  </w:pPr>
                  <w:r>
                    <w:rPr>
                      <w:snapToGrid w:val="0"/>
                      <w14:ligatures w14:val="standardContextual"/>
                    </w:rPr>
                    <w:t>361.04L/s•hm</w:t>
                  </w:r>
                  <w:r>
                    <w:rPr>
                      <w:snapToGrid w:val="0"/>
                      <w:vertAlign w:val="superscript"/>
                      <w14:ligatures w14:val="standardContextual"/>
                    </w:rPr>
                    <w:t>2</w:t>
                  </w:r>
                </w:p>
              </w:tc>
              <w:tc>
                <w:tcPr>
                  <w:tcW w:w="733" w:type="pct"/>
                  <w:vAlign w:val="center"/>
                </w:tcPr>
                <w:p w14:paraId="69008040">
                  <w:pPr>
                    <w:widowControl w:val="0"/>
                    <w:overflowPunct w:val="0"/>
                    <w:autoSpaceDE w:val="0"/>
                    <w:autoSpaceDN w:val="0"/>
                    <w:snapToGrid w:val="0"/>
                    <w:jc w:val="center"/>
                    <w:rPr>
                      <w:snapToGrid w:val="0"/>
                      <w14:ligatures w14:val="standardContextual"/>
                    </w:rPr>
                  </w:pPr>
                  <w:r>
                    <w:rPr>
                      <w:snapToGrid w:val="0"/>
                      <w:sz w:val="24"/>
                      <w14:ligatures w14:val="standardContextual"/>
                    </w:rPr>
                    <w:t>0.</w:t>
                  </w:r>
                  <w:r>
                    <w:rPr>
                      <w:rFonts w:hint="eastAsia"/>
                      <w:snapToGrid w:val="0"/>
                      <w:sz w:val="24"/>
                      <w14:ligatures w14:val="standardContextual"/>
                    </w:rPr>
                    <w:t>8</w:t>
                  </w:r>
                </w:p>
              </w:tc>
              <w:tc>
                <w:tcPr>
                  <w:tcW w:w="799" w:type="pct"/>
                  <w:vAlign w:val="center"/>
                </w:tcPr>
                <w:p w14:paraId="791C6278">
                  <w:pPr>
                    <w:widowControl w:val="0"/>
                    <w:overflowPunct w:val="0"/>
                    <w:autoSpaceDE w:val="0"/>
                    <w:autoSpaceDN w:val="0"/>
                    <w:snapToGrid w:val="0"/>
                    <w:jc w:val="center"/>
                    <w:rPr>
                      <w:snapToGrid w:val="0"/>
                      <w14:ligatures w14:val="standardContextual"/>
                    </w:rPr>
                  </w:pPr>
                  <w:r>
                    <w:rPr>
                      <w:rFonts w:hint="eastAsia"/>
                      <w:snapToGrid w:val="0"/>
                      <w14:ligatures w14:val="standardContextual"/>
                    </w:rPr>
                    <w:t>900s</w:t>
                  </w:r>
                </w:p>
              </w:tc>
              <w:tc>
                <w:tcPr>
                  <w:tcW w:w="797" w:type="pct"/>
                  <w:vAlign w:val="center"/>
                </w:tcPr>
                <w:p w14:paraId="5344FC07">
                  <w:pPr>
                    <w:widowControl w:val="0"/>
                    <w:overflowPunct w:val="0"/>
                    <w:autoSpaceDE w:val="0"/>
                    <w:autoSpaceDN w:val="0"/>
                    <w:snapToGrid w:val="0"/>
                    <w:jc w:val="center"/>
                    <w:rPr>
                      <w:snapToGrid w:val="0"/>
                      <w14:ligatures w14:val="standardContextual"/>
                    </w:rPr>
                  </w:pPr>
                  <w:r>
                    <w:rPr>
                      <w:snapToGrid w:val="0"/>
                      <w14:ligatures w14:val="standardContextual"/>
                    </w:rPr>
                    <w:t>130.0m</w:t>
                  </w:r>
                  <w:r>
                    <w:rPr>
                      <w:snapToGrid w:val="0"/>
                      <w:vertAlign w:val="superscript"/>
                      <w14:ligatures w14:val="standardContextual"/>
                    </w:rPr>
                    <w:t>3</w:t>
                  </w:r>
                </w:p>
              </w:tc>
              <w:tc>
                <w:tcPr>
                  <w:tcW w:w="797" w:type="pct"/>
                  <w:vAlign w:val="center"/>
                </w:tcPr>
                <w:p w14:paraId="4162D9B1">
                  <w:pPr>
                    <w:widowControl w:val="0"/>
                    <w:overflowPunct w:val="0"/>
                    <w:autoSpaceDE w:val="0"/>
                    <w:autoSpaceDN w:val="0"/>
                    <w:snapToGrid w:val="0"/>
                    <w:jc w:val="center"/>
                    <w:rPr>
                      <w:snapToGrid w:val="0"/>
                      <w14:ligatures w14:val="standardContextual"/>
                    </w:rPr>
                  </w:pPr>
                  <w:r>
                    <w:rPr>
                      <w:rFonts w:hint="eastAsia"/>
                      <w:snapToGrid w:val="0"/>
                      <w14:ligatures w14:val="standardContextual"/>
                    </w:rPr>
                    <w:t>150</w:t>
                  </w:r>
                  <w:r>
                    <w:rPr>
                      <w:snapToGrid w:val="0"/>
                      <w14:ligatures w14:val="standardContextual"/>
                    </w:rPr>
                    <w:t>m</w:t>
                  </w:r>
                  <w:r>
                    <w:rPr>
                      <w:snapToGrid w:val="0"/>
                      <w:vertAlign w:val="superscript"/>
                      <w14:ligatures w14:val="standardContextual"/>
                    </w:rPr>
                    <w:t>3</w:t>
                  </w:r>
                </w:p>
              </w:tc>
            </w:tr>
          </w:tbl>
          <w:p w14:paraId="600474CD">
            <w:pPr>
              <w:pStyle w:val="3"/>
              <w:ind w:firstLine="480"/>
            </w:pPr>
            <w:r>
              <w:rPr>
                <w:rFonts w:hint="eastAsia"/>
              </w:rPr>
              <w:t>根据上表计算结果，项目</w:t>
            </w:r>
            <w:r>
              <w:t>一次暴雨初期雨水量</w:t>
            </w:r>
            <w:r>
              <w:rPr>
                <w:rFonts w:hint="eastAsia"/>
              </w:rPr>
              <w:t>为</w:t>
            </w:r>
            <w:r>
              <w:t>130.0m</w:t>
            </w:r>
            <w:r>
              <w:rPr>
                <w:vertAlign w:val="superscript"/>
              </w:rPr>
              <w:t>3</w:t>
            </w:r>
            <w:r>
              <w:rPr>
                <w:rFonts w:hint="eastAsia"/>
              </w:rPr>
              <w:t>，拟设置1个沉淀池</w:t>
            </w:r>
            <w:r>
              <w:t>，为</w:t>
            </w:r>
            <w:r>
              <w:rPr>
                <w:rFonts w:hint="eastAsia"/>
              </w:rPr>
              <w:t>150</w:t>
            </w:r>
            <w:r>
              <w:t>m</w:t>
            </w:r>
            <w:r>
              <w:rPr>
                <w:vertAlign w:val="superscript"/>
              </w:rPr>
              <w:t>3</w:t>
            </w:r>
            <w:r>
              <w:rPr>
                <w:rFonts w:hint="eastAsia"/>
              </w:rPr>
              <w:t>。</w:t>
            </w:r>
            <w:bookmarkStart w:id="26" w:name="OLE_LINK2"/>
            <w:r>
              <w:rPr>
                <w:rFonts w:hint="eastAsia"/>
              </w:rPr>
              <w:t>钦州市年暴雨天数</w:t>
            </w:r>
            <w:bookmarkEnd w:id="26"/>
            <w:r>
              <w:rPr>
                <w:rFonts w:hint="eastAsia"/>
              </w:rPr>
              <w:t>约为50d，年初期雨水量为6500</w:t>
            </w:r>
            <w:r>
              <w:t>m</w:t>
            </w:r>
            <w:r>
              <w:rPr>
                <w:vertAlign w:val="superscript"/>
              </w:rPr>
              <w:t>3</w:t>
            </w:r>
            <w:r>
              <w:rPr>
                <w:rFonts w:hint="eastAsia"/>
              </w:rPr>
              <w:t>。</w:t>
            </w:r>
          </w:p>
          <w:p w14:paraId="3EECA0F5">
            <w:pPr>
              <w:pStyle w:val="3"/>
              <w:ind w:firstLine="480"/>
            </w:pPr>
            <w:r>
              <w:rPr>
                <w:rFonts w:hint="eastAsia"/>
              </w:rPr>
              <w:t>厂区内排水实行雨污分流，建立独立的雨水收集管网系统和污水收集管网系统。初期雨水经沉淀池收集沉淀处理后用于场地洒水抑尘，不外排。后期雨水经地面汇集到雨水沟渠。</w:t>
            </w:r>
          </w:p>
          <w:p w14:paraId="08DDCFD6">
            <w:pPr>
              <w:pStyle w:val="3"/>
              <w:ind w:firstLine="482"/>
            </w:pPr>
            <w:r>
              <w:rPr>
                <w:rFonts w:hint="eastAsia"/>
                <w:b/>
                <w:bCs/>
              </w:rPr>
              <w:t>（2）水平衡</w:t>
            </w:r>
          </w:p>
          <w:p w14:paraId="66C15DD9">
            <w:pPr>
              <w:pStyle w:val="3"/>
              <w:ind w:firstLine="480"/>
            </w:pPr>
            <w:r>
              <w:rPr>
                <w:rFonts w:hint="eastAsia"/>
              </w:rPr>
              <w:t>本项目建成后全厂水平衡如下：</w:t>
            </w:r>
          </w:p>
          <w:p w14:paraId="2A42B020">
            <w:pPr>
              <w:pStyle w:val="48"/>
            </w:pPr>
            <w:bookmarkStart w:id="27" w:name="OLE_LINK41"/>
            <w:bookmarkStart w:id="28" w:name="_Ref176881275"/>
            <w:r>
              <w:rPr>
                <w:rFonts w:hint="eastAsia"/>
              </w:rPr>
              <w:t xml:space="preserve">表2- </w:t>
            </w:r>
            <w:r>
              <w:fldChar w:fldCharType="begin"/>
            </w:r>
            <w:r>
              <w:instrText xml:space="preserve"> </w:instrText>
            </w:r>
            <w:r>
              <w:rPr>
                <w:rFonts w:hint="eastAsia"/>
              </w:rPr>
              <w:instrText xml:space="preserve">SEQ 表2- \* ARABIC</w:instrText>
            </w:r>
            <w:r>
              <w:instrText xml:space="preserve"> </w:instrText>
            </w:r>
            <w:r>
              <w:fldChar w:fldCharType="separate"/>
            </w:r>
            <w:r>
              <w:t>7</w:t>
            </w:r>
            <w:r>
              <w:fldChar w:fldCharType="end"/>
            </w:r>
            <w:r>
              <w:rPr>
                <w:rFonts w:hint="eastAsia"/>
              </w:rPr>
              <w:t>：</w:t>
            </w:r>
            <w:bookmarkEnd w:id="27"/>
            <w:r>
              <w:rPr>
                <w:rFonts w:hint="eastAsia"/>
              </w:rPr>
              <w:t>水平衡表（单位m³/a）</w:t>
            </w:r>
            <w:bookmarkEnd w:id="28"/>
          </w:p>
          <w:tbl>
            <w:tblPr>
              <w:tblStyle w:val="4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498"/>
              <w:gridCol w:w="1754"/>
              <w:gridCol w:w="1226"/>
              <w:gridCol w:w="1226"/>
              <w:gridCol w:w="2121"/>
              <w:gridCol w:w="1552"/>
            </w:tblGrid>
            <w:tr w14:paraId="3AE6E4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297" w:type="pct"/>
                  <w:vMerge w:val="restar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13EEFD31">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序号</w:t>
                  </w:r>
                </w:p>
              </w:tc>
              <w:tc>
                <w:tcPr>
                  <w:tcW w:w="1047" w:type="pct"/>
                  <w:vMerge w:val="restar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5273ED3C">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项目</w:t>
                  </w:r>
                </w:p>
              </w:tc>
              <w:tc>
                <w:tcPr>
                  <w:tcW w:w="1463" w:type="pct"/>
                  <w:gridSpan w:val="2"/>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5455E1E6">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用水</w:t>
                  </w:r>
                </w:p>
              </w:tc>
              <w:tc>
                <w:tcPr>
                  <w:tcW w:w="2192" w:type="pct"/>
                  <w:gridSpan w:val="2"/>
                  <w:tcBorders>
                    <w:top w:val="single" w:color="auto" w:sz="12" w:space="0"/>
                    <w:bottom w:val="single" w:color="auto" w:sz="12" w:space="0"/>
                    <w:right w:val="nil"/>
                    <w:insideH w:val="single" w:sz="12" w:space="0"/>
                    <w:insideV w:val="single" w:sz="4" w:space="0"/>
                    <w:tl2br w:val="nil"/>
                    <w:tr2bl w:val="nil"/>
                  </w:tcBorders>
                  <w:vAlign w:val="center"/>
                </w:tcPr>
                <w:p w14:paraId="7D9838F9">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排水</w:t>
                  </w:r>
                </w:p>
              </w:tc>
            </w:tr>
            <w:tr w14:paraId="3C27FE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297" w:type="pct"/>
                  <w:vMerge w:val="continue"/>
                  <w:vAlign w:val="center"/>
                </w:tcPr>
                <w:p w14:paraId="46DCEB38">
                  <w:pPr>
                    <w:widowControl w:val="0"/>
                    <w:overflowPunct w:val="0"/>
                    <w:autoSpaceDE w:val="0"/>
                    <w:autoSpaceDN w:val="0"/>
                    <w:snapToGrid w:val="0"/>
                    <w:jc w:val="center"/>
                    <w:rPr>
                      <w14:ligatures w14:val="standardContextual"/>
                    </w:rPr>
                  </w:pPr>
                </w:p>
              </w:tc>
              <w:tc>
                <w:tcPr>
                  <w:tcW w:w="1047" w:type="pct"/>
                  <w:vMerge w:val="continue"/>
                  <w:vAlign w:val="center"/>
                </w:tcPr>
                <w:p w14:paraId="2438A62D">
                  <w:pPr>
                    <w:widowControl w:val="0"/>
                    <w:overflowPunct w:val="0"/>
                    <w:autoSpaceDE w:val="0"/>
                    <w:autoSpaceDN w:val="0"/>
                    <w:snapToGrid w:val="0"/>
                    <w:jc w:val="center"/>
                    <w:rPr>
                      <w14:ligatures w14:val="standardContextual"/>
                    </w:rPr>
                  </w:pPr>
                </w:p>
              </w:tc>
              <w:tc>
                <w:tcPr>
                  <w:tcW w:w="732" w:type="pct"/>
                  <w:vAlign w:val="center"/>
                </w:tcPr>
                <w:p w14:paraId="22D81FB6">
                  <w:pPr>
                    <w:widowControl w:val="0"/>
                    <w:overflowPunct w:val="0"/>
                    <w:autoSpaceDE w:val="0"/>
                    <w:autoSpaceDN w:val="0"/>
                    <w:snapToGrid w:val="0"/>
                    <w:jc w:val="center"/>
                    <w:rPr>
                      <w14:ligatures w14:val="standardContextual"/>
                    </w:rPr>
                  </w:pPr>
                  <w:r>
                    <w:rPr>
                      <w:rFonts w:hint="eastAsia"/>
                      <w14:ligatures w14:val="standardContextual"/>
                    </w:rPr>
                    <w:t>新水量</w:t>
                  </w:r>
                </w:p>
              </w:tc>
              <w:tc>
                <w:tcPr>
                  <w:tcW w:w="732" w:type="pct"/>
                  <w:vAlign w:val="center"/>
                </w:tcPr>
                <w:p w14:paraId="13979DDA">
                  <w:pPr>
                    <w:widowControl w:val="0"/>
                    <w:overflowPunct w:val="0"/>
                    <w:autoSpaceDE w:val="0"/>
                    <w:autoSpaceDN w:val="0"/>
                    <w:snapToGrid w:val="0"/>
                    <w:jc w:val="center"/>
                    <w:rPr>
                      <w14:ligatures w14:val="standardContextual"/>
                    </w:rPr>
                  </w:pPr>
                  <w:r>
                    <w:rPr>
                      <w:rFonts w:hint="eastAsia"/>
                      <w14:ligatures w14:val="standardContextual"/>
                    </w:rPr>
                    <w:t>重复用水</w:t>
                  </w:r>
                </w:p>
              </w:tc>
              <w:tc>
                <w:tcPr>
                  <w:tcW w:w="1266" w:type="pct"/>
                  <w:vAlign w:val="center"/>
                </w:tcPr>
                <w:p w14:paraId="2E155A4A">
                  <w:pPr>
                    <w:widowControl w:val="0"/>
                    <w:overflowPunct w:val="0"/>
                    <w:autoSpaceDE w:val="0"/>
                    <w:autoSpaceDN w:val="0"/>
                    <w:snapToGrid w:val="0"/>
                    <w:jc w:val="center"/>
                    <w:rPr>
                      <w:rFonts w:hint="eastAsia" w:ascii="等线" w:hAnsi="等线"/>
                      <w:sz w:val="22"/>
                      <w:szCs w:val="22"/>
                      <w14:ligatures w14:val="standardContextual"/>
                    </w:rPr>
                  </w:pPr>
                  <w:r>
                    <w:rPr>
                      <w:rFonts w:hint="eastAsia" w:ascii="等线" w:hAnsi="等线"/>
                      <w:sz w:val="22"/>
                      <w:szCs w:val="22"/>
                      <w14:ligatures w14:val="standardContextual"/>
                    </w:rPr>
                    <w:t>消耗量</w:t>
                  </w:r>
                </w:p>
              </w:tc>
              <w:tc>
                <w:tcPr>
                  <w:tcW w:w="926" w:type="pct"/>
                  <w:vAlign w:val="center"/>
                </w:tcPr>
                <w:p w14:paraId="0435A460">
                  <w:pPr>
                    <w:widowControl w:val="0"/>
                    <w:overflowPunct w:val="0"/>
                    <w:autoSpaceDE w:val="0"/>
                    <w:autoSpaceDN w:val="0"/>
                    <w:snapToGrid w:val="0"/>
                    <w:jc w:val="center"/>
                    <w:rPr>
                      <w14:ligatures w14:val="standardContextual"/>
                    </w:rPr>
                  </w:pPr>
                  <w:r>
                    <w:rPr>
                      <w:rFonts w:hint="eastAsia"/>
                      <w14:ligatures w14:val="standardContextual"/>
                    </w:rPr>
                    <w:t>排水量</w:t>
                  </w:r>
                </w:p>
              </w:tc>
            </w:tr>
            <w:tr w14:paraId="219A81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0" w:hRule="atLeast"/>
                <w:jc w:val="center"/>
              </w:trPr>
              <w:tc>
                <w:tcPr>
                  <w:tcW w:w="297" w:type="pct"/>
                  <w:vAlign w:val="center"/>
                </w:tcPr>
                <w:p w14:paraId="7873CEB1">
                  <w:pPr>
                    <w:widowControl w:val="0"/>
                    <w:overflowPunct w:val="0"/>
                    <w:autoSpaceDE w:val="0"/>
                    <w:autoSpaceDN w:val="0"/>
                    <w:snapToGrid w:val="0"/>
                    <w:jc w:val="center"/>
                    <w:rPr>
                      <w14:ligatures w14:val="standardContextual"/>
                    </w:rPr>
                  </w:pPr>
                  <w:r>
                    <w:rPr>
                      <w:rFonts w:hint="eastAsia"/>
                      <w14:ligatures w14:val="standardContextual"/>
                    </w:rPr>
                    <w:t>1</w:t>
                  </w:r>
                </w:p>
              </w:tc>
              <w:tc>
                <w:tcPr>
                  <w:tcW w:w="1047" w:type="pct"/>
                  <w:vAlign w:val="center"/>
                </w:tcPr>
                <w:p w14:paraId="0DCD4D4C">
                  <w:pPr>
                    <w:widowControl w:val="0"/>
                    <w:overflowPunct w:val="0"/>
                    <w:autoSpaceDE w:val="0"/>
                    <w:autoSpaceDN w:val="0"/>
                    <w:snapToGrid w:val="0"/>
                    <w:jc w:val="center"/>
                    <w:rPr>
                      <w14:ligatures w14:val="standardContextual"/>
                    </w:rPr>
                  </w:pPr>
                  <w:r>
                    <w:rPr>
                      <w:rFonts w:hint="eastAsia"/>
                      <w14:ligatures w14:val="standardContextual"/>
                    </w:rPr>
                    <w:t>生活用水</w:t>
                  </w:r>
                </w:p>
              </w:tc>
              <w:tc>
                <w:tcPr>
                  <w:tcW w:w="732" w:type="pct"/>
                  <w:vAlign w:val="center"/>
                </w:tcPr>
                <w:p w14:paraId="61817452">
                  <w:pPr>
                    <w:widowControl w:val="0"/>
                    <w:overflowPunct w:val="0"/>
                    <w:autoSpaceDE w:val="0"/>
                    <w:autoSpaceDN w:val="0"/>
                    <w:snapToGrid w:val="0"/>
                    <w:jc w:val="center"/>
                    <w:rPr>
                      <w14:ligatures w14:val="standardContextual"/>
                    </w:rPr>
                  </w:pPr>
                  <w:r>
                    <w:rPr>
                      <w:rFonts w:hint="eastAsia"/>
                      <w14:ligatures w14:val="standardContextual"/>
                    </w:rPr>
                    <w:t xml:space="preserve">90.0 </w:t>
                  </w:r>
                </w:p>
              </w:tc>
              <w:tc>
                <w:tcPr>
                  <w:tcW w:w="732" w:type="pct"/>
                  <w:vAlign w:val="center"/>
                </w:tcPr>
                <w:p w14:paraId="60C6735A">
                  <w:pPr>
                    <w:widowControl w:val="0"/>
                    <w:overflowPunct w:val="0"/>
                    <w:autoSpaceDE w:val="0"/>
                    <w:autoSpaceDN w:val="0"/>
                    <w:snapToGrid w:val="0"/>
                    <w:jc w:val="center"/>
                    <w:rPr>
                      <w:b/>
                      <w:bCs/>
                      <w14:ligatures w14:val="standardContextual"/>
                    </w:rPr>
                  </w:pPr>
                  <w:r>
                    <w:rPr>
                      <w:rFonts w:hint="eastAsia"/>
                      <w:b/>
                      <w:bCs/>
                      <w14:ligatures w14:val="standardContextual"/>
                    </w:rPr>
                    <w:t>0</w:t>
                  </w:r>
                </w:p>
              </w:tc>
              <w:tc>
                <w:tcPr>
                  <w:tcW w:w="1266" w:type="pct"/>
                  <w:vAlign w:val="center"/>
                </w:tcPr>
                <w:p w14:paraId="2C49F31C">
                  <w:pPr>
                    <w:widowControl w:val="0"/>
                    <w:overflowPunct w:val="0"/>
                    <w:autoSpaceDE w:val="0"/>
                    <w:autoSpaceDN w:val="0"/>
                    <w:snapToGrid w:val="0"/>
                    <w:jc w:val="center"/>
                    <w:rPr>
                      <w14:ligatures w14:val="standardContextual"/>
                    </w:rPr>
                  </w:pPr>
                  <w:r>
                    <w:rPr>
                      <w:rFonts w:hint="eastAsia"/>
                      <w14:ligatures w14:val="standardContextual"/>
                    </w:rPr>
                    <w:t xml:space="preserve">18 </w:t>
                  </w:r>
                </w:p>
              </w:tc>
              <w:tc>
                <w:tcPr>
                  <w:tcW w:w="926" w:type="pct"/>
                  <w:vAlign w:val="center"/>
                </w:tcPr>
                <w:p w14:paraId="2C00466D">
                  <w:pPr>
                    <w:widowControl w:val="0"/>
                    <w:overflowPunct w:val="0"/>
                    <w:autoSpaceDE w:val="0"/>
                    <w:autoSpaceDN w:val="0"/>
                    <w:snapToGrid w:val="0"/>
                    <w:jc w:val="center"/>
                    <w:rPr>
                      <w14:ligatures w14:val="standardContextual"/>
                    </w:rPr>
                  </w:pPr>
                  <w:r>
                    <w:rPr>
                      <w:rFonts w:hint="eastAsia"/>
                      <w14:ligatures w14:val="standardContextual"/>
                    </w:rPr>
                    <w:t xml:space="preserve">72 </w:t>
                  </w:r>
                </w:p>
              </w:tc>
            </w:tr>
            <w:tr w14:paraId="6C6903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0" w:hRule="atLeast"/>
                <w:jc w:val="center"/>
              </w:trPr>
              <w:tc>
                <w:tcPr>
                  <w:tcW w:w="297" w:type="pct"/>
                  <w:vAlign w:val="center"/>
                </w:tcPr>
                <w:p w14:paraId="4112A0F4">
                  <w:pPr>
                    <w:widowControl w:val="0"/>
                    <w:overflowPunct w:val="0"/>
                    <w:autoSpaceDE w:val="0"/>
                    <w:autoSpaceDN w:val="0"/>
                    <w:snapToGrid w:val="0"/>
                    <w:jc w:val="center"/>
                    <w:rPr>
                      <w14:ligatures w14:val="standardContextual"/>
                    </w:rPr>
                  </w:pPr>
                  <w:r>
                    <w:rPr>
                      <w:rFonts w:hint="eastAsia"/>
                      <w14:ligatures w14:val="standardContextual"/>
                    </w:rPr>
                    <w:t>2</w:t>
                  </w:r>
                </w:p>
              </w:tc>
              <w:tc>
                <w:tcPr>
                  <w:tcW w:w="1047" w:type="pct"/>
                  <w:vAlign w:val="center"/>
                </w:tcPr>
                <w:p w14:paraId="02B5877D">
                  <w:pPr>
                    <w:widowControl w:val="0"/>
                    <w:overflowPunct w:val="0"/>
                    <w:autoSpaceDE w:val="0"/>
                    <w:autoSpaceDN w:val="0"/>
                    <w:snapToGrid w:val="0"/>
                    <w:jc w:val="center"/>
                    <w:rPr>
                      <w14:ligatures w14:val="standardContextual"/>
                    </w:rPr>
                  </w:pPr>
                  <w:r>
                    <w:rPr>
                      <w:rFonts w:hint="eastAsia"/>
                      <w14:ligatures w14:val="standardContextual"/>
                    </w:rPr>
                    <w:t>喷雾除尘用水</w:t>
                  </w:r>
                </w:p>
              </w:tc>
              <w:tc>
                <w:tcPr>
                  <w:tcW w:w="732" w:type="pct"/>
                  <w:vAlign w:val="center"/>
                </w:tcPr>
                <w:p w14:paraId="091B6788">
                  <w:pPr>
                    <w:widowControl w:val="0"/>
                    <w:overflowPunct w:val="0"/>
                    <w:autoSpaceDE w:val="0"/>
                    <w:autoSpaceDN w:val="0"/>
                    <w:snapToGrid w:val="0"/>
                    <w:jc w:val="center"/>
                    <w:rPr>
                      <w14:ligatures w14:val="standardContextual"/>
                    </w:rPr>
                  </w:pPr>
                  <w:r>
                    <w:rPr>
                      <w:rFonts w:hint="eastAsia"/>
                      <w14:ligatures w14:val="standardContextual"/>
                    </w:rPr>
                    <w:t xml:space="preserve">3456.0 </w:t>
                  </w:r>
                </w:p>
              </w:tc>
              <w:tc>
                <w:tcPr>
                  <w:tcW w:w="732" w:type="pct"/>
                  <w:vAlign w:val="center"/>
                </w:tcPr>
                <w:p w14:paraId="7B5F8AD2">
                  <w:pPr>
                    <w:widowControl w:val="0"/>
                    <w:overflowPunct w:val="0"/>
                    <w:autoSpaceDE w:val="0"/>
                    <w:autoSpaceDN w:val="0"/>
                    <w:snapToGrid w:val="0"/>
                    <w:jc w:val="center"/>
                    <w:rPr>
                      <w14:ligatures w14:val="standardContextual"/>
                    </w:rPr>
                  </w:pPr>
                  <w:r>
                    <w:rPr>
                      <w:rFonts w:hint="eastAsia"/>
                      <w14:ligatures w14:val="standardContextual"/>
                    </w:rPr>
                    <w:t>0</w:t>
                  </w:r>
                </w:p>
              </w:tc>
              <w:tc>
                <w:tcPr>
                  <w:tcW w:w="1266" w:type="pct"/>
                  <w:vAlign w:val="center"/>
                </w:tcPr>
                <w:p w14:paraId="1B5D96E3">
                  <w:pPr>
                    <w:widowControl w:val="0"/>
                    <w:overflowPunct w:val="0"/>
                    <w:autoSpaceDE w:val="0"/>
                    <w:autoSpaceDN w:val="0"/>
                    <w:snapToGrid w:val="0"/>
                    <w:jc w:val="center"/>
                    <w:rPr>
                      <w14:ligatures w14:val="standardContextual"/>
                    </w:rPr>
                  </w:pPr>
                  <w:r>
                    <w:rPr>
                      <w:rFonts w:hint="eastAsia"/>
                      <w14:ligatures w14:val="standardContextual"/>
                    </w:rPr>
                    <w:t xml:space="preserve">3456 </w:t>
                  </w:r>
                </w:p>
              </w:tc>
              <w:tc>
                <w:tcPr>
                  <w:tcW w:w="926" w:type="pct"/>
                  <w:vAlign w:val="center"/>
                </w:tcPr>
                <w:p w14:paraId="70724FB7">
                  <w:pPr>
                    <w:widowControl w:val="0"/>
                    <w:overflowPunct w:val="0"/>
                    <w:autoSpaceDE w:val="0"/>
                    <w:autoSpaceDN w:val="0"/>
                    <w:snapToGrid w:val="0"/>
                    <w:jc w:val="center"/>
                    <w:rPr>
                      <w14:ligatures w14:val="standardContextual"/>
                    </w:rPr>
                  </w:pPr>
                  <w:r>
                    <w:rPr>
                      <w:rFonts w:hint="eastAsia"/>
                      <w14:ligatures w14:val="standardContextual"/>
                    </w:rPr>
                    <w:t xml:space="preserve">0 </w:t>
                  </w:r>
                </w:p>
              </w:tc>
            </w:tr>
            <w:tr w14:paraId="5EE98C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0" w:hRule="atLeast"/>
                <w:jc w:val="center"/>
              </w:trPr>
              <w:tc>
                <w:tcPr>
                  <w:tcW w:w="297" w:type="pct"/>
                  <w:vAlign w:val="center"/>
                </w:tcPr>
                <w:p w14:paraId="6AFA9E51">
                  <w:pPr>
                    <w:widowControl w:val="0"/>
                    <w:overflowPunct w:val="0"/>
                    <w:autoSpaceDE w:val="0"/>
                    <w:autoSpaceDN w:val="0"/>
                    <w:snapToGrid w:val="0"/>
                    <w:jc w:val="center"/>
                    <w:rPr>
                      <w14:ligatures w14:val="standardContextual"/>
                    </w:rPr>
                  </w:pPr>
                  <w:r>
                    <w:rPr>
                      <w:rFonts w:hint="eastAsia"/>
                      <w14:ligatures w14:val="standardContextual"/>
                    </w:rPr>
                    <w:t>3</w:t>
                  </w:r>
                </w:p>
              </w:tc>
              <w:tc>
                <w:tcPr>
                  <w:tcW w:w="1047" w:type="pct"/>
                  <w:vAlign w:val="center"/>
                </w:tcPr>
                <w:p w14:paraId="2B9889EE">
                  <w:pPr>
                    <w:widowControl w:val="0"/>
                    <w:overflowPunct w:val="0"/>
                    <w:autoSpaceDE w:val="0"/>
                    <w:autoSpaceDN w:val="0"/>
                    <w:snapToGrid w:val="0"/>
                    <w:jc w:val="center"/>
                    <w:rPr>
                      <w14:ligatures w14:val="standardContextual"/>
                    </w:rPr>
                  </w:pPr>
                  <w:r>
                    <w:rPr>
                      <w:rFonts w:hint="eastAsia"/>
                      <w14:ligatures w14:val="standardContextual"/>
                    </w:rPr>
                    <w:t>车辆清洗用水</w:t>
                  </w:r>
                </w:p>
              </w:tc>
              <w:tc>
                <w:tcPr>
                  <w:tcW w:w="732" w:type="pct"/>
                  <w:vAlign w:val="center"/>
                </w:tcPr>
                <w:p w14:paraId="387324FA">
                  <w:pPr>
                    <w:widowControl w:val="0"/>
                    <w:overflowPunct w:val="0"/>
                    <w:autoSpaceDE w:val="0"/>
                    <w:autoSpaceDN w:val="0"/>
                    <w:snapToGrid w:val="0"/>
                    <w:jc w:val="center"/>
                    <w:rPr>
                      <w14:ligatures w14:val="standardContextual"/>
                    </w:rPr>
                  </w:pPr>
                  <w:r>
                    <w:rPr>
                      <w:rFonts w:hint="eastAsia"/>
                      <w14:ligatures w14:val="standardContextual"/>
                    </w:rPr>
                    <w:t xml:space="preserve">150 </w:t>
                  </w:r>
                </w:p>
              </w:tc>
              <w:tc>
                <w:tcPr>
                  <w:tcW w:w="732" w:type="pct"/>
                  <w:vAlign w:val="center"/>
                </w:tcPr>
                <w:p w14:paraId="3B7000B8">
                  <w:pPr>
                    <w:widowControl w:val="0"/>
                    <w:overflowPunct w:val="0"/>
                    <w:autoSpaceDE w:val="0"/>
                    <w:autoSpaceDN w:val="0"/>
                    <w:snapToGrid w:val="0"/>
                    <w:jc w:val="center"/>
                    <w:rPr>
                      <w14:ligatures w14:val="standardContextual"/>
                    </w:rPr>
                  </w:pPr>
                  <w:r>
                    <w:rPr>
                      <w:rFonts w:hint="eastAsia"/>
                      <w14:ligatures w14:val="standardContextual"/>
                    </w:rPr>
                    <w:t xml:space="preserve">350 </w:t>
                  </w:r>
                </w:p>
              </w:tc>
              <w:tc>
                <w:tcPr>
                  <w:tcW w:w="1266" w:type="pct"/>
                  <w:vAlign w:val="center"/>
                </w:tcPr>
                <w:p w14:paraId="51AC1FD1">
                  <w:pPr>
                    <w:widowControl w:val="0"/>
                    <w:overflowPunct w:val="0"/>
                    <w:autoSpaceDE w:val="0"/>
                    <w:autoSpaceDN w:val="0"/>
                    <w:snapToGrid w:val="0"/>
                    <w:jc w:val="center"/>
                    <w:rPr>
                      <w14:ligatures w14:val="standardContextual"/>
                    </w:rPr>
                  </w:pPr>
                  <w:r>
                    <w:rPr>
                      <w:rFonts w:hint="eastAsia"/>
                      <w14:ligatures w14:val="standardContextual"/>
                    </w:rPr>
                    <w:t xml:space="preserve">150 </w:t>
                  </w:r>
                </w:p>
              </w:tc>
              <w:tc>
                <w:tcPr>
                  <w:tcW w:w="926" w:type="pct"/>
                  <w:vAlign w:val="center"/>
                </w:tcPr>
                <w:p w14:paraId="534D7E0D">
                  <w:pPr>
                    <w:widowControl w:val="0"/>
                    <w:overflowPunct w:val="0"/>
                    <w:autoSpaceDE w:val="0"/>
                    <w:autoSpaceDN w:val="0"/>
                    <w:snapToGrid w:val="0"/>
                    <w:jc w:val="center"/>
                    <w:rPr>
                      <w14:ligatures w14:val="standardContextual"/>
                    </w:rPr>
                  </w:pPr>
                  <w:r>
                    <w:rPr>
                      <w:rFonts w:hint="eastAsia"/>
                      <w14:ligatures w14:val="standardContextual"/>
                    </w:rPr>
                    <w:t xml:space="preserve">0 </w:t>
                  </w:r>
                </w:p>
              </w:tc>
            </w:tr>
            <w:tr w14:paraId="13087E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0" w:hRule="atLeast"/>
                <w:jc w:val="center"/>
              </w:trPr>
              <w:tc>
                <w:tcPr>
                  <w:tcW w:w="1344" w:type="pct"/>
                  <w:gridSpan w:val="2"/>
                  <w:vAlign w:val="center"/>
                </w:tcPr>
                <w:p w14:paraId="3D1B36A5">
                  <w:pPr>
                    <w:widowControl w:val="0"/>
                    <w:overflowPunct w:val="0"/>
                    <w:autoSpaceDE w:val="0"/>
                    <w:autoSpaceDN w:val="0"/>
                    <w:snapToGrid w:val="0"/>
                    <w:jc w:val="center"/>
                    <w:rPr>
                      <w14:ligatures w14:val="standardContextual"/>
                    </w:rPr>
                  </w:pPr>
                  <w:r>
                    <w:rPr>
                      <w:rFonts w:hint="eastAsia"/>
                      <w14:ligatures w14:val="standardContextual"/>
                    </w:rPr>
                    <w:t>合计</w:t>
                  </w:r>
                </w:p>
              </w:tc>
              <w:tc>
                <w:tcPr>
                  <w:tcW w:w="732" w:type="pct"/>
                  <w:vAlign w:val="center"/>
                </w:tcPr>
                <w:p w14:paraId="1F31A9D4">
                  <w:pPr>
                    <w:widowControl w:val="0"/>
                    <w:overflowPunct w:val="0"/>
                    <w:autoSpaceDE w:val="0"/>
                    <w:autoSpaceDN w:val="0"/>
                    <w:snapToGrid w:val="0"/>
                    <w:jc w:val="center"/>
                    <w:rPr>
                      <w14:ligatures w14:val="standardContextual"/>
                    </w:rPr>
                  </w:pPr>
                  <w:r>
                    <w:rPr>
                      <w:rFonts w:hint="eastAsia"/>
                      <w14:ligatures w14:val="standardContextual"/>
                    </w:rPr>
                    <w:t>3696</w:t>
                  </w:r>
                </w:p>
              </w:tc>
              <w:tc>
                <w:tcPr>
                  <w:tcW w:w="732" w:type="pct"/>
                  <w:vAlign w:val="center"/>
                </w:tcPr>
                <w:p w14:paraId="0ACFA5BE">
                  <w:pPr>
                    <w:widowControl w:val="0"/>
                    <w:overflowPunct w:val="0"/>
                    <w:autoSpaceDE w:val="0"/>
                    <w:autoSpaceDN w:val="0"/>
                    <w:snapToGrid w:val="0"/>
                    <w:jc w:val="center"/>
                    <w:rPr>
                      <w14:ligatures w14:val="standardContextual"/>
                    </w:rPr>
                  </w:pPr>
                  <w:r>
                    <w:rPr>
                      <w:rFonts w:hint="eastAsia"/>
                      <w14:ligatures w14:val="standardContextual"/>
                    </w:rPr>
                    <w:t>350</w:t>
                  </w:r>
                </w:p>
              </w:tc>
              <w:tc>
                <w:tcPr>
                  <w:tcW w:w="1266" w:type="pct"/>
                  <w:vAlign w:val="center"/>
                </w:tcPr>
                <w:p w14:paraId="7A232CEB">
                  <w:pPr>
                    <w:widowControl w:val="0"/>
                    <w:overflowPunct w:val="0"/>
                    <w:autoSpaceDE w:val="0"/>
                    <w:autoSpaceDN w:val="0"/>
                    <w:snapToGrid w:val="0"/>
                    <w:jc w:val="center"/>
                    <w:rPr>
                      <w14:ligatures w14:val="standardContextual"/>
                    </w:rPr>
                  </w:pPr>
                  <w:r>
                    <w:rPr>
                      <w:rFonts w:hint="eastAsia"/>
                      <w14:ligatures w14:val="standardContextual"/>
                    </w:rPr>
                    <w:t>0</w:t>
                  </w:r>
                </w:p>
              </w:tc>
              <w:tc>
                <w:tcPr>
                  <w:tcW w:w="926" w:type="pct"/>
                  <w:vAlign w:val="center"/>
                </w:tcPr>
                <w:p w14:paraId="327F378C">
                  <w:pPr>
                    <w:widowControl w:val="0"/>
                    <w:overflowPunct w:val="0"/>
                    <w:autoSpaceDE w:val="0"/>
                    <w:autoSpaceDN w:val="0"/>
                    <w:snapToGrid w:val="0"/>
                    <w:jc w:val="center"/>
                    <w:rPr>
                      <w14:ligatures w14:val="standardContextual"/>
                    </w:rPr>
                  </w:pPr>
                  <w:r>
                    <w:rPr>
                      <w:rFonts w:hint="eastAsia"/>
                      <w14:ligatures w14:val="standardContextual"/>
                    </w:rPr>
                    <w:t>72</w:t>
                  </w:r>
                </w:p>
              </w:tc>
            </w:tr>
          </w:tbl>
          <w:p w14:paraId="59C4541A">
            <w:pPr>
              <w:pStyle w:val="50"/>
            </w:pPr>
            <w:r>
              <w:drawing>
                <wp:inline distT="0" distB="0" distL="0" distR="0">
                  <wp:extent cx="4572000" cy="2023110"/>
                  <wp:effectExtent l="0" t="0" r="0" b="0"/>
                  <wp:docPr id="5907467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46764" name="图片 1"/>
                          <pic:cNvPicPr>
                            <a:picLocks noChangeAspect="1"/>
                          </pic:cNvPicPr>
                        </pic:nvPicPr>
                        <pic:blipFill>
                          <a:blip r:embed="rId15"/>
                          <a:stretch>
                            <a:fillRect/>
                          </a:stretch>
                        </pic:blipFill>
                        <pic:spPr>
                          <a:xfrm>
                            <a:off x="0" y="0"/>
                            <a:ext cx="4572000" cy="2023384"/>
                          </a:xfrm>
                          <a:prstGeom prst="rect">
                            <a:avLst/>
                          </a:prstGeom>
                        </pic:spPr>
                      </pic:pic>
                    </a:graphicData>
                  </a:graphic>
                </wp:inline>
              </w:drawing>
            </w:r>
          </w:p>
          <w:p w14:paraId="78387D51">
            <w:pPr>
              <w:pStyle w:val="48"/>
            </w:pPr>
            <w:r>
              <w:rPr>
                <w:rFonts w:hint="eastAsia"/>
              </w:rPr>
              <w:t xml:space="preserve">图2- </w:t>
            </w:r>
            <w:r>
              <w:fldChar w:fldCharType="begin"/>
            </w:r>
            <w:r>
              <w:instrText xml:space="preserve"> </w:instrText>
            </w:r>
            <w:r>
              <w:rPr>
                <w:rFonts w:hint="eastAsia"/>
              </w:rPr>
              <w:instrText xml:space="preserve">SEQ 图2- \* ARABIC</w:instrText>
            </w:r>
            <w:r>
              <w:instrText xml:space="preserve"> </w:instrText>
            </w:r>
            <w:r>
              <w:fldChar w:fldCharType="separate"/>
            </w:r>
            <w:r>
              <w:t>1</w:t>
            </w:r>
            <w:r>
              <w:fldChar w:fldCharType="end"/>
            </w:r>
            <w:r>
              <w:rPr>
                <w:rFonts w:hint="eastAsia"/>
              </w:rPr>
              <w:t>：本项目水平衡图（单位m³/a）</w:t>
            </w:r>
          </w:p>
          <w:p w14:paraId="31E33C9E">
            <w:pPr>
              <w:pStyle w:val="7"/>
            </w:pPr>
            <w:r>
              <w:rPr>
                <w:rFonts w:hint="eastAsia"/>
              </w:rPr>
              <w:t>十、平面布置</w:t>
            </w:r>
          </w:p>
          <w:p w14:paraId="688DCFBA">
            <w:pPr>
              <w:pStyle w:val="3"/>
              <w:ind w:firstLine="480"/>
            </w:pPr>
            <w:r>
              <w:rPr>
                <w:rFonts w:hint="eastAsia"/>
              </w:rPr>
              <w:t>本项目选址位于广西壮族自治区钦州市保税港大街北面、陆海大道东面、中伟一期项目南面，总占地面积为</w:t>
            </w:r>
            <w:r>
              <w:t>20737.08</w:t>
            </w:r>
            <w:r>
              <w:rPr>
                <w:rFonts w:hint="eastAsia"/>
              </w:rPr>
              <w:t>m</w:t>
            </w:r>
            <w:r>
              <w:rPr>
                <w:rFonts w:hint="eastAsia"/>
                <w:vertAlign w:val="superscript"/>
              </w:rPr>
              <w:t>2</w:t>
            </w:r>
            <w:r>
              <w:rPr>
                <w:rFonts w:hint="eastAsia"/>
              </w:rPr>
              <w:t>，出入口设在厂区西侧临近陆海大道处。项目厂区整体呈长方形，西侧入口处设置会议室、办公室、仓库、值班室，中部设置生产车间，</w:t>
            </w:r>
            <w:r>
              <w:rPr>
                <w:rFonts w:hint="eastAsia"/>
                <w:lang w:eastAsia="zh-CN"/>
              </w:rPr>
              <w:t>再</w:t>
            </w:r>
            <w:r>
              <w:rPr>
                <w:rFonts w:hint="eastAsia"/>
              </w:rPr>
              <w:t>往东设置堆料区，最东侧设置表土堆放场。生产车间内设置一条垃圾分选生产线，位于车间南侧区域。</w:t>
            </w:r>
          </w:p>
          <w:p w14:paraId="10A211D8">
            <w:pPr>
              <w:pStyle w:val="3"/>
              <w:ind w:firstLine="480"/>
            </w:pPr>
            <w:r>
              <w:rPr>
                <w:rFonts w:hint="eastAsia"/>
              </w:rPr>
              <w:t>本项目总平面布置分区明确、人货分流、满足工艺流程顺畅和原辅料、产品等的运输方便要求，产生的污染物对周围环境敏感点无明显影响，厂区平面布置合理可行。</w:t>
            </w:r>
          </w:p>
          <w:p w14:paraId="016CFB46">
            <w:pPr>
              <w:pStyle w:val="3"/>
              <w:ind w:firstLine="480"/>
            </w:pPr>
            <w:r>
              <w:rPr>
                <w:rFonts w:hint="eastAsia"/>
              </w:rPr>
              <w:t>项目总平面布置见附图2。</w:t>
            </w:r>
          </w:p>
          <w:p w14:paraId="7599382F">
            <w:pPr>
              <w:pStyle w:val="3"/>
              <w:ind w:firstLine="480"/>
            </w:pPr>
          </w:p>
        </w:tc>
      </w:tr>
    </w:tbl>
    <w:p w14:paraId="53597BBC">
      <w:pPr>
        <w:rPr>
          <w:vertAlign w:val="subscript"/>
        </w:rPr>
      </w:pP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67"/>
        <w:gridCol w:w="8593"/>
      </w:tblGrid>
      <w:tr w14:paraId="54DC44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37" w:hRule="atLeast"/>
          <w:jc w:val="center"/>
        </w:trPr>
        <w:tc>
          <w:tcPr>
            <w:tcW w:w="258" w:type="pct"/>
            <w:vAlign w:val="center"/>
          </w:tcPr>
          <w:p w14:paraId="5DFA11C4">
            <w:pPr>
              <w:pStyle w:val="18"/>
              <w:rPr>
                <w:rFonts w:hint="eastAsia"/>
              </w:rPr>
            </w:pPr>
            <w:bookmarkStart w:id="29" w:name="_Toc175609270"/>
            <w:r>
              <w:rPr>
                <w:rFonts w:hint="eastAsia"/>
              </w:rPr>
              <w:t>工艺流程和产排污环节</w:t>
            </w:r>
            <w:bookmarkEnd w:id="29"/>
          </w:p>
        </w:tc>
        <w:tc>
          <w:tcPr>
            <w:tcW w:w="4742" w:type="pct"/>
          </w:tcPr>
          <w:p w14:paraId="6B593310">
            <w:pPr>
              <w:pStyle w:val="7"/>
            </w:pPr>
            <w:r>
              <w:rPr>
                <w:rFonts w:hint="eastAsia"/>
              </w:rPr>
              <w:t>一、施工期</w:t>
            </w:r>
          </w:p>
          <w:p w14:paraId="1A96F0C1">
            <w:pPr>
              <w:pStyle w:val="3"/>
              <w:ind w:firstLine="480"/>
            </w:pPr>
            <w:r>
              <w:rPr>
                <w:rFonts w:hint="eastAsia"/>
              </w:rPr>
              <w:t>本项目施工内容包括钻桩、地基开挖、基础浇筑、板房安装、室内外装修、设备安装调试。</w:t>
            </w:r>
          </w:p>
          <w:p w14:paraId="0EE74248">
            <w:pPr>
              <w:pStyle w:val="50"/>
            </w:pPr>
            <w:r>
              <w:drawing>
                <wp:inline distT="0" distB="0" distL="0" distR="0">
                  <wp:extent cx="4358640" cy="2523490"/>
                  <wp:effectExtent l="0" t="0" r="3810" b="0"/>
                  <wp:docPr id="8156968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696812" name="图片 1"/>
                          <pic:cNvPicPr>
                            <a:picLocks noChangeAspect="1"/>
                          </pic:cNvPicPr>
                        </pic:nvPicPr>
                        <pic:blipFill>
                          <a:blip r:embed="rId16" cstate="screen"/>
                          <a:stretch>
                            <a:fillRect/>
                          </a:stretch>
                        </pic:blipFill>
                        <pic:spPr>
                          <a:xfrm>
                            <a:off x="0" y="0"/>
                            <a:ext cx="4358827" cy="2523921"/>
                          </a:xfrm>
                          <a:prstGeom prst="rect">
                            <a:avLst/>
                          </a:prstGeom>
                        </pic:spPr>
                      </pic:pic>
                    </a:graphicData>
                  </a:graphic>
                </wp:inline>
              </w:drawing>
            </w:r>
          </w:p>
          <w:p w14:paraId="1AED4605">
            <w:pPr>
              <w:pStyle w:val="48"/>
            </w:pPr>
            <w:r>
              <w:rPr>
                <w:rFonts w:hint="eastAsia"/>
              </w:rPr>
              <w:t xml:space="preserve">图2- </w:t>
            </w:r>
            <w:r>
              <w:fldChar w:fldCharType="begin"/>
            </w:r>
            <w:r>
              <w:instrText xml:space="preserve"> </w:instrText>
            </w:r>
            <w:r>
              <w:rPr>
                <w:rFonts w:hint="eastAsia"/>
              </w:rPr>
              <w:instrText xml:space="preserve">SEQ 图2- \* ARABIC</w:instrText>
            </w:r>
            <w:r>
              <w:instrText xml:space="preserve"> </w:instrText>
            </w:r>
            <w:r>
              <w:fldChar w:fldCharType="separate"/>
            </w:r>
            <w:r>
              <w:t>2</w:t>
            </w:r>
            <w:r>
              <w:fldChar w:fldCharType="end"/>
            </w:r>
            <w:r>
              <w:rPr>
                <w:rFonts w:hint="eastAsia"/>
              </w:rPr>
              <w:t>：施工期工艺流程图</w:t>
            </w:r>
          </w:p>
          <w:p w14:paraId="00E708CA">
            <w:pPr>
              <w:pStyle w:val="3"/>
              <w:ind w:firstLine="480"/>
            </w:pPr>
            <w:r>
              <w:rPr>
                <w:rFonts w:hint="eastAsia"/>
              </w:rPr>
              <w:t>①钻桩：</w:t>
            </w:r>
          </w:p>
          <w:p w14:paraId="3A48D6D2">
            <w:pPr>
              <w:pStyle w:val="3"/>
              <w:ind w:firstLine="480"/>
            </w:pPr>
            <w:r>
              <w:rPr>
                <w:rFonts w:hint="eastAsia"/>
              </w:rPr>
              <w:t>一般地面不能承受地面建筑物的压力，通常需要打入地桩，将</w:t>
            </w:r>
            <w:r>
              <w:rPr>
                <w:rFonts w:hint="eastAsia"/>
                <w:lang w:eastAsia="zh-CN"/>
              </w:rPr>
              <w:t>建</w:t>
            </w:r>
            <w:r>
              <w:rPr>
                <w:rFonts w:hint="eastAsia"/>
              </w:rPr>
              <w:t>筑物压力通过地桩传到地面深处，以此满足建设建筑物的压力承载需要。为</w:t>
            </w:r>
            <w:r>
              <w:rPr>
                <w:rFonts w:hint="eastAsia"/>
                <w:lang w:eastAsia="zh-CN"/>
              </w:rPr>
              <w:t>提</w:t>
            </w:r>
            <w:r>
              <w:rPr>
                <w:rFonts w:hint="eastAsia"/>
              </w:rPr>
              <w:t>高工作效率及减少噪声、振动对周边环境的影响，项目拟采用液压螺旋桩替代传统的钻桩方式和机械打桩方式。液压螺旋桩是一种通过动力头带动钻杆钻头向地下钻机成孔的打桩设备，具有低噪声，施工垃圾产生量小的特点。主要污染物为施工机械产生的噪声、施工扬尘、机械尾气、建筑垃圾。</w:t>
            </w:r>
          </w:p>
          <w:p w14:paraId="1765FAED">
            <w:pPr>
              <w:pStyle w:val="3"/>
              <w:ind w:firstLine="480"/>
            </w:pPr>
            <w:r>
              <w:rPr>
                <w:rFonts w:hint="eastAsia"/>
              </w:rPr>
              <w:t>②地基开挖：</w:t>
            </w:r>
          </w:p>
          <w:p w14:paraId="3E5823B9">
            <w:pPr>
              <w:pStyle w:val="3"/>
              <w:ind w:firstLine="480"/>
            </w:pPr>
            <w:r>
              <w:rPr>
                <w:rFonts w:hint="eastAsia"/>
              </w:rPr>
              <w:t>地基开挖一般是将软土层挖至设计标高。主要污染物为施工机械产生的噪声、施工扬尘、机械尾气、建筑垃圾。</w:t>
            </w:r>
          </w:p>
          <w:p w14:paraId="565F50F0">
            <w:pPr>
              <w:pStyle w:val="3"/>
              <w:ind w:firstLine="480"/>
            </w:pPr>
            <w:r>
              <w:rPr>
                <w:rFonts w:hint="eastAsia"/>
              </w:rPr>
              <w:t>③基础浇筑：</w:t>
            </w:r>
          </w:p>
          <w:p w14:paraId="21B0F423">
            <w:pPr>
              <w:pStyle w:val="3"/>
              <w:ind w:firstLine="480"/>
            </w:pPr>
            <w:r>
              <w:rPr>
                <w:rFonts w:hint="eastAsia"/>
              </w:rPr>
              <w:t>项目主要采用商品混凝土进行浇筑。放入钢筋骨架，用溜筒注入预先拌制均匀的混凝土。混凝土成型后，为了保证水泥水化作用能正常进行，采用浇水养护，防止水分过早蒸发或冻结。浇筑基础时主要污染物为施工机械产生的噪声、施工扬尘、机械尾气、建筑垃圾。</w:t>
            </w:r>
          </w:p>
          <w:p w14:paraId="1C929A3D">
            <w:pPr>
              <w:pStyle w:val="3"/>
              <w:ind w:firstLine="480"/>
            </w:pPr>
            <w:r>
              <w:rPr>
                <w:rFonts w:hint="eastAsia"/>
              </w:rPr>
              <w:t>④板房安装：</w:t>
            </w:r>
          </w:p>
          <w:p w14:paraId="3F33E07D">
            <w:pPr>
              <w:pStyle w:val="3"/>
              <w:ind w:firstLine="480"/>
            </w:pPr>
            <w:r>
              <w:rPr>
                <w:rFonts w:hint="eastAsia"/>
              </w:rPr>
              <w:t>A.安装基础和支撑结构：a.安装钢架和支撑结构：根据设计图纸，安装活动房的钢架和支撑结构，确保其稳定性和承重能力。b.安装基础板：在钢架下方安装基础板，以增加活动房的稳定性和承重能力。B.安装墙体和屋顶a.安装墙体：根据设计图纸，安装活动房的墙体，包括外侧板、内侧板、保温材料等。b.安装屋顶：安装活动房的屋顶，包括屋面板、保温材料等。C.安装门窗和其他配件a.安装门窗：根据设计图纸，安装活动房的门窗，包括玻璃、窗框、门板等。b.安装其他配件：根据客户需求，安装其他配件，如通风设备、照明设备等。活动板房安装时主要污染物为施工机械产生的噪声、施工扬尘、机械尾气、建筑垃圾。</w:t>
            </w:r>
          </w:p>
          <w:p w14:paraId="4437FC71">
            <w:pPr>
              <w:pStyle w:val="3"/>
              <w:ind w:firstLine="480"/>
            </w:pPr>
            <w:r>
              <w:rPr>
                <w:rFonts w:hint="eastAsia"/>
              </w:rPr>
              <w:t>⑤室内外装修：</w:t>
            </w:r>
          </w:p>
          <w:p w14:paraId="32DC5D82">
            <w:pPr>
              <w:pStyle w:val="3"/>
              <w:ind w:firstLine="480"/>
            </w:pPr>
            <w:r>
              <w:rPr>
                <w:rFonts w:hint="eastAsia"/>
              </w:rPr>
              <w:t>项目室内外装修由专业装修公司承担。装修过程中将产生装修噪声、装修废气和建筑垃圾，装修废气主要为颗粒物、二甲苯等。</w:t>
            </w:r>
          </w:p>
          <w:p w14:paraId="4AFC11A1">
            <w:pPr>
              <w:pStyle w:val="3"/>
              <w:ind w:firstLine="480"/>
            </w:pPr>
            <w:r>
              <w:rPr>
                <w:rFonts w:hint="eastAsia"/>
              </w:rPr>
              <w:t>⑥设备安装调试：</w:t>
            </w:r>
          </w:p>
          <w:p w14:paraId="433D1951">
            <w:pPr>
              <w:pStyle w:val="3"/>
              <w:ind w:firstLine="480"/>
            </w:pPr>
            <w:r>
              <w:rPr>
                <w:rFonts w:hint="eastAsia"/>
              </w:rPr>
              <w:t>项目建成后，各类设备将由设备供应商安装，并由厂商完成调试工作。在安装调试过程中将产生噪声。</w:t>
            </w:r>
          </w:p>
          <w:p w14:paraId="484CD297">
            <w:pPr>
              <w:pStyle w:val="7"/>
            </w:pPr>
            <w:r>
              <w:rPr>
                <w:rFonts w:hint="eastAsia"/>
              </w:rPr>
              <w:t>二、运营期</w:t>
            </w:r>
          </w:p>
          <w:p w14:paraId="575BE154">
            <w:pPr>
              <w:pStyle w:val="3"/>
              <w:ind w:firstLine="480"/>
            </w:pPr>
            <w:r>
              <w:rPr>
                <w:rFonts w:hint="eastAsia"/>
              </w:rPr>
              <w:t>1、运营期生产工艺流程及产污节点</w:t>
            </w:r>
          </w:p>
          <w:p w14:paraId="29C63792">
            <w:pPr>
              <w:pStyle w:val="50"/>
            </w:pPr>
            <w:r>
              <w:drawing>
                <wp:inline distT="0" distB="0" distL="0" distR="0">
                  <wp:extent cx="3900805" cy="4923790"/>
                  <wp:effectExtent l="0" t="0" r="4445" b="0"/>
                  <wp:docPr id="16739486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948620" name="图片 1"/>
                          <pic:cNvPicPr>
                            <a:picLocks noChangeAspect="1"/>
                          </pic:cNvPicPr>
                        </pic:nvPicPr>
                        <pic:blipFill>
                          <a:blip r:embed="rId17"/>
                          <a:stretch>
                            <a:fillRect/>
                          </a:stretch>
                        </pic:blipFill>
                        <pic:spPr>
                          <a:xfrm>
                            <a:off x="0" y="0"/>
                            <a:ext cx="3901369" cy="4924805"/>
                          </a:xfrm>
                          <a:prstGeom prst="rect">
                            <a:avLst/>
                          </a:prstGeom>
                        </pic:spPr>
                      </pic:pic>
                    </a:graphicData>
                  </a:graphic>
                </wp:inline>
              </w:drawing>
            </w:r>
          </w:p>
          <w:p w14:paraId="7B682795">
            <w:pPr>
              <w:pStyle w:val="48"/>
            </w:pPr>
            <w:r>
              <w:rPr>
                <w:rFonts w:hint="eastAsia"/>
              </w:rPr>
              <w:t xml:space="preserve">图2- </w:t>
            </w:r>
            <w:r>
              <w:fldChar w:fldCharType="begin"/>
            </w:r>
            <w:r>
              <w:instrText xml:space="preserve"> </w:instrText>
            </w:r>
            <w:r>
              <w:rPr>
                <w:rFonts w:hint="eastAsia"/>
              </w:rPr>
              <w:instrText xml:space="preserve">SEQ 图2- \* ARABIC</w:instrText>
            </w:r>
            <w:r>
              <w:instrText xml:space="preserve"> </w:instrText>
            </w:r>
            <w:r>
              <w:fldChar w:fldCharType="separate"/>
            </w:r>
            <w:r>
              <w:t>3</w:t>
            </w:r>
            <w:r>
              <w:fldChar w:fldCharType="end"/>
            </w:r>
            <w:r>
              <w:rPr>
                <w:rFonts w:hint="eastAsia"/>
              </w:rPr>
              <w:t>：生产工艺流程及产排污节点图</w:t>
            </w:r>
          </w:p>
          <w:p w14:paraId="34729456">
            <w:pPr>
              <w:pStyle w:val="3"/>
              <w:ind w:firstLine="480"/>
            </w:pPr>
            <w:r>
              <w:rPr>
                <w:rFonts w:hint="eastAsia"/>
              </w:rPr>
              <w:t>1、卸料、贮存</w:t>
            </w:r>
          </w:p>
          <w:p w14:paraId="75962654">
            <w:pPr>
              <w:pStyle w:val="3"/>
              <w:ind w:firstLine="480"/>
            </w:pPr>
            <w:r>
              <w:rPr>
                <w:rFonts w:hint="eastAsia"/>
              </w:rPr>
              <w:t>进厂的建筑垃圾在经过称重之后，在生产车间内建筑垃圾堆料区卸料并堆存。</w:t>
            </w:r>
          </w:p>
          <w:p w14:paraId="14213EA9">
            <w:pPr>
              <w:pStyle w:val="3"/>
              <w:ind w:firstLine="480"/>
            </w:pPr>
            <w:r>
              <w:rPr>
                <w:rFonts w:hint="eastAsia"/>
              </w:rPr>
              <w:t>该过程主要污染是卸料、贮存、</w:t>
            </w:r>
            <w:r>
              <w:rPr>
                <w:rFonts w:hint="eastAsia"/>
                <w:color w:val="auto"/>
              </w:rPr>
              <w:t>上料粉尘。建筑垃圾堆料区设置在生产车间内，通过设置喷雾除尘后无组织排放。</w:t>
            </w:r>
          </w:p>
          <w:p w14:paraId="714B7311">
            <w:pPr>
              <w:pStyle w:val="3"/>
              <w:ind w:firstLine="480"/>
            </w:pPr>
            <w:r>
              <w:rPr>
                <w:rFonts w:hint="eastAsia"/>
              </w:rPr>
              <w:t>2、预分选</w:t>
            </w:r>
          </w:p>
          <w:p w14:paraId="262DEB6D">
            <w:pPr>
              <w:pStyle w:val="3"/>
              <w:ind w:firstLine="480"/>
            </w:pPr>
            <w:r>
              <w:rPr>
                <w:rFonts w:hint="eastAsia"/>
              </w:rPr>
              <w:t>本项目入场建筑垃圾经预分选后，不可利用垃圾（主要为废土料和大件轻物质）收集后外售综合利用，可利用垃圾（主要为混凝土块，混杂有废金属料以及一些轻物质）进入生产车间垃圾分选生产线。</w:t>
            </w:r>
          </w:p>
          <w:p w14:paraId="754F9705">
            <w:pPr>
              <w:pStyle w:val="3"/>
              <w:ind w:firstLine="480"/>
            </w:pPr>
            <w:r>
              <w:rPr>
                <w:rFonts w:hint="eastAsia"/>
              </w:rPr>
              <w:t>该过程会产生固体废物废土料、大件轻物质，集中收集、分类堆放，外售综合利用。</w:t>
            </w:r>
          </w:p>
          <w:p w14:paraId="63EBB0AD">
            <w:pPr>
              <w:pStyle w:val="3"/>
              <w:ind w:firstLine="480"/>
            </w:pPr>
            <w:r>
              <w:rPr>
                <w:rFonts w:hint="eastAsia"/>
              </w:rPr>
              <w:t>3、破碎、筛分、磁选、风选</w:t>
            </w:r>
          </w:p>
          <w:p w14:paraId="60CE72A0">
            <w:pPr>
              <w:pStyle w:val="3"/>
              <w:ind w:firstLine="480"/>
              <w:rPr>
                <w:color w:val="auto"/>
              </w:rPr>
            </w:pPr>
            <w:r>
              <w:rPr>
                <w:rFonts w:hint="eastAsia"/>
              </w:rPr>
              <w:t>建筑垃圾通过链板给料机送入双轴撕碎机进行破碎，然后送入滚筒筛分机进行筛分和磁选除铁。滚筒筛分机中的筛上物通过皮带机送入综合风选机进行风选，筛下物和风选机选出的重物质分别通过皮带机进行收集作为产品碎石，风选机选出的轻物质（主要成分包括废塑料、废木材）送入全自动打包机，打包后外售综</w:t>
            </w:r>
            <w:r>
              <w:rPr>
                <w:rFonts w:hint="eastAsia"/>
                <w:color w:val="auto"/>
              </w:rPr>
              <w:t>合利用。</w:t>
            </w:r>
          </w:p>
          <w:p w14:paraId="0CFBB73E">
            <w:pPr>
              <w:pStyle w:val="3"/>
              <w:ind w:firstLine="480"/>
            </w:pPr>
            <w:r>
              <w:rPr>
                <w:rFonts w:hint="eastAsia"/>
                <w:color w:val="auto"/>
              </w:rPr>
              <w:t>该过程会产生破碎、筛分、磁选、风选粉尘，废金属、轻物质。破碎、筛分、磁选、风选粉尘经集气</w:t>
            </w:r>
            <w:r>
              <w:rPr>
                <w:rFonts w:hint="eastAsia"/>
              </w:rPr>
              <w:t>罩收集由布袋除尘器处理后通过15m高排气筒（DA001）排放。废金属、轻物质，集中收集、分类堆放，外售综合利用。</w:t>
            </w:r>
          </w:p>
          <w:p w14:paraId="6E6BFA78">
            <w:pPr>
              <w:pStyle w:val="48"/>
            </w:pPr>
            <w:bookmarkStart w:id="30" w:name="_Ref176884529"/>
            <w:bookmarkStart w:id="31" w:name="_Ref186212314"/>
            <w:r>
              <w:rPr>
                <w:rFonts w:hint="eastAsia"/>
              </w:rPr>
              <w:t xml:space="preserve">表2- </w:t>
            </w:r>
            <w:r>
              <w:fldChar w:fldCharType="begin"/>
            </w:r>
            <w:r>
              <w:instrText xml:space="preserve"> </w:instrText>
            </w:r>
            <w:r>
              <w:rPr>
                <w:rFonts w:hint="eastAsia"/>
              </w:rPr>
              <w:instrText xml:space="preserve">SEQ 表2- \* ARABIC</w:instrText>
            </w:r>
            <w:r>
              <w:instrText xml:space="preserve"> </w:instrText>
            </w:r>
            <w:r>
              <w:fldChar w:fldCharType="separate"/>
            </w:r>
            <w:r>
              <w:t>8</w:t>
            </w:r>
            <w:r>
              <w:fldChar w:fldCharType="end"/>
            </w:r>
            <w:r>
              <w:rPr>
                <w:rFonts w:hint="eastAsia"/>
              </w:rPr>
              <w:t>：</w:t>
            </w:r>
            <w:bookmarkStart w:id="32" w:name="OLE_LINK10"/>
            <w:r>
              <w:rPr>
                <w:rFonts w:hint="eastAsia"/>
              </w:rPr>
              <w:t>主要产排污节点一览表</w:t>
            </w:r>
            <w:bookmarkEnd w:id="30"/>
            <w:bookmarkEnd w:id="31"/>
            <w:bookmarkEnd w:id="32"/>
          </w:p>
          <w:tbl>
            <w:tblPr>
              <w:tblStyle w:val="4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437"/>
              <w:gridCol w:w="581"/>
              <w:gridCol w:w="1240"/>
              <w:gridCol w:w="1672"/>
              <w:gridCol w:w="1379"/>
              <w:gridCol w:w="749"/>
              <w:gridCol w:w="2319"/>
            </w:tblGrid>
            <w:tr w14:paraId="04A7B7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65" w:hRule="atLeast"/>
                <w:jc w:val="center"/>
              </w:trPr>
              <w:tc>
                <w:tcPr>
                  <w:tcW w:w="261" w:type="pc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3F74BB5D">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14:ligatures w14:val="standardContextual"/>
                    </w:rPr>
                  </w:pPr>
                  <w:r>
                    <w:rPr>
                      <w:rFonts w:hint="default" w:ascii="Times New Roman" w:hAnsi="Times New Roman" w:eastAsia="宋体" w:cs="Times New Roman"/>
                      <w:b/>
                      <w:i w:val="0"/>
                      <w14:ligatures w14:val="standardContextual"/>
                    </w:rPr>
                    <w:t>污染</w:t>
                  </w:r>
                </w:p>
              </w:tc>
              <w:tc>
                <w:tcPr>
                  <w:tcW w:w="347"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48DEA375">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编号</w:t>
                  </w:r>
                </w:p>
              </w:tc>
              <w:tc>
                <w:tcPr>
                  <w:tcW w:w="740"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6B3F93E2">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产污节点</w:t>
                  </w:r>
                </w:p>
              </w:tc>
              <w:tc>
                <w:tcPr>
                  <w:tcW w:w="998"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7C44BCAB">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14:ligatures w14:val="standardContextual"/>
                    </w:rPr>
                  </w:pPr>
                  <w:r>
                    <w:rPr>
                      <w:rFonts w:hint="default" w:ascii="Times New Roman" w:hAnsi="Times New Roman" w:eastAsia="宋体" w:cs="Times New Roman"/>
                      <w:b/>
                      <w:i w:val="0"/>
                      <w14:ligatures w14:val="standardContextual"/>
                    </w:rPr>
                    <w:t>污染源</w:t>
                  </w:r>
                </w:p>
              </w:tc>
              <w:tc>
                <w:tcPr>
                  <w:tcW w:w="823"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7406DCCF">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14:ligatures w14:val="standardContextual"/>
                    </w:rPr>
                  </w:pPr>
                  <w:r>
                    <w:rPr>
                      <w:rFonts w:hint="default" w:ascii="Times New Roman" w:hAnsi="Times New Roman" w:eastAsia="宋体" w:cs="Times New Roman"/>
                      <w:b/>
                      <w:i w:val="0"/>
                      <w14:ligatures w14:val="standardContextual"/>
                    </w:rPr>
                    <w:t>主要污染物</w:t>
                  </w:r>
                </w:p>
              </w:tc>
              <w:tc>
                <w:tcPr>
                  <w:tcW w:w="447"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4651F898">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14:ligatures w14:val="standardContextual"/>
                    </w:rPr>
                  </w:pPr>
                  <w:r>
                    <w:rPr>
                      <w:rFonts w:hint="default" w:ascii="Times New Roman" w:hAnsi="Times New Roman" w:eastAsia="宋体" w:cs="Times New Roman"/>
                      <w:b/>
                      <w:i w:val="0"/>
                      <w14:ligatures w14:val="standardContextual"/>
                    </w:rPr>
                    <w:t>排放</w:t>
                  </w:r>
                </w:p>
              </w:tc>
              <w:tc>
                <w:tcPr>
                  <w:tcW w:w="1384" w:type="pct"/>
                  <w:tcBorders>
                    <w:top w:val="single" w:color="auto" w:sz="12" w:space="0"/>
                    <w:bottom w:val="single" w:color="auto" w:sz="12" w:space="0"/>
                    <w:right w:val="nil"/>
                    <w:insideH w:val="single" w:sz="12" w:space="0"/>
                    <w:insideV w:val="single" w:sz="4" w:space="0"/>
                    <w:tl2br w:val="nil"/>
                    <w:tr2bl w:val="nil"/>
                  </w:tcBorders>
                  <w:vAlign w:val="center"/>
                </w:tcPr>
                <w:p w14:paraId="51BAC1C0">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14:ligatures w14:val="standardContextual"/>
                    </w:rPr>
                  </w:pPr>
                  <w:r>
                    <w:rPr>
                      <w:rFonts w:hint="default" w:ascii="Times New Roman" w:hAnsi="Times New Roman" w:eastAsia="宋体" w:cs="Times New Roman"/>
                      <w:b/>
                      <w:i w:val="0"/>
                      <w14:ligatures w14:val="standardContextual"/>
                    </w:rPr>
                    <w:t>治理措施及排放去向</w:t>
                  </w:r>
                </w:p>
              </w:tc>
            </w:tr>
            <w:tr w14:paraId="768B6E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74" w:hRule="atLeast"/>
                <w:jc w:val="center"/>
              </w:trPr>
              <w:tc>
                <w:tcPr>
                  <w:tcW w:w="261" w:type="pct"/>
                  <w:vMerge w:val="restart"/>
                  <w:vAlign w:val="center"/>
                </w:tcPr>
                <w:p w14:paraId="3AFA5F18">
                  <w:pPr>
                    <w:widowControl w:val="0"/>
                    <w:overflowPunct w:val="0"/>
                    <w:autoSpaceDE w:val="0"/>
                    <w:autoSpaceDN w:val="0"/>
                    <w:snapToGrid w:val="0"/>
                    <w:jc w:val="center"/>
                    <w:rPr>
                      <w14:ligatures w14:val="standardContextual"/>
                    </w:rPr>
                  </w:pPr>
                  <w:r>
                    <w:rPr>
                      <w:rFonts w:hint="eastAsia"/>
                      <w14:ligatures w14:val="standardContextual"/>
                    </w:rPr>
                    <w:t>废水</w:t>
                  </w:r>
                </w:p>
              </w:tc>
              <w:tc>
                <w:tcPr>
                  <w:tcW w:w="347" w:type="pct"/>
                  <w:vAlign w:val="center"/>
                </w:tcPr>
                <w:p w14:paraId="16781D6B">
                  <w:pPr>
                    <w:widowControl w:val="0"/>
                    <w:overflowPunct w:val="0"/>
                    <w:autoSpaceDE w:val="0"/>
                    <w:autoSpaceDN w:val="0"/>
                    <w:snapToGrid w:val="0"/>
                    <w:jc w:val="center"/>
                    <w:rPr>
                      <w14:ligatures w14:val="standardContextual"/>
                    </w:rPr>
                  </w:pPr>
                  <w:r>
                    <w:rPr>
                      <w:rFonts w:hint="eastAsia"/>
                      <w14:ligatures w14:val="standardContextual"/>
                    </w:rPr>
                    <w:t>W1</w:t>
                  </w:r>
                </w:p>
              </w:tc>
              <w:tc>
                <w:tcPr>
                  <w:tcW w:w="740" w:type="pct"/>
                  <w:vAlign w:val="center"/>
                </w:tcPr>
                <w:p w14:paraId="3E097B2D">
                  <w:pPr>
                    <w:widowControl w:val="0"/>
                    <w:overflowPunct w:val="0"/>
                    <w:autoSpaceDE w:val="0"/>
                    <w:autoSpaceDN w:val="0"/>
                    <w:snapToGrid w:val="0"/>
                    <w:jc w:val="center"/>
                    <w:rPr>
                      <w14:ligatures w14:val="standardContextual"/>
                    </w:rPr>
                  </w:pPr>
                  <w:r>
                    <w:rPr>
                      <w:rFonts w:hint="eastAsia"/>
                      <w14:ligatures w14:val="standardContextual"/>
                    </w:rPr>
                    <w:t>卸料点、进料点、落料点</w:t>
                  </w:r>
                </w:p>
              </w:tc>
              <w:tc>
                <w:tcPr>
                  <w:tcW w:w="998" w:type="pct"/>
                  <w:vAlign w:val="center"/>
                </w:tcPr>
                <w:p w14:paraId="321EFE7A">
                  <w:pPr>
                    <w:widowControl w:val="0"/>
                    <w:overflowPunct w:val="0"/>
                    <w:autoSpaceDE w:val="0"/>
                    <w:autoSpaceDN w:val="0"/>
                    <w:snapToGrid w:val="0"/>
                    <w:jc w:val="center"/>
                    <w:rPr>
                      <w14:ligatures w14:val="standardContextual"/>
                    </w:rPr>
                  </w:pPr>
                  <w:r>
                    <w:rPr>
                      <w:rFonts w:hint="eastAsia"/>
                      <w14:ligatures w14:val="standardContextual"/>
                    </w:rPr>
                    <w:t>喷雾除尘废水</w:t>
                  </w:r>
                </w:p>
              </w:tc>
              <w:tc>
                <w:tcPr>
                  <w:tcW w:w="823" w:type="pct"/>
                  <w:vAlign w:val="center"/>
                </w:tcPr>
                <w:p w14:paraId="6A15513B">
                  <w:pPr>
                    <w:widowControl w:val="0"/>
                    <w:overflowPunct w:val="0"/>
                    <w:autoSpaceDE w:val="0"/>
                    <w:autoSpaceDN w:val="0"/>
                    <w:snapToGrid w:val="0"/>
                    <w:jc w:val="center"/>
                    <w:rPr>
                      <w14:ligatures w14:val="standardContextual"/>
                    </w:rPr>
                  </w:pPr>
                  <w:r>
                    <w:rPr>
                      <w:rFonts w:hint="eastAsia"/>
                      <w14:ligatures w14:val="standardContextual"/>
                    </w:rPr>
                    <w:t>COD、SS</w:t>
                  </w:r>
                </w:p>
              </w:tc>
              <w:tc>
                <w:tcPr>
                  <w:tcW w:w="447" w:type="pct"/>
                  <w:vAlign w:val="center"/>
                </w:tcPr>
                <w:p w14:paraId="4EDA2624">
                  <w:pPr>
                    <w:widowControl w:val="0"/>
                    <w:overflowPunct w:val="0"/>
                    <w:autoSpaceDE w:val="0"/>
                    <w:autoSpaceDN w:val="0"/>
                    <w:snapToGrid w:val="0"/>
                    <w:jc w:val="center"/>
                    <w:rPr>
                      <w14:ligatures w14:val="standardContextual"/>
                    </w:rPr>
                  </w:pPr>
                  <w:r>
                    <w:rPr>
                      <w:rFonts w:hint="eastAsia"/>
                      <w14:ligatures w14:val="standardContextual"/>
                    </w:rPr>
                    <w:t>连续</w:t>
                  </w:r>
                </w:p>
              </w:tc>
              <w:tc>
                <w:tcPr>
                  <w:tcW w:w="1384" w:type="pct"/>
                  <w:vAlign w:val="center"/>
                </w:tcPr>
                <w:p w14:paraId="21F60786">
                  <w:pPr>
                    <w:widowControl w:val="0"/>
                    <w:overflowPunct w:val="0"/>
                    <w:autoSpaceDE w:val="0"/>
                    <w:autoSpaceDN w:val="0"/>
                    <w:snapToGrid w:val="0"/>
                    <w:jc w:val="center"/>
                    <w:rPr>
                      <w14:ligatures w14:val="standardContextual"/>
                    </w:rPr>
                  </w:pPr>
                  <w:r>
                    <w:rPr>
                      <w:rFonts w:hint="eastAsia"/>
                      <w14:ligatures w14:val="standardContextual"/>
                    </w:rPr>
                    <w:t>全部损耗，不外排</w:t>
                  </w:r>
                </w:p>
              </w:tc>
            </w:tr>
            <w:tr w14:paraId="277F0F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74" w:hRule="atLeast"/>
                <w:jc w:val="center"/>
              </w:trPr>
              <w:tc>
                <w:tcPr>
                  <w:tcW w:w="261" w:type="pct"/>
                  <w:vMerge w:val="continue"/>
                  <w:vAlign w:val="center"/>
                </w:tcPr>
                <w:p w14:paraId="5514A0C3">
                  <w:pPr>
                    <w:widowControl w:val="0"/>
                    <w:overflowPunct w:val="0"/>
                    <w:autoSpaceDE w:val="0"/>
                    <w:autoSpaceDN w:val="0"/>
                    <w:snapToGrid w:val="0"/>
                    <w:jc w:val="center"/>
                    <w:rPr>
                      <w14:ligatures w14:val="standardContextual"/>
                    </w:rPr>
                  </w:pPr>
                </w:p>
              </w:tc>
              <w:tc>
                <w:tcPr>
                  <w:tcW w:w="347" w:type="pct"/>
                  <w:vAlign w:val="center"/>
                </w:tcPr>
                <w:p w14:paraId="13682D10">
                  <w:pPr>
                    <w:widowControl w:val="0"/>
                    <w:overflowPunct w:val="0"/>
                    <w:autoSpaceDE w:val="0"/>
                    <w:autoSpaceDN w:val="0"/>
                    <w:snapToGrid w:val="0"/>
                    <w:jc w:val="center"/>
                    <w:rPr>
                      <w14:ligatures w14:val="standardContextual"/>
                    </w:rPr>
                  </w:pPr>
                  <w:r>
                    <w:rPr>
                      <w:rFonts w:hint="eastAsia"/>
                      <w14:ligatures w14:val="standardContextual"/>
                    </w:rPr>
                    <w:t>W2</w:t>
                  </w:r>
                </w:p>
              </w:tc>
              <w:tc>
                <w:tcPr>
                  <w:tcW w:w="740" w:type="pct"/>
                  <w:vAlign w:val="center"/>
                </w:tcPr>
                <w:p w14:paraId="1E957896">
                  <w:pPr>
                    <w:widowControl w:val="0"/>
                    <w:overflowPunct w:val="0"/>
                    <w:autoSpaceDE w:val="0"/>
                    <w:autoSpaceDN w:val="0"/>
                    <w:snapToGrid w:val="0"/>
                    <w:jc w:val="center"/>
                    <w:rPr>
                      <w14:ligatures w14:val="standardContextual"/>
                    </w:rPr>
                  </w:pPr>
                  <w:r>
                    <w:rPr>
                      <w:rFonts w:hint="eastAsia"/>
                      <w14:ligatures w14:val="standardContextual"/>
                    </w:rPr>
                    <w:t>车辆出入</w:t>
                  </w:r>
                </w:p>
              </w:tc>
              <w:tc>
                <w:tcPr>
                  <w:tcW w:w="998" w:type="pct"/>
                  <w:vAlign w:val="center"/>
                </w:tcPr>
                <w:p w14:paraId="673FC7B0">
                  <w:pPr>
                    <w:widowControl w:val="0"/>
                    <w:overflowPunct w:val="0"/>
                    <w:autoSpaceDE w:val="0"/>
                    <w:autoSpaceDN w:val="0"/>
                    <w:snapToGrid w:val="0"/>
                    <w:jc w:val="center"/>
                    <w:rPr>
                      <w14:ligatures w14:val="standardContextual"/>
                    </w:rPr>
                  </w:pPr>
                  <w:r>
                    <w:rPr>
                      <w:rFonts w:hint="eastAsia"/>
                      <w14:ligatures w14:val="standardContextual"/>
                    </w:rPr>
                    <w:t>车辆清洗废水</w:t>
                  </w:r>
                </w:p>
              </w:tc>
              <w:tc>
                <w:tcPr>
                  <w:tcW w:w="823" w:type="pct"/>
                  <w:vAlign w:val="center"/>
                </w:tcPr>
                <w:p w14:paraId="14DCA9CB">
                  <w:pPr>
                    <w:widowControl w:val="0"/>
                    <w:overflowPunct w:val="0"/>
                    <w:autoSpaceDE w:val="0"/>
                    <w:autoSpaceDN w:val="0"/>
                    <w:snapToGrid w:val="0"/>
                    <w:jc w:val="center"/>
                    <w:rPr>
                      <w14:ligatures w14:val="standardContextual"/>
                    </w:rPr>
                  </w:pPr>
                  <w:r>
                    <w:rPr>
                      <w:rFonts w:hint="eastAsia"/>
                      <w14:ligatures w14:val="standardContextual"/>
                    </w:rPr>
                    <w:t>COD、SS</w:t>
                  </w:r>
                </w:p>
              </w:tc>
              <w:tc>
                <w:tcPr>
                  <w:tcW w:w="447" w:type="pct"/>
                  <w:vAlign w:val="center"/>
                </w:tcPr>
                <w:p w14:paraId="706A9813">
                  <w:pPr>
                    <w:widowControl w:val="0"/>
                    <w:overflowPunct w:val="0"/>
                    <w:autoSpaceDE w:val="0"/>
                    <w:autoSpaceDN w:val="0"/>
                    <w:snapToGrid w:val="0"/>
                    <w:jc w:val="center"/>
                    <w:rPr>
                      <w14:ligatures w14:val="standardContextual"/>
                    </w:rPr>
                  </w:pPr>
                  <w:r>
                    <w:rPr>
                      <w14:ligatures w14:val="standardContextual"/>
                    </w:rPr>
                    <w:t>间歇</w:t>
                  </w:r>
                </w:p>
              </w:tc>
              <w:tc>
                <w:tcPr>
                  <w:tcW w:w="1384" w:type="pct"/>
                  <w:vAlign w:val="center"/>
                </w:tcPr>
                <w:p w14:paraId="44590E1C">
                  <w:pPr>
                    <w:widowControl w:val="0"/>
                    <w:overflowPunct w:val="0"/>
                    <w:autoSpaceDE w:val="0"/>
                    <w:autoSpaceDN w:val="0"/>
                    <w:snapToGrid w:val="0"/>
                    <w:jc w:val="center"/>
                    <w:rPr>
                      <w14:ligatures w14:val="standardContextual"/>
                    </w:rPr>
                  </w:pPr>
                  <w:r>
                    <w:rPr>
                      <w:rFonts w:hint="eastAsia"/>
                      <w14:ligatures w14:val="standardContextual"/>
                    </w:rPr>
                    <w:t>经沉淀池收集沉淀后循环使用，不外排</w:t>
                  </w:r>
                </w:p>
              </w:tc>
            </w:tr>
            <w:tr w14:paraId="41E886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74" w:hRule="atLeast"/>
                <w:jc w:val="center"/>
              </w:trPr>
              <w:tc>
                <w:tcPr>
                  <w:tcW w:w="261" w:type="pct"/>
                  <w:vMerge w:val="continue"/>
                  <w:vAlign w:val="center"/>
                </w:tcPr>
                <w:p w14:paraId="552115F9">
                  <w:pPr>
                    <w:widowControl w:val="0"/>
                    <w:overflowPunct w:val="0"/>
                    <w:autoSpaceDE w:val="0"/>
                    <w:autoSpaceDN w:val="0"/>
                    <w:snapToGrid w:val="0"/>
                    <w:jc w:val="center"/>
                    <w:rPr>
                      <w14:ligatures w14:val="standardContextual"/>
                    </w:rPr>
                  </w:pPr>
                </w:p>
              </w:tc>
              <w:tc>
                <w:tcPr>
                  <w:tcW w:w="347" w:type="pct"/>
                  <w:vAlign w:val="center"/>
                </w:tcPr>
                <w:p w14:paraId="7154E512">
                  <w:pPr>
                    <w:widowControl w:val="0"/>
                    <w:overflowPunct w:val="0"/>
                    <w:autoSpaceDE w:val="0"/>
                    <w:autoSpaceDN w:val="0"/>
                    <w:snapToGrid w:val="0"/>
                    <w:jc w:val="center"/>
                    <w:rPr>
                      <w14:ligatures w14:val="standardContextual"/>
                    </w:rPr>
                  </w:pPr>
                  <w:r>
                    <w:rPr>
                      <w:rFonts w:hint="eastAsia"/>
                      <w14:ligatures w14:val="standardContextual"/>
                    </w:rPr>
                    <w:t>W3</w:t>
                  </w:r>
                </w:p>
              </w:tc>
              <w:tc>
                <w:tcPr>
                  <w:tcW w:w="740" w:type="pct"/>
                  <w:vAlign w:val="center"/>
                </w:tcPr>
                <w:p w14:paraId="60E4C7CB">
                  <w:pPr>
                    <w:widowControl w:val="0"/>
                    <w:overflowPunct w:val="0"/>
                    <w:autoSpaceDE w:val="0"/>
                    <w:autoSpaceDN w:val="0"/>
                    <w:snapToGrid w:val="0"/>
                    <w:jc w:val="center"/>
                    <w:rPr>
                      <w14:ligatures w14:val="standardContextual"/>
                    </w:rPr>
                  </w:pPr>
                  <w:r>
                    <w:rPr>
                      <w:rFonts w:hint="eastAsia"/>
                      <w14:ligatures w14:val="standardContextual"/>
                    </w:rPr>
                    <w:t>雨水淋滤</w:t>
                  </w:r>
                </w:p>
              </w:tc>
              <w:tc>
                <w:tcPr>
                  <w:tcW w:w="998" w:type="pct"/>
                  <w:vAlign w:val="center"/>
                </w:tcPr>
                <w:p w14:paraId="43D19215">
                  <w:pPr>
                    <w:widowControl w:val="0"/>
                    <w:overflowPunct w:val="0"/>
                    <w:autoSpaceDE w:val="0"/>
                    <w:autoSpaceDN w:val="0"/>
                    <w:snapToGrid w:val="0"/>
                    <w:jc w:val="center"/>
                    <w:rPr>
                      <w14:ligatures w14:val="standardContextual"/>
                    </w:rPr>
                  </w:pPr>
                  <w:r>
                    <w:rPr>
                      <w:rFonts w:hint="eastAsia"/>
                      <w14:ligatures w14:val="standardContextual"/>
                    </w:rPr>
                    <w:t>初期雨水</w:t>
                  </w:r>
                </w:p>
              </w:tc>
              <w:tc>
                <w:tcPr>
                  <w:tcW w:w="823" w:type="pct"/>
                  <w:vAlign w:val="center"/>
                </w:tcPr>
                <w:p w14:paraId="59DE1994">
                  <w:pPr>
                    <w:widowControl w:val="0"/>
                    <w:overflowPunct w:val="0"/>
                    <w:autoSpaceDE w:val="0"/>
                    <w:autoSpaceDN w:val="0"/>
                    <w:snapToGrid w:val="0"/>
                    <w:jc w:val="center"/>
                    <w:rPr>
                      <w14:ligatures w14:val="standardContextual"/>
                    </w:rPr>
                  </w:pPr>
                  <w:r>
                    <w:rPr>
                      <w:rFonts w:hint="eastAsia"/>
                      <w14:ligatures w14:val="standardContextual"/>
                    </w:rPr>
                    <w:t>COD、SS</w:t>
                  </w:r>
                </w:p>
              </w:tc>
              <w:tc>
                <w:tcPr>
                  <w:tcW w:w="447" w:type="pct"/>
                  <w:vAlign w:val="center"/>
                </w:tcPr>
                <w:p w14:paraId="38881676">
                  <w:pPr>
                    <w:widowControl w:val="0"/>
                    <w:overflowPunct w:val="0"/>
                    <w:autoSpaceDE w:val="0"/>
                    <w:autoSpaceDN w:val="0"/>
                    <w:snapToGrid w:val="0"/>
                    <w:jc w:val="center"/>
                    <w:rPr>
                      <w14:ligatures w14:val="standardContextual"/>
                    </w:rPr>
                  </w:pPr>
                  <w:r>
                    <w:rPr>
                      <w:rFonts w:hint="eastAsia"/>
                      <w14:ligatures w14:val="standardContextual"/>
                    </w:rPr>
                    <w:t>连续</w:t>
                  </w:r>
                </w:p>
              </w:tc>
              <w:tc>
                <w:tcPr>
                  <w:tcW w:w="1384" w:type="pct"/>
                  <w:vAlign w:val="center"/>
                </w:tcPr>
                <w:p w14:paraId="57D28296">
                  <w:pPr>
                    <w:widowControl w:val="0"/>
                    <w:overflowPunct w:val="0"/>
                    <w:autoSpaceDE w:val="0"/>
                    <w:autoSpaceDN w:val="0"/>
                    <w:snapToGrid w:val="0"/>
                    <w:jc w:val="center"/>
                    <w:rPr>
                      <w14:ligatures w14:val="standardContextual"/>
                    </w:rPr>
                  </w:pPr>
                  <w:r>
                    <w:rPr>
                      <w:rFonts w:hint="eastAsia"/>
                      <w14:ligatures w14:val="standardContextual"/>
                    </w:rPr>
                    <w:t>经沉淀池收集沉淀处理后用于场地洒水抑尘，不外排</w:t>
                  </w:r>
                </w:p>
              </w:tc>
            </w:tr>
            <w:tr w14:paraId="19C6DE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74" w:hRule="atLeast"/>
                <w:jc w:val="center"/>
              </w:trPr>
              <w:tc>
                <w:tcPr>
                  <w:tcW w:w="261" w:type="pct"/>
                  <w:vMerge w:val="continue"/>
                  <w:vAlign w:val="center"/>
                </w:tcPr>
                <w:p w14:paraId="4A2E2A99">
                  <w:pPr>
                    <w:widowControl w:val="0"/>
                    <w:overflowPunct w:val="0"/>
                    <w:autoSpaceDE w:val="0"/>
                    <w:autoSpaceDN w:val="0"/>
                    <w:snapToGrid w:val="0"/>
                    <w:jc w:val="center"/>
                    <w:rPr>
                      <w14:ligatures w14:val="standardContextual"/>
                    </w:rPr>
                  </w:pPr>
                </w:p>
              </w:tc>
              <w:tc>
                <w:tcPr>
                  <w:tcW w:w="347" w:type="pct"/>
                  <w:vAlign w:val="center"/>
                </w:tcPr>
                <w:p w14:paraId="6824FEDB">
                  <w:pPr>
                    <w:widowControl w:val="0"/>
                    <w:overflowPunct w:val="0"/>
                    <w:autoSpaceDE w:val="0"/>
                    <w:autoSpaceDN w:val="0"/>
                    <w:snapToGrid w:val="0"/>
                    <w:jc w:val="center"/>
                    <w:rPr>
                      <w14:ligatures w14:val="standardContextual"/>
                    </w:rPr>
                  </w:pPr>
                  <w:r>
                    <w:rPr>
                      <w:rFonts w:hint="eastAsia"/>
                      <w14:ligatures w14:val="standardContextual"/>
                    </w:rPr>
                    <w:t>W4</w:t>
                  </w:r>
                </w:p>
              </w:tc>
              <w:tc>
                <w:tcPr>
                  <w:tcW w:w="740" w:type="pct"/>
                  <w:vAlign w:val="center"/>
                </w:tcPr>
                <w:p w14:paraId="6E51F823">
                  <w:pPr>
                    <w:widowControl w:val="0"/>
                    <w:overflowPunct w:val="0"/>
                    <w:autoSpaceDE w:val="0"/>
                    <w:autoSpaceDN w:val="0"/>
                    <w:snapToGrid w:val="0"/>
                    <w:jc w:val="center"/>
                    <w:rPr>
                      <w14:ligatures w14:val="standardContextual"/>
                    </w:rPr>
                  </w:pPr>
                  <w:r>
                    <w:rPr>
                      <w:rFonts w:hint="eastAsia"/>
                      <w14:ligatures w14:val="standardContextual"/>
                    </w:rPr>
                    <w:t>职工生活</w:t>
                  </w:r>
                </w:p>
              </w:tc>
              <w:tc>
                <w:tcPr>
                  <w:tcW w:w="998" w:type="pct"/>
                  <w:vAlign w:val="center"/>
                </w:tcPr>
                <w:p w14:paraId="59A95C16">
                  <w:pPr>
                    <w:widowControl w:val="0"/>
                    <w:overflowPunct w:val="0"/>
                    <w:autoSpaceDE w:val="0"/>
                    <w:autoSpaceDN w:val="0"/>
                    <w:snapToGrid w:val="0"/>
                    <w:jc w:val="center"/>
                    <w:rPr>
                      <w14:ligatures w14:val="standardContextual"/>
                    </w:rPr>
                  </w:pPr>
                  <w:r>
                    <w:rPr>
                      <w:rFonts w:hint="eastAsia"/>
                      <w14:ligatures w14:val="standardContextual"/>
                    </w:rPr>
                    <w:t>生活污水</w:t>
                  </w:r>
                </w:p>
              </w:tc>
              <w:tc>
                <w:tcPr>
                  <w:tcW w:w="823" w:type="pct"/>
                  <w:vAlign w:val="center"/>
                </w:tcPr>
                <w:p w14:paraId="513E9E1E">
                  <w:pPr>
                    <w:widowControl w:val="0"/>
                    <w:overflowPunct w:val="0"/>
                    <w:autoSpaceDE w:val="0"/>
                    <w:autoSpaceDN w:val="0"/>
                    <w:snapToGrid w:val="0"/>
                    <w:jc w:val="center"/>
                    <w:rPr>
                      <w14:ligatures w14:val="standardContextual"/>
                    </w:rPr>
                  </w:pPr>
                  <w:r>
                    <w:rPr>
                      <w:rFonts w:hint="eastAsia"/>
                      <w14:ligatures w14:val="standardContextual"/>
                    </w:rPr>
                    <w:t>COD、BOD</w:t>
                  </w:r>
                  <w:r>
                    <w:rPr>
                      <w:rFonts w:hint="eastAsia"/>
                      <w:vertAlign w:val="subscript"/>
                      <w14:ligatures w14:val="standardContextual"/>
                    </w:rPr>
                    <w:t>5</w:t>
                  </w:r>
                  <w:r>
                    <w:rPr>
                      <w:rFonts w:hint="eastAsia"/>
                      <w14:ligatures w14:val="standardContextual"/>
                    </w:rPr>
                    <w:t>、SS、氨氮</w:t>
                  </w:r>
                </w:p>
              </w:tc>
              <w:tc>
                <w:tcPr>
                  <w:tcW w:w="447" w:type="pct"/>
                  <w:vAlign w:val="center"/>
                </w:tcPr>
                <w:p w14:paraId="6A44D4D7">
                  <w:pPr>
                    <w:widowControl w:val="0"/>
                    <w:overflowPunct w:val="0"/>
                    <w:autoSpaceDE w:val="0"/>
                    <w:autoSpaceDN w:val="0"/>
                    <w:snapToGrid w:val="0"/>
                    <w:jc w:val="center"/>
                    <w:rPr>
                      <w14:ligatures w14:val="standardContextual"/>
                    </w:rPr>
                  </w:pPr>
                  <w:r>
                    <w:rPr>
                      <w14:ligatures w14:val="standardContextual"/>
                    </w:rPr>
                    <w:t>间歇</w:t>
                  </w:r>
                </w:p>
              </w:tc>
              <w:tc>
                <w:tcPr>
                  <w:tcW w:w="1384" w:type="pct"/>
                  <w:vAlign w:val="center"/>
                </w:tcPr>
                <w:p w14:paraId="6DA6242E">
                  <w:pPr>
                    <w:widowControl w:val="0"/>
                    <w:overflowPunct w:val="0"/>
                    <w:autoSpaceDE w:val="0"/>
                    <w:autoSpaceDN w:val="0"/>
                    <w:snapToGrid w:val="0"/>
                    <w:jc w:val="center"/>
                    <w:rPr>
                      <w14:ligatures w14:val="standardContextual"/>
                    </w:rPr>
                  </w:pPr>
                  <w:r>
                    <w:rPr>
                      <w:rFonts w:hint="eastAsia"/>
                      <w14:ligatures w14:val="standardContextual"/>
                    </w:rPr>
                    <w:t>经自建化粪池处理达标后排污园区污水管网，送至大揽平处理厂处理达标后排放</w:t>
                  </w:r>
                </w:p>
              </w:tc>
            </w:tr>
            <w:tr w14:paraId="43F68B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65" w:hRule="atLeast"/>
                <w:jc w:val="center"/>
              </w:trPr>
              <w:tc>
                <w:tcPr>
                  <w:tcW w:w="261" w:type="pct"/>
                  <w:vMerge w:val="restart"/>
                  <w:vAlign w:val="center"/>
                </w:tcPr>
                <w:p w14:paraId="308137A7">
                  <w:pPr>
                    <w:widowControl w:val="0"/>
                    <w:overflowPunct w:val="0"/>
                    <w:autoSpaceDE w:val="0"/>
                    <w:autoSpaceDN w:val="0"/>
                    <w:snapToGrid w:val="0"/>
                    <w:jc w:val="center"/>
                    <w:rPr>
                      <w14:ligatures w14:val="standardContextual"/>
                    </w:rPr>
                  </w:pPr>
                  <w:r>
                    <w:rPr>
                      <w14:ligatures w14:val="standardContextual"/>
                    </w:rPr>
                    <w:t>废</w:t>
                  </w:r>
                  <w:r>
                    <w:rPr>
                      <w:rFonts w:hint="eastAsia"/>
                      <w14:ligatures w14:val="standardContextual"/>
                    </w:rPr>
                    <w:t>气</w:t>
                  </w:r>
                </w:p>
              </w:tc>
              <w:tc>
                <w:tcPr>
                  <w:tcW w:w="347" w:type="pct"/>
                  <w:vAlign w:val="center"/>
                </w:tcPr>
                <w:p w14:paraId="49CF0A1E">
                  <w:pPr>
                    <w:widowControl w:val="0"/>
                    <w:overflowPunct w:val="0"/>
                    <w:autoSpaceDE w:val="0"/>
                    <w:autoSpaceDN w:val="0"/>
                    <w:snapToGrid w:val="0"/>
                    <w:jc w:val="center"/>
                    <w:rPr>
                      <w:color w:val="auto"/>
                      <w14:ligatures w14:val="standardContextual"/>
                    </w:rPr>
                  </w:pPr>
                  <w:r>
                    <w:rPr>
                      <w:rFonts w:hint="eastAsia"/>
                      <w:color w:val="auto"/>
                      <w14:ligatures w14:val="standardContextual"/>
                    </w:rPr>
                    <w:t>G1</w:t>
                  </w:r>
                </w:p>
              </w:tc>
              <w:tc>
                <w:tcPr>
                  <w:tcW w:w="740" w:type="pct"/>
                  <w:vAlign w:val="center"/>
                </w:tcPr>
                <w:p w14:paraId="50F7DC9F">
                  <w:pPr>
                    <w:widowControl w:val="0"/>
                    <w:overflowPunct w:val="0"/>
                    <w:autoSpaceDE w:val="0"/>
                    <w:autoSpaceDN w:val="0"/>
                    <w:snapToGrid w:val="0"/>
                    <w:jc w:val="center"/>
                    <w:rPr>
                      <w:color w:val="auto"/>
                      <w14:ligatures w14:val="standardContextual"/>
                    </w:rPr>
                  </w:pPr>
                  <w:r>
                    <w:rPr>
                      <w:rFonts w:hint="eastAsia"/>
                      <w:color w:val="auto"/>
                      <w14:ligatures w14:val="standardContextual"/>
                    </w:rPr>
                    <w:t>建筑垃圾堆存区和产品堆料区</w:t>
                  </w:r>
                </w:p>
              </w:tc>
              <w:tc>
                <w:tcPr>
                  <w:tcW w:w="998" w:type="pct"/>
                  <w:vAlign w:val="center"/>
                </w:tcPr>
                <w:p w14:paraId="6840C480">
                  <w:pPr>
                    <w:widowControl w:val="0"/>
                    <w:overflowPunct w:val="0"/>
                    <w:autoSpaceDE w:val="0"/>
                    <w:autoSpaceDN w:val="0"/>
                    <w:snapToGrid w:val="0"/>
                    <w:jc w:val="center"/>
                    <w:rPr>
                      <w:color w:val="auto"/>
                      <w14:ligatures w14:val="standardContextual"/>
                    </w:rPr>
                  </w:pPr>
                  <w:r>
                    <w:rPr>
                      <w:rFonts w:hint="eastAsia"/>
                      <w:color w:val="auto"/>
                      <w14:ligatures w14:val="standardContextual"/>
                    </w:rPr>
                    <w:t>卸料、贮存、上料粉尘</w:t>
                  </w:r>
                </w:p>
              </w:tc>
              <w:tc>
                <w:tcPr>
                  <w:tcW w:w="823" w:type="pct"/>
                  <w:vAlign w:val="center"/>
                </w:tcPr>
                <w:p w14:paraId="17BF639B">
                  <w:pPr>
                    <w:widowControl w:val="0"/>
                    <w:overflowPunct w:val="0"/>
                    <w:autoSpaceDE w:val="0"/>
                    <w:autoSpaceDN w:val="0"/>
                    <w:snapToGrid w:val="0"/>
                    <w:jc w:val="center"/>
                    <w:rPr>
                      <w:color w:val="auto"/>
                      <w14:ligatures w14:val="standardContextual"/>
                    </w:rPr>
                  </w:pPr>
                  <w:r>
                    <w:rPr>
                      <w:rFonts w:hint="eastAsia"/>
                      <w:color w:val="auto"/>
                      <w14:ligatures w14:val="standardContextual"/>
                    </w:rPr>
                    <w:t>颗粒物</w:t>
                  </w:r>
                </w:p>
              </w:tc>
              <w:tc>
                <w:tcPr>
                  <w:tcW w:w="447" w:type="pct"/>
                  <w:vAlign w:val="center"/>
                </w:tcPr>
                <w:p w14:paraId="245CE383">
                  <w:pPr>
                    <w:widowControl w:val="0"/>
                    <w:overflowPunct w:val="0"/>
                    <w:autoSpaceDE w:val="0"/>
                    <w:autoSpaceDN w:val="0"/>
                    <w:snapToGrid w:val="0"/>
                    <w:jc w:val="center"/>
                    <w:rPr>
                      <w:color w:val="auto"/>
                      <w14:ligatures w14:val="standardContextual"/>
                    </w:rPr>
                  </w:pPr>
                  <w:bookmarkStart w:id="33" w:name="OLE_LINK90"/>
                  <w:r>
                    <w:rPr>
                      <w:rFonts w:hint="eastAsia"/>
                      <w:color w:val="auto"/>
                      <w14:ligatures w14:val="standardContextual"/>
                    </w:rPr>
                    <w:t>连续</w:t>
                  </w:r>
                  <w:bookmarkEnd w:id="33"/>
                </w:p>
              </w:tc>
              <w:tc>
                <w:tcPr>
                  <w:tcW w:w="1384" w:type="pct"/>
                  <w:vAlign w:val="center"/>
                </w:tcPr>
                <w:p w14:paraId="1A90E6E4">
                  <w:pPr>
                    <w:widowControl w:val="0"/>
                    <w:overflowPunct w:val="0"/>
                    <w:autoSpaceDE w:val="0"/>
                    <w:autoSpaceDN w:val="0"/>
                    <w:snapToGrid w:val="0"/>
                    <w:jc w:val="center"/>
                    <w:rPr>
                      <w:color w:val="auto"/>
                      <w14:ligatures w14:val="standardContextual"/>
                    </w:rPr>
                  </w:pPr>
                  <w:r>
                    <w:rPr>
                      <w:rFonts w:hint="eastAsia"/>
                      <w:color w:val="auto"/>
                      <w14:ligatures w14:val="standardContextual"/>
                    </w:rPr>
                    <w:t>厂房封闭，同时在装卸点采用喷雾器喷雾降尘，出入车辆冲洗</w:t>
                  </w:r>
                </w:p>
              </w:tc>
            </w:tr>
            <w:tr w14:paraId="6EEA75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65" w:hRule="atLeast"/>
                <w:jc w:val="center"/>
              </w:trPr>
              <w:tc>
                <w:tcPr>
                  <w:tcW w:w="261" w:type="pct"/>
                  <w:vMerge w:val="continue"/>
                  <w:vAlign w:val="center"/>
                </w:tcPr>
                <w:p w14:paraId="4C35FC04">
                  <w:pPr>
                    <w:widowControl w:val="0"/>
                    <w:overflowPunct w:val="0"/>
                    <w:autoSpaceDE w:val="0"/>
                    <w:autoSpaceDN w:val="0"/>
                    <w:snapToGrid w:val="0"/>
                    <w:jc w:val="center"/>
                    <w:rPr>
                      <w14:ligatures w14:val="standardContextual"/>
                    </w:rPr>
                  </w:pPr>
                </w:p>
              </w:tc>
              <w:tc>
                <w:tcPr>
                  <w:tcW w:w="347" w:type="pct"/>
                  <w:vAlign w:val="center"/>
                </w:tcPr>
                <w:p w14:paraId="4E1206A2">
                  <w:pPr>
                    <w:widowControl w:val="0"/>
                    <w:overflowPunct w:val="0"/>
                    <w:autoSpaceDE w:val="0"/>
                    <w:autoSpaceDN w:val="0"/>
                    <w:snapToGrid w:val="0"/>
                    <w:jc w:val="center"/>
                    <w:rPr>
                      <w:color w:val="auto"/>
                      <w14:ligatures w14:val="standardContextual"/>
                    </w:rPr>
                  </w:pPr>
                  <w:r>
                    <w:rPr>
                      <w:rFonts w:hint="eastAsia"/>
                      <w:color w:val="auto"/>
                      <w14:ligatures w14:val="standardContextual"/>
                    </w:rPr>
                    <w:t>G2</w:t>
                  </w:r>
                </w:p>
              </w:tc>
              <w:tc>
                <w:tcPr>
                  <w:tcW w:w="740" w:type="pct"/>
                  <w:vAlign w:val="center"/>
                </w:tcPr>
                <w:p w14:paraId="2495653F">
                  <w:pPr>
                    <w:widowControl w:val="0"/>
                    <w:overflowPunct w:val="0"/>
                    <w:autoSpaceDE w:val="0"/>
                    <w:autoSpaceDN w:val="0"/>
                    <w:snapToGrid w:val="0"/>
                    <w:jc w:val="center"/>
                    <w:rPr>
                      <w:color w:val="auto"/>
                      <w14:ligatures w14:val="standardContextual"/>
                    </w:rPr>
                  </w:pPr>
                  <w:r>
                    <w:rPr>
                      <w:rFonts w:hint="eastAsia"/>
                      <w:color w:val="auto"/>
                      <w14:ligatures w14:val="standardContextual"/>
                    </w:rPr>
                    <w:t>破碎、筛分、磁选、风选工序</w:t>
                  </w:r>
                </w:p>
              </w:tc>
              <w:tc>
                <w:tcPr>
                  <w:tcW w:w="998" w:type="pct"/>
                  <w:vAlign w:val="center"/>
                </w:tcPr>
                <w:p w14:paraId="1259E70C">
                  <w:pPr>
                    <w:widowControl w:val="0"/>
                    <w:overflowPunct w:val="0"/>
                    <w:autoSpaceDE w:val="0"/>
                    <w:autoSpaceDN w:val="0"/>
                    <w:snapToGrid w:val="0"/>
                    <w:jc w:val="center"/>
                    <w:rPr>
                      <w:color w:val="auto"/>
                      <w14:ligatures w14:val="standardContextual"/>
                    </w:rPr>
                  </w:pPr>
                  <w:r>
                    <w:rPr>
                      <w:rFonts w:hint="eastAsia"/>
                      <w:color w:val="auto"/>
                      <w14:ligatures w14:val="standardContextual"/>
                    </w:rPr>
                    <w:t>破碎、筛分、磁选、风选粉尘</w:t>
                  </w:r>
                </w:p>
              </w:tc>
              <w:tc>
                <w:tcPr>
                  <w:tcW w:w="823" w:type="pct"/>
                  <w:vAlign w:val="center"/>
                </w:tcPr>
                <w:p w14:paraId="1E0183F0">
                  <w:pPr>
                    <w:widowControl w:val="0"/>
                    <w:overflowPunct w:val="0"/>
                    <w:autoSpaceDE w:val="0"/>
                    <w:autoSpaceDN w:val="0"/>
                    <w:snapToGrid w:val="0"/>
                    <w:jc w:val="center"/>
                    <w:rPr>
                      <w:color w:val="auto"/>
                      <w14:ligatures w14:val="standardContextual"/>
                    </w:rPr>
                  </w:pPr>
                  <w:r>
                    <w:rPr>
                      <w:rFonts w:hint="eastAsia"/>
                      <w:color w:val="auto"/>
                      <w14:ligatures w14:val="standardContextual"/>
                    </w:rPr>
                    <w:t>颗粒物</w:t>
                  </w:r>
                </w:p>
              </w:tc>
              <w:tc>
                <w:tcPr>
                  <w:tcW w:w="447" w:type="pct"/>
                  <w:vAlign w:val="center"/>
                </w:tcPr>
                <w:p w14:paraId="3B2F5A17">
                  <w:pPr>
                    <w:widowControl w:val="0"/>
                    <w:overflowPunct w:val="0"/>
                    <w:autoSpaceDE w:val="0"/>
                    <w:autoSpaceDN w:val="0"/>
                    <w:snapToGrid w:val="0"/>
                    <w:jc w:val="center"/>
                    <w:rPr>
                      <w:color w:val="auto"/>
                      <w14:ligatures w14:val="standardContextual"/>
                    </w:rPr>
                  </w:pPr>
                  <w:r>
                    <w:rPr>
                      <w:rFonts w:hint="eastAsia"/>
                      <w:color w:val="auto"/>
                      <w14:ligatures w14:val="standardContextual"/>
                    </w:rPr>
                    <w:t>连续</w:t>
                  </w:r>
                </w:p>
              </w:tc>
              <w:tc>
                <w:tcPr>
                  <w:tcW w:w="1384" w:type="pct"/>
                  <w:vAlign w:val="center"/>
                </w:tcPr>
                <w:p w14:paraId="229FFE46">
                  <w:pPr>
                    <w:widowControl w:val="0"/>
                    <w:overflowPunct w:val="0"/>
                    <w:autoSpaceDE w:val="0"/>
                    <w:autoSpaceDN w:val="0"/>
                    <w:snapToGrid w:val="0"/>
                    <w:jc w:val="center"/>
                    <w:rPr>
                      <w:color w:val="auto"/>
                      <w14:ligatures w14:val="standardContextual"/>
                    </w:rPr>
                  </w:pPr>
                  <w:r>
                    <w:rPr>
                      <w:rFonts w:hint="eastAsia"/>
                      <w:color w:val="auto"/>
                      <w14:ligatures w14:val="standardContextual"/>
                    </w:rPr>
                    <w:t>布袋除尘+15m排气筒（DA001）</w:t>
                  </w:r>
                </w:p>
              </w:tc>
            </w:tr>
            <w:tr w14:paraId="7299BD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65" w:hRule="atLeast"/>
                <w:jc w:val="center"/>
              </w:trPr>
              <w:tc>
                <w:tcPr>
                  <w:tcW w:w="261" w:type="pct"/>
                  <w:vMerge w:val="continue"/>
                  <w:vAlign w:val="center"/>
                </w:tcPr>
                <w:p w14:paraId="4A4F6521">
                  <w:pPr>
                    <w:widowControl w:val="0"/>
                    <w:overflowPunct w:val="0"/>
                    <w:autoSpaceDE w:val="0"/>
                    <w:autoSpaceDN w:val="0"/>
                    <w:snapToGrid w:val="0"/>
                    <w:jc w:val="center"/>
                    <w:rPr>
                      <w14:ligatures w14:val="standardContextual"/>
                    </w:rPr>
                  </w:pPr>
                </w:p>
              </w:tc>
              <w:tc>
                <w:tcPr>
                  <w:tcW w:w="347" w:type="pct"/>
                  <w:vAlign w:val="center"/>
                </w:tcPr>
                <w:p w14:paraId="62E7757C">
                  <w:pPr>
                    <w:widowControl w:val="0"/>
                    <w:overflowPunct w:val="0"/>
                    <w:autoSpaceDE w:val="0"/>
                    <w:autoSpaceDN w:val="0"/>
                    <w:snapToGrid w:val="0"/>
                    <w:jc w:val="center"/>
                    <w:rPr>
                      <w:color w:val="auto"/>
                      <w14:ligatures w14:val="standardContextual"/>
                    </w:rPr>
                  </w:pPr>
                  <w:r>
                    <w:rPr>
                      <w:rFonts w:hint="eastAsia"/>
                      <w:color w:val="auto"/>
                      <w14:ligatures w14:val="standardContextual"/>
                    </w:rPr>
                    <w:t>G3</w:t>
                  </w:r>
                </w:p>
              </w:tc>
              <w:tc>
                <w:tcPr>
                  <w:tcW w:w="740" w:type="pct"/>
                  <w:vAlign w:val="center"/>
                </w:tcPr>
                <w:p w14:paraId="6492EF5C">
                  <w:pPr>
                    <w:widowControl w:val="0"/>
                    <w:overflowPunct w:val="0"/>
                    <w:autoSpaceDE w:val="0"/>
                    <w:autoSpaceDN w:val="0"/>
                    <w:snapToGrid w:val="0"/>
                    <w:jc w:val="center"/>
                    <w:rPr>
                      <w:color w:val="auto"/>
                      <w14:ligatures w14:val="standardContextual"/>
                    </w:rPr>
                  </w:pPr>
                  <w:r>
                    <w:rPr>
                      <w:rFonts w:hint="eastAsia"/>
                      <w:color w:val="auto"/>
                      <w14:ligatures w14:val="standardContextual"/>
                    </w:rPr>
                    <w:t>落料过程</w:t>
                  </w:r>
                </w:p>
              </w:tc>
              <w:tc>
                <w:tcPr>
                  <w:tcW w:w="998" w:type="pct"/>
                  <w:vAlign w:val="center"/>
                </w:tcPr>
                <w:p w14:paraId="73F58A0A">
                  <w:pPr>
                    <w:widowControl w:val="0"/>
                    <w:overflowPunct w:val="0"/>
                    <w:autoSpaceDE w:val="0"/>
                    <w:autoSpaceDN w:val="0"/>
                    <w:snapToGrid w:val="0"/>
                    <w:jc w:val="center"/>
                    <w:rPr>
                      <w:color w:val="auto"/>
                      <w14:ligatures w14:val="standardContextual"/>
                    </w:rPr>
                  </w:pPr>
                  <w:r>
                    <w:rPr>
                      <w:rFonts w:hint="eastAsia"/>
                      <w:color w:val="auto"/>
                      <w14:ligatures w14:val="standardContextual"/>
                    </w:rPr>
                    <w:t>落料粉尘</w:t>
                  </w:r>
                </w:p>
              </w:tc>
              <w:tc>
                <w:tcPr>
                  <w:tcW w:w="823" w:type="pct"/>
                  <w:vAlign w:val="center"/>
                </w:tcPr>
                <w:p w14:paraId="2DBD97DF">
                  <w:pPr>
                    <w:widowControl w:val="0"/>
                    <w:overflowPunct w:val="0"/>
                    <w:autoSpaceDE w:val="0"/>
                    <w:autoSpaceDN w:val="0"/>
                    <w:snapToGrid w:val="0"/>
                    <w:jc w:val="center"/>
                    <w:rPr>
                      <w:color w:val="auto"/>
                      <w14:ligatures w14:val="standardContextual"/>
                    </w:rPr>
                  </w:pPr>
                  <w:r>
                    <w:rPr>
                      <w:rFonts w:hint="eastAsia"/>
                      <w:color w:val="auto"/>
                      <w14:ligatures w14:val="standardContextual"/>
                    </w:rPr>
                    <w:t>颗粒物</w:t>
                  </w:r>
                </w:p>
              </w:tc>
              <w:tc>
                <w:tcPr>
                  <w:tcW w:w="447" w:type="pct"/>
                  <w:vAlign w:val="center"/>
                </w:tcPr>
                <w:p w14:paraId="5D7811C3">
                  <w:pPr>
                    <w:widowControl w:val="0"/>
                    <w:overflowPunct w:val="0"/>
                    <w:autoSpaceDE w:val="0"/>
                    <w:autoSpaceDN w:val="0"/>
                    <w:snapToGrid w:val="0"/>
                    <w:jc w:val="center"/>
                    <w:rPr>
                      <w:color w:val="auto"/>
                      <w14:ligatures w14:val="standardContextual"/>
                    </w:rPr>
                  </w:pPr>
                  <w:r>
                    <w:rPr>
                      <w:rFonts w:hint="eastAsia"/>
                      <w:color w:val="auto"/>
                      <w14:ligatures w14:val="standardContextual"/>
                    </w:rPr>
                    <w:t>连续</w:t>
                  </w:r>
                </w:p>
              </w:tc>
              <w:tc>
                <w:tcPr>
                  <w:tcW w:w="1384" w:type="pct"/>
                  <w:vAlign w:val="center"/>
                </w:tcPr>
                <w:p w14:paraId="624E582E">
                  <w:pPr>
                    <w:widowControl w:val="0"/>
                    <w:overflowPunct w:val="0"/>
                    <w:autoSpaceDE w:val="0"/>
                    <w:autoSpaceDN w:val="0"/>
                    <w:snapToGrid w:val="0"/>
                    <w:jc w:val="center"/>
                    <w:rPr>
                      <w:color w:val="auto"/>
                      <w14:ligatures w14:val="standardContextual"/>
                    </w:rPr>
                  </w:pPr>
                  <w:r>
                    <w:rPr>
                      <w:rFonts w:hint="eastAsia"/>
                      <w:color w:val="auto"/>
                      <w14:ligatures w14:val="standardContextual"/>
                    </w:rPr>
                    <w:t>厂房封闭，落料点通过采取喷雾除尘等措施</w:t>
                  </w:r>
                </w:p>
              </w:tc>
            </w:tr>
            <w:tr w14:paraId="628B09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65" w:hRule="atLeast"/>
                <w:jc w:val="center"/>
              </w:trPr>
              <w:tc>
                <w:tcPr>
                  <w:tcW w:w="261" w:type="pct"/>
                  <w:vMerge w:val="continue"/>
                  <w:vAlign w:val="center"/>
                </w:tcPr>
                <w:p w14:paraId="322B3C4D">
                  <w:pPr>
                    <w:widowControl w:val="0"/>
                    <w:overflowPunct w:val="0"/>
                    <w:autoSpaceDE w:val="0"/>
                    <w:autoSpaceDN w:val="0"/>
                    <w:snapToGrid w:val="0"/>
                    <w:jc w:val="center"/>
                    <w:rPr>
                      <w14:ligatures w14:val="standardContextual"/>
                    </w:rPr>
                  </w:pPr>
                </w:p>
              </w:tc>
              <w:tc>
                <w:tcPr>
                  <w:tcW w:w="347" w:type="pct"/>
                  <w:vAlign w:val="center"/>
                </w:tcPr>
                <w:p w14:paraId="3FB51B95">
                  <w:pPr>
                    <w:widowControl w:val="0"/>
                    <w:overflowPunct w:val="0"/>
                    <w:autoSpaceDE w:val="0"/>
                    <w:autoSpaceDN w:val="0"/>
                    <w:snapToGrid w:val="0"/>
                    <w:jc w:val="center"/>
                    <w:rPr>
                      <w:color w:val="auto"/>
                      <w14:ligatures w14:val="standardContextual"/>
                    </w:rPr>
                  </w:pPr>
                  <w:r>
                    <w:rPr>
                      <w:rFonts w:hint="eastAsia"/>
                      <w:color w:val="auto"/>
                      <w14:ligatures w14:val="standardContextual"/>
                    </w:rPr>
                    <w:t>G3</w:t>
                  </w:r>
                </w:p>
              </w:tc>
              <w:tc>
                <w:tcPr>
                  <w:tcW w:w="740" w:type="pct"/>
                  <w:vAlign w:val="center"/>
                </w:tcPr>
                <w:p w14:paraId="21EFF328">
                  <w:pPr>
                    <w:widowControl w:val="0"/>
                    <w:overflowPunct w:val="0"/>
                    <w:autoSpaceDE w:val="0"/>
                    <w:autoSpaceDN w:val="0"/>
                    <w:snapToGrid w:val="0"/>
                    <w:jc w:val="center"/>
                    <w:rPr>
                      <w:color w:val="auto"/>
                      <w14:ligatures w14:val="standardContextual"/>
                    </w:rPr>
                  </w:pPr>
                  <w:r>
                    <w:rPr>
                      <w:rFonts w:hint="eastAsia"/>
                      <w:color w:val="auto"/>
                      <w14:ligatures w14:val="standardContextual"/>
                    </w:rPr>
                    <w:t>车辆运输</w:t>
                  </w:r>
                </w:p>
              </w:tc>
              <w:tc>
                <w:tcPr>
                  <w:tcW w:w="998" w:type="pct"/>
                  <w:vAlign w:val="center"/>
                </w:tcPr>
                <w:p w14:paraId="0D4FF8B6">
                  <w:pPr>
                    <w:widowControl w:val="0"/>
                    <w:overflowPunct w:val="0"/>
                    <w:autoSpaceDE w:val="0"/>
                    <w:autoSpaceDN w:val="0"/>
                    <w:snapToGrid w:val="0"/>
                    <w:jc w:val="center"/>
                    <w:rPr>
                      <w:color w:val="auto"/>
                      <w14:ligatures w14:val="standardContextual"/>
                    </w:rPr>
                  </w:pPr>
                  <w:r>
                    <w:rPr>
                      <w:rFonts w:hint="eastAsia"/>
                      <w:color w:val="auto"/>
                      <w14:ligatures w14:val="standardContextual"/>
                    </w:rPr>
                    <w:t>车辆运输扬尘</w:t>
                  </w:r>
                </w:p>
              </w:tc>
              <w:tc>
                <w:tcPr>
                  <w:tcW w:w="823" w:type="pct"/>
                  <w:vAlign w:val="center"/>
                </w:tcPr>
                <w:p w14:paraId="500513EA">
                  <w:pPr>
                    <w:widowControl w:val="0"/>
                    <w:overflowPunct w:val="0"/>
                    <w:autoSpaceDE w:val="0"/>
                    <w:autoSpaceDN w:val="0"/>
                    <w:snapToGrid w:val="0"/>
                    <w:jc w:val="center"/>
                    <w:rPr>
                      <w:color w:val="auto"/>
                      <w14:ligatures w14:val="standardContextual"/>
                    </w:rPr>
                  </w:pPr>
                  <w:r>
                    <w:rPr>
                      <w:rFonts w:hint="eastAsia"/>
                      <w:color w:val="auto"/>
                      <w14:ligatures w14:val="standardContextual"/>
                    </w:rPr>
                    <w:t>颗粒物</w:t>
                  </w:r>
                </w:p>
              </w:tc>
              <w:tc>
                <w:tcPr>
                  <w:tcW w:w="447" w:type="pct"/>
                  <w:vAlign w:val="center"/>
                </w:tcPr>
                <w:p w14:paraId="6DD9E1E1">
                  <w:pPr>
                    <w:widowControl w:val="0"/>
                    <w:overflowPunct w:val="0"/>
                    <w:autoSpaceDE w:val="0"/>
                    <w:autoSpaceDN w:val="0"/>
                    <w:snapToGrid w:val="0"/>
                    <w:jc w:val="center"/>
                    <w:rPr>
                      <w:color w:val="auto"/>
                      <w14:ligatures w14:val="standardContextual"/>
                    </w:rPr>
                  </w:pPr>
                  <w:r>
                    <w:rPr>
                      <w:color w:val="auto"/>
                      <w14:ligatures w14:val="standardContextual"/>
                    </w:rPr>
                    <w:t>间歇</w:t>
                  </w:r>
                </w:p>
              </w:tc>
              <w:tc>
                <w:tcPr>
                  <w:tcW w:w="1384" w:type="pct"/>
                  <w:vAlign w:val="center"/>
                </w:tcPr>
                <w:p w14:paraId="5ABB67D4">
                  <w:pPr>
                    <w:widowControl w:val="0"/>
                    <w:overflowPunct w:val="0"/>
                    <w:autoSpaceDE w:val="0"/>
                    <w:autoSpaceDN w:val="0"/>
                    <w:snapToGrid w:val="0"/>
                    <w:jc w:val="center"/>
                    <w:rPr>
                      <w:color w:val="auto"/>
                      <w14:ligatures w14:val="standardContextual"/>
                    </w:rPr>
                  </w:pPr>
                  <w:r>
                    <w:rPr>
                      <w:rFonts w:hint="eastAsia"/>
                      <w:color w:val="auto"/>
                      <w14:ligatures w14:val="standardContextual"/>
                    </w:rPr>
                    <w:t>厂区道路进行硬化、定期洒水、运输车辆加盖毡布</w:t>
                  </w:r>
                </w:p>
              </w:tc>
            </w:tr>
            <w:tr w14:paraId="390BF7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65" w:hRule="atLeast"/>
                <w:jc w:val="center"/>
              </w:trPr>
              <w:tc>
                <w:tcPr>
                  <w:tcW w:w="261" w:type="pct"/>
                  <w:vAlign w:val="center"/>
                </w:tcPr>
                <w:p w14:paraId="5262769C">
                  <w:pPr>
                    <w:widowControl w:val="0"/>
                    <w:overflowPunct w:val="0"/>
                    <w:autoSpaceDE w:val="0"/>
                    <w:autoSpaceDN w:val="0"/>
                    <w:snapToGrid w:val="0"/>
                    <w:jc w:val="center"/>
                    <w:rPr>
                      <w14:ligatures w14:val="standardContextual"/>
                    </w:rPr>
                  </w:pPr>
                  <w:r>
                    <w:rPr>
                      <w14:ligatures w14:val="standardContextual"/>
                    </w:rPr>
                    <w:t>噪声</w:t>
                  </w:r>
                </w:p>
              </w:tc>
              <w:tc>
                <w:tcPr>
                  <w:tcW w:w="347" w:type="pct"/>
                  <w:vAlign w:val="center"/>
                </w:tcPr>
                <w:p w14:paraId="1950DF2D">
                  <w:pPr>
                    <w:widowControl w:val="0"/>
                    <w:overflowPunct w:val="0"/>
                    <w:autoSpaceDE w:val="0"/>
                    <w:autoSpaceDN w:val="0"/>
                    <w:snapToGrid w:val="0"/>
                    <w:jc w:val="center"/>
                    <w:rPr>
                      <w:color w:val="auto"/>
                      <w14:ligatures w14:val="standardContextual"/>
                    </w:rPr>
                  </w:pPr>
                  <w:r>
                    <w:rPr>
                      <w:rFonts w:hint="eastAsia"/>
                      <w:color w:val="auto"/>
                      <w14:ligatures w14:val="standardContextual"/>
                    </w:rPr>
                    <w:t>N</w:t>
                  </w:r>
                </w:p>
              </w:tc>
              <w:tc>
                <w:tcPr>
                  <w:tcW w:w="740" w:type="pct"/>
                  <w:vAlign w:val="center"/>
                </w:tcPr>
                <w:p w14:paraId="7341E19D">
                  <w:pPr>
                    <w:widowControl w:val="0"/>
                    <w:overflowPunct w:val="0"/>
                    <w:autoSpaceDE w:val="0"/>
                    <w:autoSpaceDN w:val="0"/>
                    <w:snapToGrid w:val="0"/>
                    <w:jc w:val="center"/>
                    <w:rPr>
                      <w:color w:val="auto"/>
                      <w14:ligatures w14:val="standardContextual"/>
                    </w:rPr>
                  </w:pPr>
                  <w:r>
                    <w:rPr>
                      <w:color w:val="auto"/>
                      <w14:ligatures w14:val="standardContextual"/>
                    </w:rPr>
                    <w:t>生产设备</w:t>
                  </w:r>
                </w:p>
              </w:tc>
              <w:tc>
                <w:tcPr>
                  <w:tcW w:w="998" w:type="pct"/>
                  <w:vAlign w:val="center"/>
                </w:tcPr>
                <w:p w14:paraId="266D27A6">
                  <w:pPr>
                    <w:widowControl w:val="0"/>
                    <w:overflowPunct w:val="0"/>
                    <w:autoSpaceDE w:val="0"/>
                    <w:autoSpaceDN w:val="0"/>
                    <w:snapToGrid w:val="0"/>
                    <w:jc w:val="center"/>
                    <w:rPr>
                      <w:color w:val="auto"/>
                      <w14:ligatures w14:val="standardContextual"/>
                    </w:rPr>
                  </w:pPr>
                  <w:r>
                    <w:rPr>
                      <w:rFonts w:hint="eastAsia"/>
                      <w:color w:val="auto"/>
                      <w14:ligatures w14:val="standardContextual"/>
                    </w:rPr>
                    <w:t>各类生产设备及风机运行噪声</w:t>
                  </w:r>
                </w:p>
              </w:tc>
              <w:tc>
                <w:tcPr>
                  <w:tcW w:w="823" w:type="pct"/>
                  <w:vAlign w:val="center"/>
                </w:tcPr>
                <w:p w14:paraId="4496D123">
                  <w:pPr>
                    <w:widowControl w:val="0"/>
                    <w:overflowPunct w:val="0"/>
                    <w:autoSpaceDE w:val="0"/>
                    <w:autoSpaceDN w:val="0"/>
                    <w:snapToGrid w:val="0"/>
                    <w:jc w:val="center"/>
                    <w:rPr>
                      <w:color w:val="auto"/>
                      <w14:ligatures w14:val="standardContextual"/>
                    </w:rPr>
                  </w:pPr>
                  <w:r>
                    <w:rPr>
                      <w:color w:val="auto"/>
                      <w14:ligatures w14:val="standardContextual"/>
                    </w:rPr>
                    <w:t>等效A声级</w:t>
                  </w:r>
                </w:p>
              </w:tc>
              <w:tc>
                <w:tcPr>
                  <w:tcW w:w="447" w:type="pct"/>
                  <w:vAlign w:val="center"/>
                </w:tcPr>
                <w:p w14:paraId="68E210A4">
                  <w:pPr>
                    <w:widowControl w:val="0"/>
                    <w:overflowPunct w:val="0"/>
                    <w:autoSpaceDE w:val="0"/>
                    <w:autoSpaceDN w:val="0"/>
                    <w:snapToGrid w:val="0"/>
                    <w:jc w:val="center"/>
                    <w:rPr>
                      <w:color w:val="auto"/>
                      <w14:ligatures w14:val="standardContextual"/>
                    </w:rPr>
                  </w:pPr>
                  <w:r>
                    <w:rPr>
                      <w:color w:val="auto"/>
                      <w14:ligatures w14:val="standardContextual"/>
                    </w:rPr>
                    <w:t>间歇</w:t>
                  </w:r>
                </w:p>
              </w:tc>
              <w:tc>
                <w:tcPr>
                  <w:tcW w:w="1384" w:type="pct"/>
                  <w:vAlign w:val="center"/>
                </w:tcPr>
                <w:p w14:paraId="43A5571E">
                  <w:pPr>
                    <w:widowControl w:val="0"/>
                    <w:overflowPunct w:val="0"/>
                    <w:autoSpaceDE w:val="0"/>
                    <w:autoSpaceDN w:val="0"/>
                    <w:snapToGrid w:val="0"/>
                    <w:jc w:val="center"/>
                    <w:rPr>
                      <w:color w:val="auto"/>
                      <w14:ligatures w14:val="standardContextual"/>
                    </w:rPr>
                  </w:pPr>
                  <w:r>
                    <w:rPr>
                      <w:rFonts w:hint="eastAsia"/>
                      <w:color w:val="auto"/>
                      <w14:ligatures w14:val="standardContextual"/>
                    </w:rPr>
                    <w:t>隔声、吸声、减振降噪、低噪声设备</w:t>
                  </w:r>
                </w:p>
              </w:tc>
            </w:tr>
            <w:tr w14:paraId="4EF2EC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28" w:hRule="atLeast"/>
                <w:jc w:val="center"/>
              </w:trPr>
              <w:tc>
                <w:tcPr>
                  <w:tcW w:w="261" w:type="pct"/>
                  <w:vMerge w:val="restart"/>
                  <w:vAlign w:val="center"/>
                </w:tcPr>
                <w:p w14:paraId="1B16A563">
                  <w:pPr>
                    <w:widowControl w:val="0"/>
                    <w:overflowPunct w:val="0"/>
                    <w:autoSpaceDE w:val="0"/>
                    <w:autoSpaceDN w:val="0"/>
                    <w:snapToGrid w:val="0"/>
                    <w:jc w:val="center"/>
                    <w:rPr>
                      <w14:ligatures w14:val="standardContextual"/>
                    </w:rPr>
                  </w:pPr>
                  <w:r>
                    <w:rPr>
                      <w:rFonts w:hint="eastAsia"/>
                      <w14:ligatures w14:val="standardContextual"/>
                    </w:rPr>
                    <w:t>固废</w:t>
                  </w:r>
                </w:p>
              </w:tc>
              <w:tc>
                <w:tcPr>
                  <w:tcW w:w="347" w:type="pct"/>
                  <w:vAlign w:val="center"/>
                </w:tcPr>
                <w:p w14:paraId="49F97644">
                  <w:pPr>
                    <w:widowControl w:val="0"/>
                    <w:overflowPunct w:val="0"/>
                    <w:autoSpaceDE w:val="0"/>
                    <w:autoSpaceDN w:val="0"/>
                    <w:snapToGrid w:val="0"/>
                    <w:jc w:val="center"/>
                    <w:rPr>
                      <w:color w:val="auto"/>
                      <w14:ligatures w14:val="standardContextual"/>
                    </w:rPr>
                  </w:pPr>
                  <w:r>
                    <w:rPr>
                      <w:rFonts w:hint="eastAsia"/>
                      <w:color w:val="auto"/>
                      <w14:ligatures w14:val="standardContextual"/>
                    </w:rPr>
                    <w:t>S1</w:t>
                  </w:r>
                </w:p>
              </w:tc>
              <w:tc>
                <w:tcPr>
                  <w:tcW w:w="740" w:type="pct"/>
                  <w:vAlign w:val="center"/>
                </w:tcPr>
                <w:p w14:paraId="6421CB25">
                  <w:pPr>
                    <w:widowControl w:val="0"/>
                    <w:overflowPunct w:val="0"/>
                    <w:autoSpaceDE w:val="0"/>
                    <w:autoSpaceDN w:val="0"/>
                    <w:snapToGrid w:val="0"/>
                    <w:jc w:val="center"/>
                    <w:rPr>
                      <w:color w:val="auto"/>
                      <w14:ligatures w14:val="standardContextual"/>
                    </w:rPr>
                  </w:pPr>
                  <w:r>
                    <w:rPr>
                      <w:rFonts w:hint="eastAsia"/>
                      <w:color w:val="auto"/>
                      <w14:ligatures w14:val="standardContextual"/>
                    </w:rPr>
                    <w:t>预分选</w:t>
                  </w:r>
                </w:p>
              </w:tc>
              <w:tc>
                <w:tcPr>
                  <w:tcW w:w="998" w:type="pct"/>
                  <w:vAlign w:val="center"/>
                </w:tcPr>
                <w:p w14:paraId="4ED37C3D">
                  <w:pPr>
                    <w:widowControl w:val="0"/>
                    <w:overflowPunct w:val="0"/>
                    <w:autoSpaceDE w:val="0"/>
                    <w:autoSpaceDN w:val="0"/>
                    <w:snapToGrid w:val="0"/>
                    <w:jc w:val="center"/>
                    <w:rPr>
                      <w:color w:val="auto"/>
                      <w14:ligatures w14:val="standardContextual"/>
                    </w:rPr>
                  </w:pPr>
                  <w:r>
                    <w:rPr>
                      <w:rFonts w:hint="eastAsia"/>
                      <w:color w:val="auto"/>
                      <w14:ligatures w14:val="standardContextual"/>
                    </w:rPr>
                    <w:t>废土料</w:t>
                  </w:r>
                </w:p>
              </w:tc>
              <w:tc>
                <w:tcPr>
                  <w:tcW w:w="823" w:type="pct"/>
                  <w:vAlign w:val="center"/>
                </w:tcPr>
                <w:p w14:paraId="22520F9F">
                  <w:pPr>
                    <w:widowControl w:val="0"/>
                    <w:overflowPunct w:val="0"/>
                    <w:autoSpaceDE w:val="0"/>
                    <w:autoSpaceDN w:val="0"/>
                    <w:snapToGrid w:val="0"/>
                    <w:jc w:val="center"/>
                    <w:rPr>
                      <w:color w:val="auto"/>
                      <w14:ligatures w14:val="standardContextual"/>
                    </w:rPr>
                  </w:pPr>
                  <w:r>
                    <w:rPr>
                      <w:rFonts w:hint="eastAsia"/>
                      <w:color w:val="auto"/>
                      <w14:ligatures w14:val="standardContextual"/>
                    </w:rPr>
                    <w:t>一般固废</w:t>
                  </w:r>
                </w:p>
              </w:tc>
              <w:tc>
                <w:tcPr>
                  <w:tcW w:w="447" w:type="pct"/>
                  <w:vAlign w:val="center"/>
                </w:tcPr>
                <w:p w14:paraId="412E09F9">
                  <w:pPr>
                    <w:widowControl w:val="0"/>
                    <w:overflowPunct w:val="0"/>
                    <w:autoSpaceDE w:val="0"/>
                    <w:autoSpaceDN w:val="0"/>
                    <w:snapToGrid w:val="0"/>
                    <w:jc w:val="center"/>
                    <w:rPr>
                      <w:color w:val="auto"/>
                      <w14:ligatures w14:val="standardContextual"/>
                    </w:rPr>
                  </w:pPr>
                  <w:r>
                    <w:rPr>
                      <w:color w:val="auto"/>
                      <w14:ligatures w14:val="standardContextual"/>
                    </w:rPr>
                    <w:t>间歇</w:t>
                  </w:r>
                </w:p>
              </w:tc>
              <w:tc>
                <w:tcPr>
                  <w:tcW w:w="1384" w:type="pct"/>
                  <w:vMerge w:val="restart"/>
                  <w:vAlign w:val="center"/>
                </w:tcPr>
                <w:p w14:paraId="1E416CAD">
                  <w:pPr>
                    <w:widowControl w:val="0"/>
                    <w:overflowPunct w:val="0"/>
                    <w:autoSpaceDE w:val="0"/>
                    <w:autoSpaceDN w:val="0"/>
                    <w:snapToGrid w:val="0"/>
                    <w:jc w:val="center"/>
                    <w:rPr>
                      <w:color w:val="auto"/>
                      <w14:ligatures w14:val="standardContextual"/>
                    </w:rPr>
                  </w:pPr>
                  <w:r>
                    <w:rPr>
                      <w:rFonts w:hint="eastAsia"/>
                      <w:color w:val="auto"/>
                      <w14:ligatures w14:val="standardContextual"/>
                    </w:rPr>
                    <w:t>暂存于产品堆料区+外售综合利用</w:t>
                  </w:r>
                </w:p>
              </w:tc>
            </w:tr>
            <w:tr w14:paraId="1910F2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23" w:hRule="atLeast"/>
                <w:jc w:val="center"/>
              </w:trPr>
              <w:tc>
                <w:tcPr>
                  <w:tcW w:w="261" w:type="pct"/>
                  <w:vMerge w:val="continue"/>
                  <w:vAlign w:val="center"/>
                </w:tcPr>
                <w:p w14:paraId="3779009D">
                  <w:pPr>
                    <w:widowControl w:val="0"/>
                    <w:overflowPunct w:val="0"/>
                    <w:autoSpaceDE w:val="0"/>
                    <w:autoSpaceDN w:val="0"/>
                    <w:snapToGrid w:val="0"/>
                    <w:jc w:val="center"/>
                    <w:rPr>
                      <w14:ligatures w14:val="standardContextual"/>
                    </w:rPr>
                  </w:pPr>
                </w:p>
              </w:tc>
              <w:tc>
                <w:tcPr>
                  <w:tcW w:w="347" w:type="pct"/>
                  <w:vAlign w:val="center"/>
                </w:tcPr>
                <w:p w14:paraId="38195B08">
                  <w:pPr>
                    <w:widowControl w:val="0"/>
                    <w:overflowPunct w:val="0"/>
                    <w:autoSpaceDE w:val="0"/>
                    <w:autoSpaceDN w:val="0"/>
                    <w:snapToGrid w:val="0"/>
                    <w:jc w:val="center"/>
                    <w:rPr>
                      <w14:ligatures w14:val="standardContextual"/>
                    </w:rPr>
                  </w:pPr>
                  <w:r>
                    <w:rPr>
                      <w:rFonts w:hint="eastAsia"/>
                      <w14:ligatures w14:val="standardContextual"/>
                    </w:rPr>
                    <w:t>S2</w:t>
                  </w:r>
                </w:p>
              </w:tc>
              <w:tc>
                <w:tcPr>
                  <w:tcW w:w="740" w:type="pct"/>
                  <w:vAlign w:val="center"/>
                </w:tcPr>
                <w:p w14:paraId="3FC60D22">
                  <w:pPr>
                    <w:widowControl w:val="0"/>
                    <w:overflowPunct w:val="0"/>
                    <w:autoSpaceDE w:val="0"/>
                    <w:autoSpaceDN w:val="0"/>
                    <w:snapToGrid w:val="0"/>
                    <w:jc w:val="center"/>
                    <w:rPr>
                      <w14:ligatures w14:val="standardContextual"/>
                    </w:rPr>
                  </w:pPr>
                  <w:r>
                    <w:rPr>
                      <w:rFonts w:hint="eastAsia"/>
                      <w14:ligatures w14:val="standardContextual"/>
                    </w:rPr>
                    <w:t>磁选</w:t>
                  </w:r>
                </w:p>
              </w:tc>
              <w:tc>
                <w:tcPr>
                  <w:tcW w:w="998" w:type="pct"/>
                  <w:vAlign w:val="center"/>
                </w:tcPr>
                <w:p w14:paraId="2BF2B947">
                  <w:pPr>
                    <w:widowControl w:val="0"/>
                    <w:overflowPunct w:val="0"/>
                    <w:autoSpaceDE w:val="0"/>
                    <w:autoSpaceDN w:val="0"/>
                    <w:snapToGrid w:val="0"/>
                    <w:jc w:val="center"/>
                    <w:rPr>
                      <w14:ligatures w14:val="standardContextual"/>
                    </w:rPr>
                  </w:pPr>
                  <w:r>
                    <w:rPr>
                      <w:rFonts w:hint="eastAsia"/>
                      <w14:ligatures w14:val="standardContextual"/>
                    </w:rPr>
                    <w:t>废金属</w:t>
                  </w:r>
                </w:p>
              </w:tc>
              <w:tc>
                <w:tcPr>
                  <w:tcW w:w="823" w:type="pct"/>
                  <w:vAlign w:val="center"/>
                </w:tcPr>
                <w:p w14:paraId="19BAB029">
                  <w:pPr>
                    <w:widowControl w:val="0"/>
                    <w:overflowPunct w:val="0"/>
                    <w:autoSpaceDE w:val="0"/>
                    <w:autoSpaceDN w:val="0"/>
                    <w:snapToGrid w:val="0"/>
                    <w:jc w:val="center"/>
                    <w:rPr>
                      <w14:ligatures w14:val="standardContextual"/>
                    </w:rPr>
                  </w:pPr>
                  <w:r>
                    <w:rPr>
                      <w:rFonts w:hint="eastAsia"/>
                      <w14:ligatures w14:val="standardContextual"/>
                    </w:rPr>
                    <w:t>一般固废</w:t>
                  </w:r>
                </w:p>
              </w:tc>
              <w:tc>
                <w:tcPr>
                  <w:tcW w:w="447" w:type="pct"/>
                  <w:vAlign w:val="center"/>
                </w:tcPr>
                <w:p w14:paraId="2A04E6CB">
                  <w:pPr>
                    <w:widowControl w:val="0"/>
                    <w:overflowPunct w:val="0"/>
                    <w:autoSpaceDE w:val="0"/>
                    <w:autoSpaceDN w:val="0"/>
                    <w:snapToGrid w:val="0"/>
                    <w:jc w:val="center"/>
                    <w:rPr>
                      <w14:ligatures w14:val="standardContextual"/>
                    </w:rPr>
                  </w:pPr>
                  <w:r>
                    <w:rPr>
                      <w14:ligatures w14:val="standardContextual"/>
                    </w:rPr>
                    <w:t>间歇</w:t>
                  </w:r>
                </w:p>
              </w:tc>
              <w:tc>
                <w:tcPr>
                  <w:tcW w:w="1384" w:type="pct"/>
                  <w:vMerge w:val="continue"/>
                  <w:vAlign w:val="center"/>
                </w:tcPr>
                <w:p w14:paraId="1916C1AE">
                  <w:pPr>
                    <w:widowControl w:val="0"/>
                    <w:overflowPunct w:val="0"/>
                    <w:autoSpaceDE w:val="0"/>
                    <w:autoSpaceDN w:val="0"/>
                    <w:snapToGrid w:val="0"/>
                    <w:jc w:val="center"/>
                    <w:rPr>
                      <w14:ligatures w14:val="standardContextual"/>
                    </w:rPr>
                  </w:pPr>
                </w:p>
              </w:tc>
            </w:tr>
            <w:tr w14:paraId="5DFE8C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23" w:hRule="atLeast"/>
                <w:jc w:val="center"/>
              </w:trPr>
              <w:tc>
                <w:tcPr>
                  <w:tcW w:w="261" w:type="pct"/>
                  <w:vMerge w:val="continue"/>
                  <w:vAlign w:val="center"/>
                </w:tcPr>
                <w:p w14:paraId="165E4CD3">
                  <w:pPr>
                    <w:widowControl w:val="0"/>
                    <w:overflowPunct w:val="0"/>
                    <w:autoSpaceDE w:val="0"/>
                    <w:autoSpaceDN w:val="0"/>
                    <w:snapToGrid w:val="0"/>
                    <w:jc w:val="center"/>
                    <w:rPr>
                      <w14:ligatures w14:val="standardContextual"/>
                    </w:rPr>
                  </w:pPr>
                </w:p>
              </w:tc>
              <w:tc>
                <w:tcPr>
                  <w:tcW w:w="347" w:type="pct"/>
                  <w:vAlign w:val="center"/>
                </w:tcPr>
                <w:p w14:paraId="3AB5FF36">
                  <w:pPr>
                    <w:widowControl w:val="0"/>
                    <w:overflowPunct w:val="0"/>
                    <w:autoSpaceDE w:val="0"/>
                    <w:autoSpaceDN w:val="0"/>
                    <w:snapToGrid w:val="0"/>
                    <w:jc w:val="center"/>
                    <w:rPr>
                      <w14:ligatures w14:val="standardContextual"/>
                    </w:rPr>
                  </w:pPr>
                  <w:r>
                    <w:rPr>
                      <w:rFonts w:hint="eastAsia"/>
                      <w14:ligatures w14:val="standardContextual"/>
                    </w:rPr>
                    <w:t>S3</w:t>
                  </w:r>
                </w:p>
              </w:tc>
              <w:tc>
                <w:tcPr>
                  <w:tcW w:w="740" w:type="pct"/>
                  <w:vAlign w:val="center"/>
                </w:tcPr>
                <w:p w14:paraId="730C9C2C">
                  <w:pPr>
                    <w:widowControl w:val="0"/>
                    <w:overflowPunct w:val="0"/>
                    <w:autoSpaceDE w:val="0"/>
                    <w:autoSpaceDN w:val="0"/>
                    <w:snapToGrid w:val="0"/>
                    <w:jc w:val="center"/>
                    <w:rPr>
                      <w14:ligatures w14:val="standardContextual"/>
                    </w:rPr>
                  </w:pPr>
                  <w:r>
                    <w:rPr>
                      <w:rFonts w:hint="eastAsia"/>
                      <w14:ligatures w14:val="standardContextual"/>
                    </w:rPr>
                    <w:t>预分选、风选</w:t>
                  </w:r>
                </w:p>
              </w:tc>
              <w:tc>
                <w:tcPr>
                  <w:tcW w:w="998" w:type="pct"/>
                  <w:vAlign w:val="center"/>
                </w:tcPr>
                <w:p w14:paraId="45D030DB">
                  <w:pPr>
                    <w:widowControl w:val="0"/>
                    <w:overflowPunct w:val="0"/>
                    <w:autoSpaceDE w:val="0"/>
                    <w:autoSpaceDN w:val="0"/>
                    <w:snapToGrid w:val="0"/>
                    <w:jc w:val="center"/>
                    <w:rPr>
                      <w14:ligatures w14:val="standardContextual"/>
                    </w:rPr>
                  </w:pPr>
                  <w:r>
                    <w:rPr>
                      <w:rFonts w:hint="eastAsia"/>
                      <w14:ligatures w14:val="standardContextual"/>
                    </w:rPr>
                    <w:t>轻物质</w:t>
                  </w:r>
                </w:p>
              </w:tc>
              <w:tc>
                <w:tcPr>
                  <w:tcW w:w="823" w:type="pct"/>
                  <w:vAlign w:val="center"/>
                </w:tcPr>
                <w:p w14:paraId="5EEF188C">
                  <w:pPr>
                    <w:widowControl w:val="0"/>
                    <w:overflowPunct w:val="0"/>
                    <w:autoSpaceDE w:val="0"/>
                    <w:autoSpaceDN w:val="0"/>
                    <w:snapToGrid w:val="0"/>
                    <w:jc w:val="center"/>
                    <w:rPr>
                      <w14:ligatures w14:val="standardContextual"/>
                    </w:rPr>
                  </w:pPr>
                  <w:r>
                    <w:rPr>
                      <w:rFonts w:hint="eastAsia"/>
                      <w14:ligatures w14:val="standardContextual"/>
                    </w:rPr>
                    <w:t>一般固废</w:t>
                  </w:r>
                </w:p>
              </w:tc>
              <w:tc>
                <w:tcPr>
                  <w:tcW w:w="447" w:type="pct"/>
                  <w:vAlign w:val="center"/>
                </w:tcPr>
                <w:p w14:paraId="158DAEA5">
                  <w:pPr>
                    <w:widowControl w:val="0"/>
                    <w:overflowPunct w:val="0"/>
                    <w:autoSpaceDE w:val="0"/>
                    <w:autoSpaceDN w:val="0"/>
                    <w:snapToGrid w:val="0"/>
                    <w:jc w:val="center"/>
                    <w:rPr>
                      <w14:ligatures w14:val="standardContextual"/>
                    </w:rPr>
                  </w:pPr>
                  <w:r>
                    <w:rPr>
                      <w14:ligatures w14:val="standardContextual"/>
                    </w:rPr>
                    <w:t>间歇</w:t>
                  </w:r>
                </w:p>
              </w:tc>
              <w:tc>
                <w:tcPr>
                  <w:tcW w:w="1384" w:type="pct"/>
                  <w:vMerge w:val="continue"/>
                  <w:vAlign w:val="center"/>
                </w:tcPr>
                <w:p w14:paraId="7771A61D">
                  <w:pPr>
                    <w:widowControl w:val="0"/>
                    <w:overflowPunct w:val="0"/>
                    <w:autoSpaceDE w:val="0"/>
                    <w:autoSpaceDN w:val="0"/>
                    <w:snapToGrid w:val="0"/>
                    <w:jc w:val="center"/>
                    <w:rPr>
                      <w14:ligatures w14:val="standardContextual"/>
                    </w:rPr>
                  </w:pPr>
                </w:p>
              </w:tc>
            </w:tr>
            <w:tr w14:paraId="1584FE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23" w:hRule="atLeast"/>
                <w:jc w:val="center"/>
              </w:trPr>
              <w:tc>
                <w:tcPr>
                  <w:tcW w:w="261" w:type="pct"/>
                  <w:vMerge w:val="continue"/>
                  <w:vAlign w:val="center"/>
                </w:tcPr>
                <w:p w14:paraId="5873915F">
                  <w:pPr>
                    <w:widowControl w:val="0"/>
                    <w:overflowPunct w:val="0"/>
                    <w:autoSpaceDE w:val="0"/>
                    <w:autoSpaceDN w:val="0"/>
                    <w:snapToGrid w:val="0"/>
                    <w:jc w:val="center"/>
                    <w:rPr>
                      <w14:ligatures w14:val="standardContextual"/>
                    </w:rPr>
                  </w:pPr>
                </w:p>
              </w:tc>
              <w:tc>
                <w:tcPr>
                  <w:tcW w:w="347" w:type="pct"/>
                  <w:vAlign w:val="center"/>
                </w:tcPr>
                <w:p w14:paraId="26AAA8AE">
                  <w:pPr>
                    <w:widowControl w:val="0"/>
                    <w:overflowPunct w:val="0"/>
                    <w:autoSpaceDE w:val="0"/>
                    <w:autoSpaceDN w:val="0"/>
                    <w:snapToGrid w:val="0"/>
                    <w:jc w:val="center"/>
                    <w:rPr>
                      <w14:ligatures w14:val="standardContextual"/>
                    </w:rPr>
                  </w:pPr>
                  <w:r>
                    <w:rPr>
                      <w:rFonts w:hint="eastAsia"/>
                      <w14:ligatures w14:val="standardContextual"/>
                    </w:rPr>
                    <w:t>S4</w:t>
                  </w:r>
                </w:p>
              </w:tc>
              <w:tc>
                <w:tcPr>
                  <w:tcW w:w="740" w:type="pct"/>
                  <w:vAlign w:val="center"/>
                </w:tcPr>
                <w:p w14:paraId="34003AC0">
                  <w:pPr>
                    <w:widowControl w:val="0"/>
                    <w:overflowPunct w:val="0"/>
                    <w:autoSpaceDE w:val="0"/>
                    <w:autoSpaceDN w:val="0"/>
                    <w:snapToGrid w:val="0"/>
                    <w:jc w:val="center"/>
                    <w:rPr>
                      <w14:ligatures w14:val="standardContextual"/>
                    </w:rPr>
                  </w:pPr>
                  <w:r>
                    <w:rPr>
                      <w:rFonts w:hint="eastAsia"/>
                      <w14:ligatures w14:val="standardContextual"/>
                    </w:rPr>
                    <w:t>废气处理</w:t>
                  </w:r>
                </w:p>
              </w:tc>
              <w:tc>
                <w:tcPr>
                  <w:tcW w:w="998" w:type="pct"/>
                  <w:vAlign w:val="center"/>
                </w:tcPr>
                <w:p w14:paraId="649CD0FC">
                  <w:pPr>
                    <w:widowControl w:val="0"/>
                    <w:overflowPunct w:val="0"/>
                    <w:autoSpaceDE w:val="0"/>
                    <w:autoSpaceDN w:val="0"/>
                    <w:snapToGrid w:val="0"/>
                    <w:jc w:val="center"/>
                    <w:rPr>
                      <w14:ligatures w14:val="standardContextual"/>
                    </w:rPr>
                  </w:pPr>
                  <w:r>
                    <w:rPr>
                      <w:rFonts w:hint="eastAsia"/>
                      <w14:ligatures w14:val="standardContextual"/>
                    </w:rPr>
                    <w:t>废布袋</w:t>
                  </w:r>
                </w:p>
              </w:tc>
              <w:tc>
                <w:tcPr>
                  <w:tcW w:w="823" w:type="pct"/>
                  <w:vAlign w:val="center"/>
                </w:tcPr>
                <w:p w14:paraId="6F0A4DD4">
                  <w:pPr>
                    <w:widowControl w:val="0"/>
                    <w:overflowPunct w:val="0"/>
                    <w:autoSpaceDE w:val="0"/>
                    <w:autoSpaceDN w:val="0"/>
                    <w:snapToGrid w:val="0"/>
                    <w:jc w:val="center"/>
                    <w:rPr>
                      <w14:ligatures w14:val="standardContextual"/>
                    </w:rPr>
                  </w:pPr>
                  <w:bookmarkStart w:id="34" w:name="OLE_LINK267"/>
                  <w:r>
                    <w:rPr>
                      <w:rFonts w:hint="eastAsia"/>
                      <w14:ligatures w14:val="standardContextual"/>
                    </w:rPr>
                    <w:t>一般固废</w:t>
                  </w:r>
                  <w:bookmarkEnd w:id="34"/>
                </w:p>
              </w:tc>
              <w:tc>
                <w:tcPr>
                  <w:tcW w:w="447" w:type="pct"/>
                  <w:vAlign w:val="center"/>
                </w:tcPr>
                <w:p w14:paraId="7958A8A3">
                  <w:pPr>
                    <w:widowControl w:val="0"/>
                    <w:overflowPunct w:val="0"/>
                    <w:autoSpaceDE w:val="0"/>
                    <w:autoSpaceDN w:val="0"/>
                    <w:snapToGrid w:val="0"/>
                    <w:jc w:val="center"/>
                    <w:rPr>
                      <w14:ligatures w14:val="standardContextual"/>
                    </w:rPr>
                  </w:pPr>
                  <w:r>
                    <w:rPr>
                      <w14:ligatures w14:val="standardContextual"/>
                    </w:rPr>
                    <w:t>间歇</w:t>
                  </w:r>
                </w:p>
              </w:tc>
              <w:tc>
                <w:tcPr>
                  <w:tcW w:w="1384" w:type="pct"/>
                  <w:vMerge w:val="continue"/>
                  <w:vAlign w:val="center"/>
                </w:tcPr>
                <w:p w14:paraId="594A6156">
                  <w:pPr>
                    <w:widowControl w:val="0"/>
                    <w:overflowPunct w:val="0"/>
                    <w:autoSpaceDE w:val="0"/>
                    <w:autoSpaceDN w:val="0"/>
                    <w:snapToGrid w:val="0"/>
                    <w:jc w:val="center"/>
                    <w:rPr>
                      <w14:ligatures w14:val="standardContextual"/>
                    </w:rPr>
                  </w:pPr>
                </w:p>
              </w:tc>
            </w:tr>
            <w:tr w14:paraId="49262E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23" w:hRule="atLeast"/>
                <w:jc w:val="center"/>
              </w:trPr>
              <w:tc>
                <w:tcPr>
                  <w:tcW w:w="261" w:type="pct"/>
                  <w:vMerge w:val="continue"/>
                  <w:vAlign w:val="center"/>
                </w:tcPr>
                <w:p w14:paraId="04B8B57B">
                  <w:pPr>
                    <w:widowControl w:val="0"/>
                    <w:overflowPunct w:val="0"/>
                    <w:autoSpaceDE w:val="0"/>
                    <w:autoSpaceDN w:val="0"/>
                    <w:snapToGrid w:val="0"/>
                    <w:jc w:val="center"/>
                    <w:rPr>
                      <w14:ligatures w14:val="standardContextual"/>
                    </w:rPr>
                  </w:pPr>
                </w:p>
              </w:tc>
              <w:tc>
                <w:tcPr>
                  <w:tcW w:w="347" w:type="pct"/>
                  <w:vAlign w:val="center"/>
                </w:tcPr>
                <w:p w14:paraId="3D16EF26">
                  <w:pPr>
                    <w:widowControl w:val="0"/>
                    <w:overflowPunct w:val="0"/>
                    <w:autoSpaceDE w:val="0"/>
                    <w:autoSpaceDN w:val="0"/>
                    <w:snapToGrid w:val="0"/>
                    <w:jc w:val="center"/>
                    <w:rPr>
                      <w14:ligatures w14:val="standardContextual"/>
                    </w:rPr>
                  </w:pPr>
                  <w:r>
                    <w:rPr>
                      <w:rFonts w:hint="eastAsia"/>
                      <w14:ligatures w14:val="standardContextual"/>
                    </w:rPr>
                    <w:t>S5</w:t>
                  </w:r>
                </w:p>
              </w:tc>
              <w:tc>
                <w:tcPr>
                  <w:tcW w:w="740" w:type="pct"/>
                  <w:vAlign w:val="center"/>
                </w:tcPr>
                <w:p w14:paraId="77E4AA3E">
                  <w:pPr>
                    <w:widowControl w:val="0"/>
                    <w:overflowPunct w:val="0"/>
                    <w:autoSpaceDE w:val="0"/>
                    <w:autoSpaceDN w:val="0"/>
                    <w:snapToGrid w:val="0"/>
                    <w:jc w:val="center"/>
                    <w:rPr>
                      <w14:ligatures w14:val="standardContextual"/>
                    </w:rPr>
                  </w:pPr>
                  <w:r>
                    <w:rPr>
                      <w:rFonts w:hint="eastAsia"/>
                      <w14:ligatures w14:val="standardContextual"/>
                    </w:rPr>
                    <w:t>废气处理</w:t>
                  </w:r>
                </w:p>
              </w:tc>
              <w:tc>
                <w:tcPr>
                  <w:tcW w:w="998" w:type="pct"/>
                  <w:vAlign w:val="center"/>
                </w:tcPr>
                <w:p w14:paraId="33E158E0">
                  <w:pPr>
                    <w:widowControl w:val="0"/>
                    <w:overflowPunct w:val="0"/>
                    <w:autoSpaceDE w:val="0"/>
                    <w:autoSpaceDN w:val="0"/>
                    <w:snapToGrid w:val="0"/>
                    <w:jc w:val="center"/>
                    <w:rPr>
                      <w14:ligatures w14:val="standardContextual"/>
                    </w:rPr>
                  </w:pPr>
                  <w:r>
                    <w:rPr>
                      <w:rFonts w:hint="eastAsia"/>
                      <w14:ligatures w14:val="standardContextual"/>
                    </w:rPr>
                    <w:t>收集尘</w:t>
                  </w:r>
                </w:p>
              </w:tc>
              <w:tc>
                <w:tcPr>
                  <w:tcW w:w="823" w:type="pct"/>
                  <w:vAlign w:val="center"/>
                </w:tcPr>
                <w:p w14:paraId="671B5B92">
                  <w:pPr>
                    <w:widowControl w:val="0"/>
                    <w:overflowPunct w:val="0"/>
                    <w:autoSpaceDE w:val="0"/>
                    <w:autoSpaceDN w:val="0"/>
                    <w:snapToGrid w:val="0"/>
                    <w:jc w:val="center"/>
                    <w:rPr>
                      <w14:ligatures w14:val="standardContextual"/>
                    </w:rPr>
                  </w:pPr>
                  <w:r>
                    <w:rPr>
                      <w:rFonts w:hint="eastAsia"/>
                      <w14:ligatures w14:val="standardContextual"/>
                    </w:rPr>
                    <w:t>一般固废</w:t>
                  </w:r>
                </w:p>
              </w:tc>
              <w:tc>
                <w:tcPr>
                  <w:tcW w:w="447" w:type="pct"/>
                  <w:vAlign w:val="center"/>
                </w:tcPr>
                <w:p w14:paraId="1F94D3D9">
                  <w:pPr>
                    <w:widowControl w:val="0"/>
                    <w:overflowPunct w:val="0"/>
                    <w:autoSpaceDE w:val="0"/>
                    <w:autoSpaceDN w:val="0"/>
                    <w:snapToGrid w:val="0"/>
                    <w:jc w:val="center"/>
                    <w:rPr>
                      <w14:ligatures w14:val="standardContextual"/>
                    </w:rPr>
                  </w:pPr>
                  <w:r>
                    <w:rPr>
                      <w14:ligatures w14:val="standardContextual"/>
                    </w:rPr>
                    <w:t>间歇</w:t>
                  </w:r>
                </w:p>
              </w:tc>
              <w:tc>
                <w:tcPr>
                  <w:tcW w:w="1384" w:type="pct"/>
                  <w:vMerge w:val="continue"/>
                  <w:vAlign w:val="center"/>
                </w:tcPr>
                <w:p w14:paraId="2B8FDD36">
                  <w:pPr>
                    <w:widowControl w:val="0"/>
                    <w:overflowPunct w:val="0"/>
                    <w:autoSpaceDE w:val="0"/>
                    <w:autoSpaceDN w:val="0"/>
                    <w:snapToGrid w:val="0"/>
                    <w:jc w:val="center"/>
                    <w:rPr>
                      <w14:ligatures w14:val="standardContextual"/>
                    </w:rPr>
                  </w:pPr>
                </w:p>
              </w:tc>
            </w:tr>
            <w:tr w14:paraId="7654B3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23" w:hRule="atLeast"/>
                <w:jc w:val="center"/>
              </w:trPr>
              <w:tc>
                <w:tcPr>
                  <w:tcW w:w="261" w:type="pct"/>
                  <w:vMerge w:val="continue"/>
                  <w:vAlign w:val="center"/>
                </w:tcPr>
                <w:p w14:paraId="0CB213B2">
                  <w:pPr>
                    <w:widowControl w:val="0"/>
                    <w:overflowPunct w:val="0"/>
                    <w:autoSpaceDE w:val="0"/>
                    <w:autoSpaceDN w:val="0"/>
                    <w:snapToGrid w:val="0"/>
                    <w:jc w:val="center"/>
                    <w:rPr>
                      <w14:ligatures w14:val="standardContextual"/>
                    </w:rPr>
                  </w:pPr>
                </w:p>
              </w:tc>
              <w:tc>
                <w:tcPr>
                  <w:tcW w:w="347" w:type="pct"/>
                  <w:vAlign w:val="center"/>
                </w:tcPr>
                <w:p w14:paraId="26AA5A9F">
                  <w:pPr>
                    <w:widowControl w:val="0"/>
                    <w:overflowPunct w:val="0"/>
                    <w:autoSpaceDE w:val="0"/>
                    <w:autoSpaceDN w:val="0"/>
                    <w:snapToGrid w:val="0"/>
                    <w:jc w:val="center"/>
                    <w:rPr>
                      <w14:ligatures w14:val="standardContextual"/>
                    </w:rPr>
                  </w:pPr>
                  <w:r>
                    <w:rPr>
                      <w:rFonts w:hint="eastAsia"/>
                      <w14:ligatures w14:val="standardContextual"/>
                    </w:rPr>
                    <w:t>S6</w:t>
                  </w:r>
                </w:p>
              </w:tc>
              <w:tc>
                <w:tcPr>
                  <w:tcW w:w="740" w:type="pct"/>
                  <w:vAlign w:val="center"/>
                </w:tcPr>
                <w:p w14:paraId="7063601F">
                  <w:pPr>
                    <w:widowControl w:val="0"/>
                    <w:overflowPunct w:val="0"/>
                    <w:autoSpaceDE w:val="0"/>
                    <w:autoSpaceDN w:val="0"/>
                    <w:snapToGrid w:val="0"/>
                    <w:jc w:val="center"/>
                    <w:rPr>
                      <w14:ligatures w14:val="standardContextual"/>
                    </w:rPr>
                  </w:pPr>
                  <w:r>
                    <w:rPr>
                      <w:rFonts w:hint="eastAsia"/>
                      <w14:ligatures w14:val="standardContextual"/>
                    </w:rPr>
                    <w:t>废水处理</w:t>
                  </w:r>
                </w:p>
              </w:tc>
              <w:tc>
                <w:tcPr>
                  <w:tcW w:w="998" w:type="pct"/>
                  <w:vAlign w:val="center"/>
                </w:tcPr>
                <w:p w14:paraId="2F6B87B7">
                  <w:pPr>
                    <w:widowControl w:val="0"/>
                    <w:overflowPunct w:val="0"/>
                    <w:autoSpaceDE w:val="0"/>
                    <w:autoSpaceDN w:val="0"/>
                    <w:snapToGrid w:val="0"/>
                    <w:jc w:val="center"/>
                    <w:rPr>
                      <w:rFonts w:hint="eastAsia" w:eastAsia="宋体"/>
                      <w:lang w:eastAsia="zh-CN"/>
                      <w14:ligatures w14:val="standardContextual"/>
                    </w:rPr>
                  </w:pPr>
                  <w:r>
                    <w:rPr>
                      <w:rFonts w:hint="eastAsia"/>
                      <w:color w:val="auto"/>
                      <w:u w:val="single"/>
                      <w:lang w:eastAsia="zh-CN"/>
                      <w14:ligatures w14:val="standardContextual"/>
                    </w:rPr>
                    <w:t>沉渣</w:t>
                  </w:r>
                </w:p>
              </w:tc>
              <w:tc>
                <w:tcPr>
                  <w:tcW w:w="823" w:type="pct"/>
                  <w:vAlign w:val="center"/>
                </w:tcPr>
                <w:p w14:paraId="4B423419">
                  <w:pPr>
                    <w:widowControl w:val="0"/>
                    <w:overflowPunct w:val="0"/>
                    <w:autoSpaceDE w:val="0"/>
                    <w:autoSpaceDN w:val="0"/>
                    <w:snapToGrid w:val="0"/>
                    <w:jc w:val="center"/>
                    <w:rPr>
                      <w14:ligatures w14:val="standardContextual"/>
                    </w:rPr>
                  </w:pPr>
                  <w:r>
                    <w:rPr>
                      <w:rFonts w:hint="eastAsia"/>
                      <w14:ligatures w14:val="standardContextual"/>
                    </w:rPr>
                    <w:t>一般固废</w:t>
                  </w:r>
                </w:p>
              </w:tc>
              <w:tc>
                <w:tcPr>
                  <w:tcW w:w="447" w:type="pct"/>
                  <w:vAlign w:val="center"/>
                </w:tcPr>
                <w:p w14:paraId="45D57AE6">
                  <w:pPr>
                    <w:widowControl w:val="0"/>
                    <w:overflowPunct w:val="0"/>
                    <w:autoSpaceDE w:val="0"/>
                    <w:autoSpaceDN w:val="0"/>
                    <w:snapToGrid w:val="0"/>
                    <w:jc w:val="center"/>
                    <w:rPr>
                      <w14:ligatures w14:val="standardContextual"/>
                    </w:rPr>
                  </w:pPr>
                  <w:r>
                    <w:rPr>
                      <w14:ligatures w14:val="standardContextual"/>
                    </w:rPr>
                    <w:t>间歇</w:t>
                  </w:r>
                </w:p>
              </w:tc>
              <w:tc>
                <w:tcPr>
                  <w:tcW w:w="1384" w:type="pct"/>
                  <w:vMerge w:val="continue"/>
                  <w:vAlign w:val="center"/>
                </w:tcPr>
                <w:p w14:paraId="29D89EE6">
                  <w:pPr>
                    <w:widowControl w:val="0"/>
                    <w:overflowPunct w:val="0"/>
                    <w:autoSpaceDE w:val="0"/>
                    <w:autoSpaceDN w:val="0"/>
                    <w:snapToGrid w:val="0"/>
                    <w:jc w:val="center"/>
                    <w:rPr>
                      <w14:ligatures w14:val="standardContextual"/>
                    </w:rPr>
                  </w:pPr>
                </w:p>
              </w:tc>
            </w:tr>
            <w:tr w14:paraId="230A4F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23" w:hRule="atLeast"/>
                <w:jc w:val="center"/>
              </w:trPr>
              <w:tc>
                <w:tcPr>
                  <w:tcW w:w="261" w:type="pct"/>
                  <w:vMerge w:val="continue"/>
                  <w:vAlign w:val="center"/>
                </w:tcPr>
                <w:p w14:paraId="1DBA5F25">
                  <w:pPr>
                    <w:widowControl w:val="0"/>
                    <w:overflowPunct w:val="0"/>
                    <w:autoSpaceDE w:val="0"/>
                    <w:autoSpaceDN w:val="0"/>
                    <w:snapToGrid w:val="0"/>
                    <w:jc w:val="center"/>
                    <w:rPr>
                      <w14:ligatures w14:val="standardContextual"/>
                    </w:rPr>
                  </w:pPr>
                </w:p>
              </w:tc>
              <w:tc>
                <w:tcPr>
                  <w:tcW w:w="347" w:type="pct"/>
                  <w:vAlign w:val="center"/>
                </w:tcPr>
                <w:p w14:paraId="11E0CD4F">
                  <w:pPr>
                    <w:widowControl w:val="0"/>
                    <w:overflowPunct w:val="0"/>
                    <w:autoSpaceDE w:val="0"/>
                    <w:autoSpaceDN w:val="0"/>
                    <w:snapToGrid w:val="0"/>
                    <w:jc w:val="center"/>
                    <w:rPr>
                      <w14:ligatures w14:val="standardContextual"/>
                    </w:rPr>
                  </w:pPr>
                  <w:r>
                    <w:rPr>
                      <w:rFonts w:hint="eastAsia"/>
                      <w14:ligatures w14:val="standardContextual"/>
                    </w:rPr>
                    <w:t>S7</w:t>
                  </w:r>
                </w:p>
              </w:tc>
              <w:tc>
                <w:tcPr>
                  <w:tcW w:w="740" w:type="pct"/>
                  <w:vAlign w:val="center"/>
                </w:tcPr>
                <w:p w14:paraId="78311262">
                  <w:pPr>
                    <w:widowControl w:val="0"/>
                    <w:overflowPunct w:val="0"/>
                    <w:autoSpaceDE w:val="0"/>
                    <w:autoSpaceDN w:val="0"/>
                    <w:snapToGrid w:val="0"/>
                    <w:jc w:val="center"/>
                    <w:rPr>
                      <w14:ligatures w14:val="standardContextual"/>
                    </w:rPr>
                  </w:pPr>
                  <w:r>
                    <w:rPr>
                      <w:rFonts w:hint="eastAsia"/>
                      <w14:ligatures w14:val="standardContextual"/>
                    </w:rPr>
                    <w:t>设备维护</w:t>
                  </w:r>
                </w:p>
              </w:tc>
              <w:tc>
                <w:tcPr>
                  <w:tcW w:w="998" w:type="pct"/>
                  <w:vAlign w:val="center"/>
                </w:tcPr>
                <w:p w14:paraId="0D9B2CC5">
                  <w:pPr>
                    <w:widowControl w:val="0"/>
                    <w:overflowPunct w:val="0"/>
                    <w:autoSpaceDE w:val="0"/>
                    <w:autoSpaceDN w:val="0"/>
                    <w:snapToGrid w:val="0"/>
                    <w:jc w:val="center"/>
                    <w:rPr>
                      <w14:ligatures w14:val="standardContextual"/>
                    </w:rPr>
                  </w:pPr>
                  <w:r>
                    <w:rPr>
                      <w:rFonts w:hint="eastAsia"/>
                      <w14:ligatures w14:val="standardContextual"/>
                    </w:rPr>
                    <w:t>废矿物油</w:t>
                  </w:r>
                </w:p>
              </w:tc>
              <w:tc>
                <w:tcPr>
                  <w:tcW w:w="823" w:type="pct"/>
                  <w:vAlign w:val="center"/>
                </w:tcPr>
                <w:p w14:paraId="15113C17">
                  <w:pPr>
                    <w:widowControl w:val="0"/>
                    <w:overflowPunct w:val="0"/>
                    <w:autoSpaceDE w:val="0"/>
                    <w:autoSpaceDN w:val="0"/>
                    <w:snapToGrid w:val="0"/>
                    <w:jc w:val="center"/>
                    <w:rPr>
                      <w14:ligatures w14:val="standardContextual"/>
                    </w:rPr>
                  </w:pPr>
                  <w:r>
                    <w:rPr>
                      <w:rFonts w:hint="eastAsia"/>
                      <w14:ligatures w14:val="standardContextual"/>
                    </w:rPr>
                    <w:t>危险废物</w:t>
                  </w:r>
                </w:p>
              </w:tc>
              <w:tc>
                <w:tcPr>
                  <w:tcW w:w="447" w:type="pct"/>
                  <w:vAlign w:val="center"/>
                </w:tcPr>
                <w:p w14:paraId="513AEC83">
                  <w:pPr>
                    <w:widowControl w:val="0"/>
                    <w:overflowPunct w:val="0"/>
                    <w:autoSpaceDE w:val="0"/>
                    <w:autoSpaceDN w:val="0"/>
                    <w:snapToGrid w:val="0"/>
                    <w:jc w:val="center"/>
                    <w:rPr>
                      <w14:ligatures w14:val="standardContextual"/>
                    </w:rPr>
                  </w:pPr>
                  <w:r>
                    <w:rPr>
                      <w14:ligatures w14:val="standardContextual"/>
                    </w:rPr>
                    <w:t>间歇</w:t>
                  </w:r>
                </w:p>
              </w:tc>
              <w:tc>
                <w:tcPr>
                  <w:tcW w:w="1384" w:type="pct"/>
                  <w:vMerge w:val="restart"/>
                  <w:vAlign w:val="center"/>
                </w:tcPr>
                <w:p w14:paraId="5C90333B">
                  <w:pPr>
                    <w:widowControl w:val="0"/>
                    <w:overflowPunct w:val="0"/>
                    <w:autoSpaceDE w:val="0"/>
                    <w:autoSpaceDN w:val="0"/>
                    <w:snapToGrid w:val="0"/>
                    <w:jc w:val="center"/>
                    <w:rPr>
                      <w14:ligatures w14:val="standardContextual"/>
                    </w:rPr>
                  </w:pPr>
                  <w:r>
                    <w:rPr>
                      <w:rFonts w:hint="eastAsia"/>
                      <w14:ligatures w14:val="standardContextual"/>
                    </w:rPr>
                    <w:t>暂存于危险废物暂存间，定期交由有危险废物处置资质的单位处理</w:t>
                  </w:r>
                </w:p>
              </w:tc>
            </w:tr>
            <w:tr w14:paraId="736113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23" w:hRule="atLeast"/>
                <w:jc w:val="center"/>
              </w:trPr>
              <w:tc>
                <w:tcPr>
                  <w:tcW w:w="261" w:type="pct"/>
                  <w:vMerge w:val="continue"/>
                  <w:vAlign w:val="center"/>
                </w:tcPr>
                <w:p w14:paraId="1CA4E493">
                  <w:pPr>
                    <w:widowControl w:val="0"/>
                    <w:overflowPunct w:val="0"/>
                    <w:autoSpaceDE w:val="0"/>
                    <w:autoSpaceDN w:val="0"/>
                    <w:snapToGrid w:val="0"/>
                    <w:jc w:val="center"/>
                    <w:rPr>
                      <w14:ligatures w14:val="standardContextual"/>
                    </w:rPr>
                  </w:pPr>
                </w:p>
              </w:tc>
              <w:tc>
                <w:tcPr>
                  <w:tcW w:w="347" w:type="pct"/>
                  <w:vAlign w:val="center"/>
                </w:tcPr>
                <w:p w14:paraId="7CE19552">
                  <w:pPr>
                    <w:widowControl w:val="0"/>
                    <w:overflowPunct w:val="0"/>
                    <w:autoSpaceDE w:val="0"/>
                    <w:autoSpaceDN w:val="0"/>
                    <w:snapToGrid w:val="0"/>
                    <w:jc w:val="center"/>
                    <w:rPr>
                      <w14:ligatures w14:val="standardContextual"/>
                    </w:rPr>
                  </w:pPr>
                  <w:r>
                    <w:rPr>
                      <w:rFonts w:hint="eastAsia"/>
                      <w14:ligatures w14:val="standardContextual"/>
                    </w:rPr>
                    <w:t>S8</w:t>
                  </w:r>
                </w:p>
              </w:tc>
              <w:tc>
                <w:tcPr>
                  <w:tcW w:w="740" w:type="pct"/>
                  <w:vAlign w:val="center"/>
                </w:tcPr>
                <w:p w14:paraId="752A5449">
                  <w:pPr>
                    <w:widowControl w:val="0"/>
                    <w:overflowPunct w:val="0"/>
                    <w:autoSpaceDE w:val="0"/>
                    <w:autoSpaceDN w:val="0"/>
                    <w:snapToGrid w:val="0"/>
                    <w:jc w:val="center"/>
                    <w:rPr>
                      <w14:ligatures w14:val="standardContextual"/>
                    </w:rPr>
                  </w:pPr>
                  <w:r>
                    <w:rPr>
                      <w:rFonts w:hint="eastAsia"/>
                      <w14:ligatures w14:val="standardContextual"/>
                    </w:rPr>
                    <w:t>设备维护</w:t>
                  </w:r>
                </w:p>
              </w:tc>
              <w:tc>
                <w:tcPr>
                  <w:tcW w:w="998" w:type="pct"/>
                  <w:vAlign w:val="center"/>
                </w:tcPr>
                <w:p w14:paraId="73F06B21">
                  <w:pPr>
                    <w:widowControl w:val="0"/>
                    <w:overflowPunct w:val="0"/>
                    <w:autoSpaceDE w:val="0"/>
                    <w:autoSpaceDN w:val="0"/>
                    <w:snapToGrid w:val="0"/>
                    <w:jc w:val="center"/>
                    <w:rPr>
                      <w14:ligatures w14:val="standardContextual"/>
                    </w:rPr>
                  </w:pPr>
                  <w:r>
                    <w:rPr>
                      <w:rFonts w:hint="eastAsia"/>
                      <w14:ligatures w14:val="standardContextual"/>
                    </w:rPr>
                    <w:t>废油桶</w:t>
                  </w:r>
                </w:p>
              </w:tc>
              <w:tc>
                <w:tcPr>
                  <w:tcW w:w="823" w:type="pct"/>
                  <w:vAlign w:val="center"/>
                </w:tcPr>
                <w:p w14:paraId="694ABF81">
                  <w:pPr>
                    <w:widowControl w:val="0"/>
                    <w:overflowPunct w:val="0"/>
                    <w:autoSpaceDE w:val="0"/>
                    <w:autoSpaceDN w:val="0"/>
                    <w:snapToGrid w:val="0"/>
                    <w:jc w:val="center"/>
                    <w:rPr>
                      <w14:ligatures w14:val="standardContextual"/>
                    </w:rPr>
                  </w:pPr>
                  <w:r>
                    <w:rPr>
                      <w:rFonts w:hint="eastAsia"/>
                      <w14:ligatures w14:val="standardContextual"/>
                    </w:rPr>
                    <w:t>危险废物</w:t>
                  </w:r>
                </w:p>
              </w:tc>
              <w:tc>
                <w:tcPr>
                  <w:tcW w:w="447" w:type="pct"/>
                  <w:vAlign w:val="center"/>
                </w:tcPr>
                <w:p w14:paraId="73A1B511">
                  <w:pPr>
                    <w:widowControl w:val="0"/>
                    <w:overflowPunct w:val="0"/>
                    <w:autoSpaceDE w:val="0"/>
                    <w:autoSpaceDN w:val="0"/>
                    <w:snapToGrid w:val="0"/>
                    <w:jc w:val="center"/>
                    <w:rPr>
                      <w14:ligatures w14:val="standardContextual"/>
                    </w:rPr>
                  </w:pPr>
                  <w:r>
                    <w:rPr>
                      <w14:ligatures w14:val="standardContextual"/>
                    </w:rPr>
                    <w:t>间歇</w:t>
                  </w:r>
                </w:p>
              </w:tc>
              <w:tc>
                <w:tcPr>
                  <w:tcW w:w="1384" w:type="pct"/>
                  <w:vMerge w:val="continue"/>
                  <w:vAlign w:val="center"/>
                </w:tcPr>
                <w:p w14:paraId="1DAC3B06">
                  <w:pPr>
                    <w:widowControl w:val="0"/>
                    <w:overflowPunct w:val="0"/>
                    <w:autoSpaceDE w:val="0"/>
                    <w:autoSpaceDN w:val="0"/>
                    <w:snapToGrid w:val="0"/>
                    <w:jc w:val="center"/>
                    <w:rPr>
                      <w14:ligatures w14:val="standardContextual"/>
                    </w:rPr>
                  </w:pPr>
                </w:p>
              </w:tc>
            </w:tr>
            <w:tr w14:paraId="0D5E95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23" w:hRule="atLeast"/>
                <w:jc w:val="center"/>
              </w:trPr>
              <w:tc>
                <w:tcPr>
                  <w:tcW w:w="261" w:type="pct"/>
                  <w:vMerge w:val="continue"/>
                  <w:vAlign w:val="center"/>
                </w:tcPr>
                <w:p w14:paraId="1FB51ABF">
                  <w:pPr>
                    <w:widowControl w:val="0"/>
                    <w:overflowPunct w:val="0"/>
                    <w:autoSpaceDE w:val="0"/>
                    <w:autoSpaceDN w:val="0"/>
                    <w:snapToGrid w:val="0"/>
                    <w:jc w:val="center"/>
                    <w:rPr>
                      <w14:ligatures w14:val="standardContextual"/>
                    </w:rPr>
                  </w:pPr>
                </w:p>
              </w:tc>
              <w:tc>
                <w:tcPr>
                  <w:tcW w:w="347" w:type="pct"/>
                  <w:vAlign w:val="center"/>
                </w:tcPr>
                <w:p w14:paraId="01CFD9D9">
                  <w:pPr>
                    <w:widowControl w:val="0"/>
                    <w:overflowPunct w:val="0"/>
                    <w:autoSpaceDE w:val="0"/>
                    <w:autoSpaceDN w:val="0"/>
                    <w:snapToGrid w:val="0"/>
                    <w:jc w:val="center"/>
                    <w:rPr>
                      <w:color w:val="auto"/>
                      <w14:ligatures w14:val="standardContextual"/>
                    </w:rPr>
                  </w:pPr>
                  <w:r>
                    <w:rPr>
                      <w:rFonts w:hint="eastAsia"/>
                      <w:color w:val="auto"/>
                      <w14:ligatures w14:val="standardContextual"/>
                    </w:rPr>
                    <w:t>S9</w:t>
                  </w:r>
                </w:p>
              </w:tc>
              <w:tc>
                <w:tcPr>
                  <w:tcW w:w="740" w:type="pct"/>
                  <w:vAlign w:val="center"/>
                </w:tcPr>
                <w:p w14:paraId="1DE4FFC0">
                  <w:pPr>
                    <w:widowControl w:val="0"/>
                    <w:overflowPunct w:val="0"/>
                    <w:autoSpaceDE w:val="0"/>
                    <w:autoSpaceDN w:val="0"/>
                    <w:snapToGrid w:val="0"/>
                    <w:jc w:val="center"/>
                    <w:rPr>
                      <w:color w:val="auto"/>
                      <w14:ligatures w14:val="standardContextual"/>
                    </w:rPr>
                  </w:pPr>
                  <w:r>
                    <w:rPr>
                      <w:rFonts w:hint="eastAsia"/>
                      <w:color w:val="auto"/>
                      <w14:ligatures w14:val="standardContextual"/>
                    </w:rPr>
                    <w:t>设备维护</w:t>
                  </w:r>
                </w:p>
              </w:tc>
              <w:tc>
                <w:tcPr>
                  <w:tcW w:w="998" w:type="pct"/>
                  <w:vAlign w:val="center"/>
                </w:tcPr>
                <w:p w14:paraId="753418C7">
                  <w:pPr>
                    <w:widowControl w:val="0"/>
                    <w:overflowPunct w:val="0"/>
                    <w:autoSpaceDE w:val="0"/>
                    <w:autoSpaceDN w:val="0"/>
                    <w:snapToGrid w:val="0"/>
                    <w:jc w:val="center"/>
                    <w:rPr>
                      <w:color w:val="auto"/>
                      <w14:ligatures w14:val="standardContextual"/>
                    </w:rPr>
                  </w:pPr>
                  <w:r>
                    <w:rPr>
                      <w:rFonts w:hint="eastAsia"/>
                      <w:color w:val="auto"/>
                      <w14:ligatures w14:val="standardContextual"/>
                    </w:rPr>
                    <w:t>废含油抹布和手套</w:t>
                  </w:r>
                </w:p>
              </w:tc>
              <w:tc>
                <w:tcPr>
                  <w:tcW w:w="823" w:type="pct"/>
                  <w:vAlign w:val="center"/>
                </w:tcPr>
                <w:p w14:paraId="6AA78BB1">
                  <w:pPr>
                    <w:widowControl w:val="0"/>
                    <w:overflowPunct w:val="0"/>
                    <w:autoSpaceDE w:val="0"/>
                    <w:autoSpaceDN w:val="0"/>
                    <w:snapToGrid w:val="0"/>
                    <w:jc w:val="center"/>
                    <w:rPr>
                      <w:color w:val="auto"/>
                      <w14:ligatures w14:val="standardContextual"/>
                    </w:rPr>
                  </w:pPr>
                  <w:r>
                    <w:rPr>
                      <w:rFonts w:hint="eastAsia"/>
                      <w:color w:val="auto"/>
                      <w14:ligatures w14:val="standardContextual"/>
                    </w:rPr>
                    <w:t>危险废物</w:t>
                  </w:r>
                </w:p>
              </w:tc>
              <w:tc>
                <w:tcPr>
                  <w:tcW w:w="447" w:type="pct"/>
                  <w:vAlign w:val="center"/>
                </w:tcPr>
                <w:p w14:paraId="38A6F9D1">
                  <w:pPr>
                    <w:widowControl w:val="0"/>
                    <w:overflowPunct w:val="0"/>
                    <w:autoSpaceDE w:val="0"/>
                    <w:autoSpaceDN w:val="0"/>
                    <w:snapToGrid w:val="0"/>
                    <w:jc w:val="center"/>
                    <w:rPr>
                      <w:color w:val="auto"/>
                      <w14:ligatures w14:val="standardContextual"/>
                    </w:rPr>
                  </w:pPr>
                  <w:r>
                    <w:rPr>
                      <w:color w:val="auto"/>
                      <w14:ligatures w14:val="standardContextual"/>
                    </w:rPr>
                    <w:t>间歇</w:t>
                  </w:r>
                </w:p>
              </w:tc>
              <w:tc>
                <w:tcPr>
                  <w:tcW w:w="1384" w:type="pct"/>
                  <w:vMerge w:val="continue"/>
                  <w:vAlign w:val="center"/>
                </w:tcPr>
                <w:p w14:paraId="78CA8BB5">
                  <w:pPr>
                    <w:widowControl w:val="0"/>
                    <w:overflowPunct w:val="0"/>
                    <w:autoSpaceDE w:val="0"/>
                    <w:autoSpaceDN w:val="0"/>
                    <w:snapToGrid w:val="0"/>
                    <w:jc w:val="center"/>
                    <w:rPr>
                      <w14:ligatures w14:val="standardContextual"/>
                    </w:rPr>
                  </w:pPr>
                </w:p>
              </w:tc>
            </w:tr>
            <w:tr w14:paraId="68EDE4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23" w:hRule="atLeast"/>
                <w:jc w:val="center"/>
              </w:trPr>
              <w:tc>
                <w:tcPr>
                  <w:tcW w:w="261" w:type="pct"/>
                  <w:vMerge w:val="continue"/>
                  <w:vAlign w:val="center"/>
                </w:tcPr>
                <w:p w14:paraId="556350ED">
                  <w:pPr>
                    <w:widowControl w:val="0"/>
                    <w:overflowPunct w:val="0"/>
                    <w:autoSpaceDE w:val="0"/>
                    <w:autoSpaceDN w:val="0"/>
                    <w:snapToGrid w:val="0"/>
                    <w:jc w:val="center"/>
                    <w:rPr>
                      <w14:ligatures w14:val="standardContextual"/>
                    </w:rPr>
                  </w:pPr>
                </w:p>
              </w:tc>
              <w:tc>
                <w:tcPr>
                  <w:tcW w:w="347" w:type="pct"/>
                  <w:vAlign w:val="center"/>
                </w:tcPr>
                <w:p w14:paraId="5E247D38">
                  <w:pPr>
                    <w:widowControl w:val="0"/>
                    <w:overflowPunct w:val="0"/>
                    <w:autoSpaceDE w:val="0"/>
                    <w:autoSpaceDN w:val="0"/>
                    <w:snapToGrid w:val="0"/>
                    <w:jc w:val="center"/>
                    <w:rPr>
                      <w14:ligatures w14:val="standardContextual"/>
                    </w:rPr>
                  </w:pPr>
                  <w:r>
                    <w:rPr>
                      <w:rFonts w:hint="eastAsia"/>
                      <w14:ligatures w14:val="standardContextual"/>
                    </w:rPr>
                    <w:t>S10</w:t>
                  </w:r>
                </w:p>
              </w:tc>
              <w:tc>
                <w:tcPr>
                  <w:tcW w:w="740" w:type="pct"/>
                  <w:vAlign w:val="center"/>
                </w:tcPr>
                <w:p w14:paraId="38E4C77A">
                  <w:pPr>
                    <w:widowControl w:val="0"/>
                    <w:overflowPunct w:val="0"/>
                    <w:autoSpaceDE w:val="0"/>
                    <w:autoSpaceDN w:val="0"/>
                    <w:snapToGrid w:val="0"/>
                    <w:jc w:val="center"/>
                    <w:rPr>
                      <w14:ligatures w14:val="standardContextual"/>
                    </w:rPr>
                  </w:pPr>
                  <w:r>
                    <w:rPr>
                      <w:rFonts w:hint="eastAsia"/>
                      <w14:ligatures w14:val="standardContextual"/>
                    </w:rPr>
                    <w:t>职工生活</w:t>
                  </w:r>
                </w:p>
              </w:tc>
              <w:tc>
                <w:tcPr>
                  <w:tcW w:w="998" w:type="pct"/>
                  <w:vAlign w:val="center"/>
                </w:tcPr>
                <w:p w14:paraId="3BC57002">
                  <w:pPr>
                    <w:widowControl w:val="0"/>
                    <w:overflowPunct w:val="0"/>
                    <w:autoSpaceDE w:val="0"/>
                    <w:autoSpaceDN w:val="0"/>
                    <w:snapToGrid w:val="0"/>
                    <w:jc w:val="center"/>
                    <w:rPr>
                      <w14:ligatures w14:val="standardContextual"/>
                    </w:rPr>
                  </w:pPr>
                  <w:r>
                    <w:rPr>
                      <w:rFonts w:hint="eastAsia"/>
                      <w14:ligatures w14:val="standardContextual"/>
                    </w:rPr>
                    <w:t>生活垃圾</w:t>
                  </w:r>
                </w:p>
              </w:tc>
              <w:tc>
                <w:tcPr>
                  <w:tcW w:w="823" w:type="pct"/>
                  <w:vAlign w:val="center"/>
                </w:tcPr>
                <w:p w14:paraId="2066CAA7">
                  <w:pPr>
                    <w:widowControl w:val="0"/>
                    <w:overflowPunct w:val="0"/>
                    <w:autoSpaceDE w:val="0"/>
                    <w:autoSpaceDN w:val="0"/>
                    <w:snapToGrid w:val="0"/>
                    <w:jc w:val="center"/>
                    <w:rPr>
                      <w14:ligatures w14:val="standardContextual"/>
                    </w:rPr>
                  </w:pPr>
                  <w:r>
                    <w:rPr>
                      <w:rFonts w:hint="eastAsia"/>
                      <w14:ligatures w14:val="standardContextual"/>
                    </w:rPr>
                    <w:t>/</w:t>
                  </w:r>
                </w:p>
              </w:tc>
              <w:tc>
                <w:tcPr>
                  <w:tcW w:w="447" w:type="pct"/>
                  <w:vAlign w:val="center"/>
                </w:tcPr>
                <w:p w14:paraId="22793EEA">
                  <w:pPr>
                    <w:widowControl w:val="0"/>
                    <w:overflowPunct w:val="0"/>
                    <w:autoSpaceDE w:val="0"/>
                    <w:autoSpaceDN w:val="0"/>
                    <w:snapToGrid w:val="0"/>
                    <w:jc w:val="center"/>
                    <w:rPr>
                      <w14:ligatures w14:val="standardContextual"/>
                    </w:rPr>
                  </w:pPr>
                  <w:r>
                    <w:rPr>
                      <w14:ligatures w14:val="standardContextual"/>
                    </w:rPr>
                    <w:t>间歇</w:t>
                  </w:r>
                </w:p>
              </w:tc>
              <w:tc>
                <w:tcPr>
                  <w:tcW w:w="1384" w:type="pct"/>
                  <w:vAlign w:val="center"/>
                </w:tcPr>
                <w:p w14:paraId="206F4D1C">
                  <w:pPr>
                    <w:widowControl w:val="0"/>
                    <w:overflowPunct w:val="0"/>
                    <w:autoSpaceDE w:val="0"/>
                    <w:autoSpaceDN w:val="0"/>
                    <w:snapToGrid w:val="0"/>
                    <w:jc w:val="center"/>
                    <w:rPr>
                      <w14:ligatures w14:val="standardContextual"/>
                    </w:rPr>
                  </w:pPr>
                  <w:bookmarkStart w:id="35" w:name="OLE_LINK98"/>
                  <w:r>
                    <w:rPr>
                      <w:rFonts w:hint="eastAsia"/>
                      <w14:ligatures w14:val="standardContextual"/>
                    </w:rPr>
                    <w:t>交由环卫部门处置</w:t>
                  </w:r>
                  <w:bookmarkEnd w:id="35"/>
                </w:p>
              </w:tc>
            </w:tr>
          </w:tbl>
          <w:p w14:paraId="01A639AD">
            <w:pPr>
              <w:pStyle w:val="3"/>
              <w:ind w:firstLine="480"/>
            </w:pPr>
          </w:p>
          <w:p w14:paraId="5D8866CA">
            <w:pPr>
              <w:pStyle w:val="3"/>
              <w:ind w:firstLine="480"/>
            </w:pPr>
          </w:p>
        </w:tc>
      </w:tr>
      <w:tr w14:paraId="7A83E9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5" w:hRule="atLeast"/>
          <w:jc w:val="center"/>
        </w:trPr>
        <w:tc>
          <w:tcPr>
            <w:tcW w:w="258" w:type="pct"/>
            <w:vAlign w:val="center"/>
          </w:tcPr>
          <w:p w14:paraId="2B57F6E4">
            <w:pPr>
              <w:pStyle w:val="18"/>
              <w:rPr>
                <w:rFonts w:hint="eastAsia"/>
              </w:rPr>
            </w:pPr>
            <w:bookmarkStart w:id="36" w:name="_Toc175609271"/>
            <w:bookmarkStart w:id="37" w:name="与项目有关的原有环境污染问题"/>
            <w:r>
              <w:rPr>
                <w:rFonts w:hint="eastAsia"/>
              </w:rPr>
              <w:t>与项目有关的原有环境污染问题</w:t>
            </w:r>
            <w:bookmarkEnd w:id="36"/>
            <w:bookmarkEnd w:id="37"/>
          </w:p>
        </w:tc>
        <w:tc>
          <w:tcPr>
            <w:tcW w:w="4742" w:type="pct"/>
            <w:vAlign w:val="center"/>
          </w:tcPr>
          <w:p w14:paraId="7A67C881">
            <w:pPr>
              <w:pStyle w:val="3"/>
              <w:ind w:firstLine="480"/>
            </w:pPr>
            <w:r>
              <w:rPr>
                <w:rFonts w:hint="eastAsia"/>
              </w:rPr>
              <w:t>本项目为新建项目，不存在与项目有关的原有环境污染问题。</w:t>
            </w:r>
          </w:p>
        </w:tc>
      </w:tr>
    </w:tbl>
    <w:p w14:paraId="1CF7D604">
      <w:pPr>
        <w:pStyle w:val="18"/>
        <w:rPr>
          <w:rFonts w:hint="eastAsia"/>
          <w:snapToGrid w:val="0"/>
        </w:rPr>
        <w:sectPr>
          <w:headerReference r:id="rId7" w:type="first"/>
          <w:headerReference r:id="rId5" w:type="default"/>
          <w:headerReference r:id="rId6" w:type="even"/>
          <w:pgSz w:w="11906" w:h="16838"/>
          <w:pgMar w:top="1701" w:right="1531" w:bottom="1701" w:left="1531" w:header="851" w:footer="851" w:gutter="0"/>
          <w:cols w:space="720" w:num="1"/>
          <w:docGrid w:linePitch="312" w:charSpace="0"/>
        </w:sectPr>
      </w:pPr>
    </w:p>
    <w:p w14:paraId="2CBB9247">
      <w:pPr>
        <w:pStyle w:val="2"/>
        <w:rPr>
          <w:snapToGrid w:val="0"/>
        </w:rPr>
      </w:pPr>
      <w:bookmarkStart w:id="38" w:name="_Toc203094746"/>
      <w:bookmarkStart w:id="39" w:name="_Toc175609272"/>
      <w:bookmarkStart w:id="40" w:name="_Toc175609274"/>
      <w:r>
        <w:rPr>
          <w:rFonts w:hint="eastAsia"/>
          <w:snapToGrid w:val="0"/>
        </w:rPr>
        <w:t>区域环境质量现状、环境保护目标及评价标准</w:t>
      </w:r>
      <w:bookmarkEnd w:id="38"/>
      <w:bookmarkEnd w:id="39"/>
    </w:p>
    <w:tbl>
      <w:tblPr>
        <w:tblStyle w:val="20"/>
        <w:tblW w:w="882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69"/>
        <w:gridCol w:w="8154"/>
      </w:tblGrid>
      <w:tr w14:paraId="6BFDCC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440" w:type="pct"/>
            <w:vAlign w:val="center"/>
          </w:tcPr>
          <w:p w14:paraId="32E77893">
            <w:pPr>
              <w:pStyle w:val="64"/>
              <w:rPr>
                <w:rFonts w:hint="eastAsia"/>
              </w:rPr>
            </w:pPr>
            <w:bookmarkStart w:id="41" w:name="_Toc175609273"/>
            <w:r>
              <w:rPr>
                <w:rFonts w:hint="eastAsia"/>
              </w:rPr>
              <w:t>区域环境质量现状</w:t>
            </w:r>
            <w:bookmarkEnd w:id="41"/>
          </w:p>
        </w:tc>
        <w:tc>
          <w:tcPr>
            <w:tcW w:w="4560" w:type="pct"/>
            <w:vAlign w:val="center"/>
          </w:tcPr>
          <w:p w14:paraId="75095D84">
            <w:pPr>
              <w:pStyle w:val="7"/>
            </w:pPr>
            <w:r>
              <w:rPr>
                <w:rFonts w:hint="eastAsia"/>
              </w:rPr>
              <w:t>1、环境空气质量现状</w:t>
            </w:r>
          </w:p>
          <w:p w14:paraId="5D93C5D4">
            <w:pPr>
              <w:pStyle w:val="3"/>
              <w:ind w:firstLine="480"/>
            </w:pPr>
            <w:r>
              <w:rPr>
                <w:rFonts w:hint="eastAsia"/>
              </w:rPr>
              <w:t>（1）基本污染物</w:t>
            </w:r>
          </w:p>
          <w:p w14:paraId="67F9C9C2">
            <w:pPr>
              <w:pStyle w:val="3"/>
              <w:ind w:firstLine="480"/>
            </w:pPr>
            <w:r>
              <w:rPr>
                <w:rFonts w:hint="eastAsia"/>
              </w:rPr>
              <w:t>项目所在区域环境空气属于二类功能区，执行《环境空气质量标准》（</w:t>
            </w:r>
            <w:r>
              <w:t>GB3095-2012</w:t>
            </w:r>
            <w:r>
              <w:rPr>
                <w:rFonts w:hint="eastAsia"/>
              </w:rPr>
              <w:t>）及其</w:t>
            </w:r>
            <w:r>
              <w:t>2018</w:t>
            </w:r>
            <w:r>
              <w:rPr>
                <w:rFonts w:hint="eastAsia"/>
              </w:rPr>
              <w:t>年修改单中二级标准。</w:t>
            </w:r>
          </w:p>
          <w:p w14:paraId="7E9464DE">
            <w:pPr>
              <w:pStyle w:val="3"/>
              <w:ind w:firstLine="480"/>
            </w:pPr>
            <w:r>
              <w:rPr>
                <w:rFonts w:hint="eastAsia"/>
              </w:rPr>
              <w:t>根据广西壮族自治区生态环境厅发布的《自治区生态环境厅关于通报</w:t>
            </w:r>
            <w:r>
              <w:t>202</w:t>
            </w:r>
            <w:r>
              <w:rPr>
                <w:rFonts w:hint="eastAsia"/>
              </w:rPr>
              <w:t>3年设区城市及各县（市、区）环境空气质量的函》（桂环函〔</w:t>
            </w:r>
            <w:r>
              <w:t>2024</w:t>
            </w:r>
            <w:r>
              <w:rPr>
                <w:rFonts w:hint="eastAsia"/>
              </w:rPr>
              <w:t>〕</w:t>
            </w:r>
            <w:r>
              <w:t>58</w:t>
            </w:r>
            <w:r>
              <w:rPr>
                <w:rFonts w:hint="eastAsia"/>
              </w:rPr>
              <w:t>号）中</w:t>
            </w:r>
            <w:r>
              <w:t>2023</w:t>
            </w:r>
            <w:r>
              <w:rPr>
                <w:rFonts w:hint="eastAsia"/>
              </w:rPr>
              <w:t>年各县（市、区）环境空气质量数据，得出项目所在区域钦州市空气质量现状评价表，具体见表</w:t>
            </w:r>
            <w:r>
              <w:t>3-1</w:t>
            </w:r>
            <w:r>
              <w:rPr>
                <w:rFonts w:hint="eastAsia"/>
              </w:rPr>
              <w:t>。</w:t>
            </w:r>
          </w:p>
          <w:p w14:paraId="17E31ECA">
            <w:pPr>
              <w:pStyle w:val="48"/>
            </w:pPr>
            <w:r>
              <w:rPr>
                <w:rFonts w:hint="eastAsia"/>
              </w:rPr>
              <w:t xml:space="preserve">表3- </w:t>
            </w:r>
            <w:r>
              <w:fldChar w:fldCharType="begin"/>
            </w:r>
            <w:r>
              <w:instrText xml:space="preserve"> </w:instrText>
            </w:r>
            <w:r>
              <w:rPr>
                <w:rFonts w:hint="eastAsia"/>
              </w:rPr>
              <w:instrText xml:space="preserve">SEQ 表3- \* ARABIC</w:instrText>
            </w:r>
            <w:r>
              <w:instrText xml:space="preserve"> </w:instrText>
            </w:r>
            <w:r>
              <w:fldChar w:fldCharType="separate"/>
            </w:r>
            <w:r>
              <w:t>1</w:t>
            </w:r>
            <w:r>
              <w:fldChar w:fldCharType="end"/>
            </w:r>
            <w:r>
              <w:rPr>
                <w:rFonts w:hint="eastAsia"/>
              </w:rPr>
              <w:t>：空气环境现状达标评价表</w:t>
            </w:r>
          </w:p>
          <w:tbl>
            <w:tblPr>
              <w:tblStyle w:val="4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005"/>
              <w:gridCol w:w="2415"/>
              <w:gridCol w:w="1113"/>
              <w:gridCol w:w="1175"/>
              <w:gridCol w:w="942"/>
              <w:gridCol w:w="1288"/>
            </w:tblGrid>
            <w:tr w14:paraId="1D604E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006" w:type="dxa"/>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0735812E">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default" w:ascii="Times New Roman" w:hAnsi="Times New Roman" w:eastAsia="宋体" w:cs="Times New Roman"/>
                      <w:b/>
                      <w:i w:val="0"/>
                      <w14:ligatures w14:val="standardContextual"/>
                    </w:rPr>
                    <w:t>污染物</w:t>
                  </w:r>
                </w:p>
              </w:tc>
              <w:tc>
                <w:tcPr>
                  <w:tcW w:w="2418"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2AA96F7E">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default" w:ascii="Times New Roman" w:hAnsi="Times New Roman" w:eastAsia="宋体" w:cs="Times New Roman"/>
                      <w:b/>
                      <w:i w:val="0"/>
                      <w14:ligatures w14:val="standardContextual"/>
                    </w:rPr>
                    <w:t>年评价指标</w:t>
                  </w:r>
                </w:p>
              </w:tc>
              <w:tc>
                <w:tcPr>
                  <w:tcW w:w="1113"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41270DF0">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default" w:ascii="Times New Roman" w:hAnsi="Times New Roman" w:eastAsia="宋体" w:cs="Times New Roman"/>
                      <w:b/>
                      <w:i w:val="0"/>
                      <w14:ligatures w14:val="standardContextual"/>
                    </w:rPr>
                    <w:t>现状浓度</w:t>
                  </w:r>
                  <w:r>
                    <w:rPr>
                      <w:rFonts w:hint="eastAsia" w:ascii="Times New Roman" w:hAnsi="Times New Roman" w:eastAsia="宋体" w:cs="Times New Roman"/>
                      <w:b/>
                      <w:i w:val="0"/>
                      <w14:ligatures w14:val="standardContextual"/>
                    </w:rPr>
                    <w:t>（</w:t>
                  </w:r>
                  <w:r>
                    <w:rPr>
                      <w:rFonts w:hint="default" w:ascii="Times New Roman" w:hAnsi="Times New Roman" w:eastAsia="宋体" w:cs="Times New Roman"/>
                      <w:b/>
                      <w:i w:val="0"/>
                      <w14:ligatures w14:val="standardContextual"/>
                    </w:rPr>
                    <w:t>μg/m</w:t>
                  </w:r>
                  <w:r>
                    <w:rPr>
                      <w:rFonts w:hint="default" w:ascii="Times New Roman" w:hAnsi="Times New Roman" w:eastAsia="宋体" w:cs="Times New Roman"/>
                      <w:b/>
                      <w:i w:val="0"/>
                      <w:vertAlign w:val="superscript"/>
                      <w14:ligatures w14:val="standardContextual"/>
                    </w:rPr>
                    <w:t>3</w:t>
                  </w:r>
                  <w:r>
                    <w:rPr>
                      <w:rFonts w:hint="eastAsia" w:ascii="Times New Roman" w:hAnsi="Times New Roman" w:eastAsia="宋体" w:cs="Times New Roman"/>
                      <w:b/>
                      <w:i w:val="0"/>
                      <w14:ligatures w14:val="standardContextual"/>
                    </w:rPr>
                    <w:t>）</w:t>
                  </w:r>
                </w:p>
              </w:tc>
              <w:tc>
                <w:tcPr>
                  <w:tcW w:w="1175"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124E8FE0">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default" w:ascii="Times New Roman" w:hAnsi="Times New Roman" w:eastAsia="宋体" w:cs="Times New Roman"/>
                      <w:b/>
                      <w:i w:val="0"/>
                      <w14:ligatures w14:val="standardContextual"/>
                    </w:rPr>
                    <w:t>标准值</w:t>
                  </w:r>
                  <w:r>
                    <w:rPr>
                      <w:rFonts w:hint="eastAsia" w:ascii="Times New Roman" w:hAnsi="Times New Roman" w:eastAsia="宋体" w:cs="Times New Roman"/>
                      <w:b/>
                      <w:i w:val="0"/>
                      <w14:ligatures w14:val="standardContextual"/>
                    </w:rPr>
                    <w:t>（</w:t>
                  </w:r>
                  <w:r>
                    <w:rPr>
                      <w:rFonts w:hint="default" w:ascii="Times New Roman" w:hAnsi="Times New Roman" w:eastAsia="宋体" w:cs="Times New Roman"/>
                      <w:b/>
                      <w:i w:val="0"/>
                      <w14:ligatures w14:val="standardContextual"/>
                    </w:rPr>
                    <w:t>μg/m</w:t>
                  </w:r>
                  <w:r>
                    <w:rPr>
                      <w:rFonts w:hint="default" w:ascii="Times New Roman" w:hAnsi="Times New Roman" w:eastAsia="宋体" w:cs="Times New Roman"/>
                      <w:b/>
                      <w:i w:val="0"/>
                      <w:vertAlign w:val="superscript"/>
                      <w14:ligatures w14:val="standardContextual"/>
                    </w:rPr>
                    <w:t>3</w:t>
                  </w:r>
                  <w:r>
                    <w:rPr>
                      <w:rFonts w:hint="eastAsia" w:ascii="Times New Roman" w:hAnsi="Times New Roman" w:eastAsia="宋体" w:cs="Times New Roman"/>
                      <w:b/>
                      <w:i w:val="0"/>
                      <w14:ligatures w14:val="standardContextual"/>
                    </w:rPr>
                    <w:t>）</w:t>
                  </w:r>
                </w:p>
              </w:tc>
              <w:tc>
                <w:tcPr>
                  <w:tcW w:w="943"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6AF23620">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default" w:ascii="Times New Roman" w:hAnsi="Times New Roman" w:eastAsia="宋体" w:cs="Times New Roman"/>
                      <w:b/>
                      <w:i w:val="0"/>
                      <w14:ligatures w14:val="standardContextual"/>
                    </w:rPr>
                    <w:t>占标率</w:t>
                  </w:r>
                </w:p>
                <w:p w14:paraId="69135AD7">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default" w:ascii="Times New Roman" w:hAnsi="Times New Roman" w:eastAsia="宋体" w:cs="Times New Roman"/>
                      <w:b/>
                      <w:i w:val="0"/>
                      <w14:ligatures w14:val="standardContextual"/>
                    </w:rPr>
                    <w:t>(%)</w:t>
                  </w:r>
                </w:p>
              </w:tc>
              <w:tc>
                <w:tcPr>
                  <w:tcW w:w="1289" w:type="dxa"/>
                  <w:tcBorders>
                    <w:top w:val="single" w:color="auto" w:sz="12" w:space="0"/>
                    <w:bottom w:val="single" w:color="auto" w:sz="12" w:space="0"/>
                    <w:right w:val="nil"/>
                    <w:insideH w:val="single" w:sz="12" w:space="0"/>
                    <w:insideV w:val="single" w:sz="4" w:space="0"/>
                    <w:tl2br w:val="nil"/>
                    <w:tr2bl w:val="nil"/>
                  </w:tcBorders>
                  <w:vAlign w:val="center"/>
                </w:tcPr>
                <w:p w14:paraId="2690D5A1">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default" w:ascii="Times New Roman" w:hAnsi="Times New Roman" w:eastAsia="宋体" w:cs="Times New Roman"/>
                      <w:b/>
                      <w:i w:val="0"/>
                      <w14:ligatures w14:val="standardContextual"/>
                    </w:rPr>
                    <w:t>达标情况</w:t>
                  </w:r>
                </w:p>
              </w:tc>
            </w:tr>
            <w:tr w14:paraId="373007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006" w:type="dxa"/>
                  <w:vAlign w:val="center"/>
                </w:tcPr>
                <w:p w14:paraId="129FAE15">
                  <w:pPr>
                    <w:widowControl w:val="0"/>
                    <w:overflowPunct w:val="0"/>
                    <w:autoSpaceDE w:val="0"/>
                    <w:autoSpaceDN w:val="0"/>
                    <w:snapToGrid w:val="0"/>
                    <w:jc w:val="center"/>
                    <w:rPr>
                      <w14:ligatures w14:val="standardContextual"/>
                    </w:rPr>
                  </w:pPr>
                  <w:r>
                    <w:rPr>
                      <w14:ligatures w14:val="standardContextual"/>
                    </w:rPr>
                    <w:t>PM</w:t>
                  </w:r>
                  <w:r>
                    <w:rPr>
                      <w:vertAlign w:val="subscript"/>
                      <w14:ligatures w14:val="standardContextual"/>
                    </w:rPr>
                    <w:t>10</w:t>
                  </w:r>
                </w:p>
              </w:tc>
              <w:tc>
                <w:tcPr>
                  <w:tcW w:w="2418" w:type="dxa"/>
                  <w:vAlign w:val="center"/>
                </w:tcPr>
                <w:p w14:paraId="12E60F2F">
                  <w:pPr>
                    <w:widowControl w:val="0"/>
                    <w:overflowPunct w:val="0"/>
                    <w:autoSpaceDE w:val="0"/>
                    <w:autoSpaceDN w:val="0"/>
                    <w:snapToGrid w:val="0"/>
                    <w:jc w:val="center"/>
                    <w:rPr>
                      <w14:ligatures w14:val="standardContextual"/>
                    </w:rPr>
                  </w:pPr>
                  <w:r>
                    <w:rPr>
                      <w14:ligatures w14:val="standardContextual"/>
                    </w:rPr>
                    <w:t>年平均质量浓度</w:t>
                  </w:r>
                </w:p>
              </w:tc>
              <w:tc>
                <w:tcPr>
                  <w:tcW w:w="1113" w:type="dxa"/>
                  <w:vAlign w:val="center"/>
                </w:tcPr>
                <w:p w14:paraId="1EE1305A">
                  <w:pPr>
                    <w:widowControl w:val="0"/>
                    <w:overflowPunct w:val="0"/>
                    <w:autoSpaceDE w:val="0"/>
                    <w:autoSpaceDN w:val="0"/>
                    <w:snapToGrid w:val="0"/>
                    <w:jc w:val="center"/>
                    <w:rPr>
                      <w14:ligatures w14:val="standardContextual"/>
                    </w:rPr>
                  </w:pPr>
                  <w:r>
                    <w:rPr>
                      <w:rFonts w:hint="eastAsia"/>
                      <w14:ligatures w14:val="standardContextual"/>
                    </w:rPr>
                    <w:t>44</w:t>
                  </w:r>
                </w:p>
              </w:tc>
              <w:tc>
                <w:tcPr>
                  <w:tcW w:w="1175" w:type="dxa"/>
                  <w:vAlign w:val="center"/>
                </w:tcPr>
                <w:p w14:paraId="4008C1F7">
                  <w:pPr>
                    <w:widowControl w:val="0"/>
                    <w:overflowPunct w:val="0"/>
                    <w:autoSpaceDE w:val="0"/>
                    <w:autoSpaceDN w:val="0"/>
                    <w:snapToGrid w:val="0"/>
                    <w:jc w:val="center"/>
                    <w:rPr>
                      <w14:ligatures w14:val="standardContextual"/>
                    </w:rPr>
                  </w:pPr>
                  <w:r>
                    <w:rPr>
                      <w14:ligatures w14:val="standardContextual"/>
                    </w:rPr>
                    <w:t>70</w:t>
                  </w:r>
                </w:p>
              </w:tc>
              <w:tc>
                <w:tcPr>
                  <w:tcW w:w="943" w:type="dxa"/>
                  <w:vAlign w:val="center"/>
                </w:tcPr>
                <w:p w14:paraId="2B05EF55">
                  <w:pPr>
                    <w:widowControl w:val="0"/>
                    <w:overflowPunct w:val="0"/>
                    <w:autoSpaceDE w:val="0"/>
                    <w:autoSpaceDN w:val="0"/>
                    <w:snapToGrid w:val="0"/>
                    <w:jc w:val="center"/>
                    <w:rPr>
                      <w14:ligatures w14:val="standardContextual"/>
                    </w:rPr>
                  </w:pPr>
                  <w:r>
                    <w:rPr>
                      <w:rFonts w:hint="eastAsia"/>
                      <w14:ligatures w14:val="standardContextual"/>
                    </w:rPr>
                    <w:t>62.9</w:t>
                  </w:r>
                </w:p>
              </w:tc>
              <w:tc>
                <w:tcPr>
                  <w:tcW w:w="1289" w:type="dxa"/>
                  <w:vAlign w:val="center"/>
                </w:tcPr>
                <w:p w14:paraId="1DBB581D">
                  <w:pPr>
                    <w:widowControl w:val="0"/>
                    <w:overflowPunct w:val="0"/>
                    <w:autoSpaceDE w:val="0"/>
                    <w:autoSpaceDN w:val="0"/>
                    <w:snapToGrid w:val="0"/>
                    <w:jc w:val="center"/>
                    <w:rPr>
                      <w14:ligatures w14:val="standardContextual"/>
                    </w:rPr>
                  </w:pPr>
                  <w:r>
                    <w:rPr>
                      <w14:ligatures w14:val="standardContextual"/>
                    </w:rPr>
                    <w:t>达标</w:t>
                  </w:r>
                </w:p>
              </w:tc>
            </w:tr>
            <w:tr w14:paraId="6DCC8E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006" w:type="dxa"/>
                  <w:vAlign w:val="center"/>
                </w:tcPr>
                <w:p w14:paraId="48AC3209">
                  <w:pPr>
                    <w:widowControl w:val="0"/>
                    <w:overflowPunct w:val="0"/>
                    <w:autoSpaceDE w:val="0"/>
                    <w:autoSpaceDN w:val="0"/>
                    <w:snapToGrid w:val="0"/>
                    <w:jc w:val="center"/>
                    <w:rPr>
                      <w14:ligatures w14:val="standardContextual"/>
                    </w:rPr>
                  </w:pPr>
                  <w:r>
                    <w:rPr>
                      <w14:ligatures w14:val="standardContextual"/>
                    </w:rPr>
                    <w:t>SO</w:t>
                  </w:r>
                  <w:r>
                    <w:rPr>
                      <w:vertAlign w:val="subscript"/>
                      <w14:ligatures w14:val="standardContextual"/>
                    </w:rPr>
                    <w:t>2</w:t>
                  </w:r>
                </w:p>
              </w:tc>
              <w:tc>
                <w:tcPr>
                  <w:tcW w:w="2418" w:type="dxa"/>
                  <w:vAlign w:val="center"/>
                </w:tcPr>
                <w:p w14:paraId="11086C8C">
                  <w:pPr>
                    <w:widowControl w:val="0"/>
                    <w:overflowPunct w:val="0"/>
                    <w:autoSpaceDE w:val="0"/>
                    <w:autoSpaceDN w:val="0"/>
                    <w:snapToGrid w:val="0"/>
                    <w:jc w:val="center"/>
                    <w:rPr>
                      <w14:ligatures w14:val="standardContextual"/>
                    </w:rPr>
                  </w:pPr>
                  <w:r>
                    <w:rPr>
                      <w14:ligatures w14:val="standardContextual"/>
                    </w:rPr>
                    <w:t>年均质量浓度</w:t>
                  </w:r>
                </w:p>
              </w:tc>
              <w:tc>
                <w:tcPr>
                  <w:tcW w:w="1113" w:type="dxa"/>
                  <w:vAlign w:val="center"/>
                </w:tcPr>
                <w:p w14:paraId="0B38F235">
                  <w:pPr>
                    <w:widowControl w:val="0"/>
                    <w:overflowPunct w:val="0"/>
                    <w:autoSpaceDE w:val="0"/>
                    <w:autoSpaceDN w:val="0"/>
                    <w:snapToGrid w:val="0"/>
                    <w:jc w:val="center"/>
                    <w:rPr>
                      <w14:ligatures w14:val="standardContextual"/>
                    </w:rPr>
                  </w:pPr>
                  <w:r>
                    <w:rPr>
                      <w:rFonts w:hint="eastAsia"/>
                      <w14:ligatures w14:val="standardContextual"/>
                    </w:rPr>
                    <w:t>8</w:t>
                  </w:r>
                </w:p>
              </w:tc>
              <w:tc>
                <w:tcPr>
                  <w:tcW w:w="1175" w:type="dxa"/>
                  <w:vAlign w:val="center"/>
                </w:tcPr>
                <w:p w14:paraId="22B08956">
                  <w:pPr>
                    <w:widowControl w:val="0"/>
                    <w:overflowPunct w:val="0"/>
                    <w:autoSpaceDE w:val="0"/>
                    <w:autoSpaceDN w:val="0"/>
                    <w:snapToGrid w:val="0"/>
                    <w:jc w:val="center"/>
                    <w:rPr>
                      <w14:ligatures w14:val="standardContextual"/>
                    </w:rPr>
                  </w:pPr>
                  <w:r>
                    <w:rPr>
                      <w14:ligatures w14:val="standardContextual"/>
                    </w:rPr>
                    <w:t>60</w:t>
                  </w:r>
                </w:p>
              </w:tc>
              <w:tc>
                <w:tcPr>
                  <w:tcW w:w="943" w:type="dxa"/>
                  <w:vAlign w:val="center"/>
                </w:tcPr>
                <w:p w14:paraId="699176EA">
                  <w:pPr>
                    <w:widowControl w:val="0"/>
                    <w:overflowPunct w:val="0"/>
                    <w:autoSpaceDE w:val="0"/>
                    <w:autoSpaceDN w:val="0"/>
                    <w:snapToGrid w:val="0"/>
                    <w:jc w:val="center"/>
                    <w:rPr>
                      <w14:ligatures w14:val="standardContextual"/>
                    </w:rPr>
                  </w:pPr>
                  <w:r>
                    <w:rPr>
                      <w:rFonts w:hint="eastAsia"/>
                      <w14:ligatures w14:val="standardContextual"/>
                    </w:rPr>
                    <w:t>13</w:t>
                  </w:r>
                </w:p>
              </w:tc>
              <w:tc>
                <w:tcPr>
                  <w:tcW w:w="1289" w:type="dxa"/>
                  <w:vAlign w:val="center"/>
                </w:tcPr>
                <w:p w14:paraId="0C8BE493">
                  <w:pPr>
                    <w:widowControl w:val="0"/>
                    <w:overflowPunct w:val="0"/>
                    <w:autoSpaceDE w:val="0"/>
                    <w:autoSpaceDN w:val="0"/>
                    <w:snapToGrid w:val="0"/>
                    <w:jc w:val="center"/>
                    <w:rPr>
                      <w14:ligatures w14:val="standardContextual"/>
                    </w:rPr>
                  </w:pPr>
                  <w:r>
                    <w:rPr>
                      <w14:ligatures w14:val="standardContextual"/>
                    </w:rPr>
                    <w:t>达标</w:t>
                  </w:r>
                </w:p>
              </w:tc>
            </w:tr>
            <w:tr w14:paraId="5C8691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006" w:type="dxa"/>
                  <w:vAlign w:val="center"/>
                </w:tcPr>
                <w:p w14:paraId="5B897FCC">
                  <w:pPr>
                    <w:widowControl w:val="0"/>
                    <w:overflowPunct w:val="0"/>
                    <w:autoSpaceDE w:val="0"/>
                    <w:autoSpaceDN w:val="0"/>
                    <w:snapToGrid w:val="0"/>
                    <w:jc w:val="center"/>
                    <w:rPr>
                      <w14:ligatures w14:val="standardContextual"/>
                    </w:rPr>
                  </w:pPr>
                  <w:r>
                    <w:rPr>
                      <w14:ligatures w14:val="standardContextual"/>
                    </w:rPr>
                    <w:t>NO</w:t>
                  </w:r>
                  <w:r>
                    <w:rPr>
                      <w:vertAlign w:val="subscript"/>
                      <w14:ligatures w14:val="standardContextual"/>
                    </w:rPr>
                    <w:t>2</w:t>
                  </w:r>
                </w:p>
              </w:tc>
              <w:tc>
                <w:tcPr>
                  <w:tcW w:w="2418" w:type="dxa"/>
                  <w:vAlign w:val="center"/>
                </w:tcPr>
                <w:p w14:paraId="44F89AF0">
                  <w:pPr>
                    <w:widowControl w:val="0"/>
                    <w:overflowPunct w:val="0"/>
                    <w:autoSpaceDE w:val="0"/>
                    <w:autoSpaceDN w:val="0"/>
                    <w:snapToGrid w:val="0"/>
                    <w:jc w:val="center"/>
                    <w:rPr>
                      <w14:ligatures w14:val="standardContextual"/>
                    </w:rPr>
                  </w:pPr>
                  <w:r>
                    <w:rPr>
                      <w14:ligatures w14:val="standardContextual"/>
                    </w:rPr>
                    <w:t>年平均质量浓度</w:t>
                  </w:r>
                </w:p>
              </w:tc>
              <w:tc>
                <w:tcPr>
                  <w:tcW w:w="1113" w:type="dxa"/>
                  <w:vAlign w:val="center"/>
                </w:tcPr>
                <w:p w14:paraId="105CBD43">
                  <w:pPr>
                    <w:widowControl w:val="0"/>
                    <w:overflowPunct w:val="0"/>
                    <w:autoSpaceDE w:val="0"/>
                    <w:autoSpaceDN w:val="0"/>
                    <w:snapToGrid w:val="0"/>
                    <w:jc w:val="center"/>
                    <w:rPr>
                      <w14:ligatures w14:val="standardContextual"/>
                    </w:rPr>
                  </w:pPr>
                  <w:r>
                    <w:rPr>
                      <w:rFonts w:hint="eastAsia"/>
                      <w14:ligatures w14:val="standardContextual"/>
                    </w:rPr>
                    <w:t>19</w:t>
                  </w:r>
                </w:p>
              </w:tc>
              <w:tc>
                <w:tcPr>
                  <w:tcW w:w="1175" w:type="dxa"/>
                  <w:vAlign w:val="center"/>
                </w:tcPr>
                <w:p w14:paraId="50D55F2C">
                  <w:pPr>
                    <w:widowControl w:val="0"/>
                    <w:overflowPunct w:val="0"/>
                    <w:autoSpaceDE w:val="0"/>
                    <w:autoSpaceDN w:val="0"/>
                    <w:snapToGrid w:val="0"/>
                    <w:jc w:val="center"/>
                    <w:rPr>
                      <w14:ligatures w14:val="standardContextual"/>
                    </w:rPr>
                  </w:pPr>
                  <w:r>
                    <w:rPr>
                      <w14:ligatures w14:val="standardContextual"/>
                    </w:rPr>
                    <w:t>40</w:t>
                  </w:r>
                </w:p>
              </w:tc>
              <w:tc>
                <w:tcPr>
                  <w:tcW w:w="943" w:type="dxa"/>
                  <w:vAlign w:val="center"/>
                </w:tcPr>
                <w:p w14:paraId="24B0FECA">
                  <w:pPr>
                    <w:widowControl w:val="0"/>
                    <w:overflowPunct w:val="0"/>
                    <w:autoSpaceDE w:val="0"/>
                    <w:autoSpaceDN w:val="0"/>
                    <w:snapToGrid w:val="0"/>
                    <w:jc w:val="center"/>
                    <w:rPr>
                      <w14:ligatures w14:val="standardContextual"/>
                    </w:rPr>
                  </w:pPr>
                  <w:r>
                    <w:rPr>
                      <w:rFonts w:hint="eastAsia"/>
                      <w14:ligatures w14:val="standardContextual"/>
                    </w:rPr>
                    <w:t>47.5</w:t>
                  </w:r>
                </w:p>
              </w:tc>
              <w:tc>
                <w:tcPr>
                  <w:tcW w:w="1289" w:type="dxa"/>
                  <w:vAlign w:val="center"/>
                </w:tcPr>
                <w:p w14:paraId="352B6320">
                  <w:pPr>
                    <w:widowControl w:val="0"/>
                    <w:overflowPunct w:val="0"/>
                    <w:autoSpaceDE w:val="0"/>
                    <w:autoSpaceDN w:val="0"/>
                    <w:snapToGrid w:val="0"/>
                    <w:jc w:val="center"/>
                    <w:rPr>
                      <w14:ligatures w14:val="standardContextual"/>
                    </w:rPr>
                  </w:pPr>
                  <w:r>
                    <w:rPr>
                      <w14:ligatures w14:val="standardContextual"/>
                    </w:rPr>
                    <w:t>达标</w:t>
                  </w:r>
                </w:p>
              </w:tc>
            </w:tr>
            <w:tr w14:paraId="696562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006" w:type="dxa"/>
                  <w:vAlign w:val="center"/>
                </w:tcPr>
                <w:p w14:paraId="317586B1">
                  <w:pPr>
                    <w:widowControl w:val="0"/>
                    <w:overflowPunct w:val="0"/>
                    <w:autoSpaceDE w:val="0"/>
                    <w:autoSpaceDN w:val="0"/>
                    <w:snapToGrid w:val="0"/>
                    <w:jc w:val="center"/>
                    <w:rPr>
                      <w14:ligatures w14:val="standardContextual"/>
                    </w:rPr>
                  </w:pPr>
                  <w:r>
                    <w:rPr>
                      <w14:ligatures w14:val="standardContextual"/>
                    </w:rPr>
                    <w:t>PM</w:t>
                  </w:r>
                  <w:r>
                    <w:rPr>
                      <w:vertAlign w:val="subscript"/>
                      <w14:ligatures w14:val="standardContextual"/>
                    </w:rPr>
                    <w:t>2.5</w:t>
                  </w:r>
                </w:p>
              </w:tc>
              <w:tc>
                <w:tcPr>
                  <w:tcW w:w="2418" w:type="dxa"/>
                  <w:vAlign w:val="center"/>
                </w:tcPr>
                <w:p w14:paraId="04BCF80A">
                  <w:pPr>
                    <w:widowControl w:val="0"/>
                    <w:overflowPunct w:val="0"/>
                    <w:autoSpaceDE w:val="0"/>
                    <w:autoSpaceDN w:val="0"/>
                    <w:snapToGrid w:val="0"/>
                    <w:jc w:val="center"/>
                    <w:rPr>
                      <w14:ligatures w14:val="standardContextual"/>
                    </w:rPr>
                  </w:pPr>
                  <w:r>
                    <w:rPr>
                      <w14:ligatures w14:val="standardContextual"/>
                    </w:rPr>
                    <w:t>年平均质量浓度</w:t>
                  </w:r>
                </w:p>
              </w:tc>
              <w:tc>
                <w:tcPr>
                  <w:tcW w:w="1113" w:type="dxa"/>
                  <w:vAlign w:val="center"/>
                </w:tcPr>
                <w:p w14:paraId="608452E6">
                  <w:pPr>
                    <w:widowControl w:val="0"/>
                    <w:overflowPunct w:val="0"/>
                    <w:autoSpaceDE w:val="0"/>
                    <w:autoSpaceDN w:val="0"/>
                    <w:snapToGrid w:val="0"/>
                    <w:jc w:val="center"/>
                    <w:rPr>
                      <w14:ligatures w14:val="standardContextual"/>
                    </w:rPr>
                  </w:pPr>
                  <w:r>
                    <w:rPr>
                      <w:rFonts w:hint="eastAsia"/>
                      <w14:ligatures w14:val="standardContextual"/>
                    </w:rPr>
                    <w:t>24.3</w:t>
                  </w:r>
                </w:p>
              </w:tc>
              <w:tc>
                <w:tcPr>
                  <w:tcW w:w="1175" w:type="dxa"/>
                  <w:vAlign w:val="center"/>
                </w:tcPr>
                <w:p w14:paraId="4F6D3565">
                  <w:pPr>
                    <w:widowControl w:val="0"/>
                    <w:overflowPunct w:val="0"/>
                    <w:autoSpaceDE w:val="0"/>
                    <w:autoSpaceDN w:val="0"/>
                    <w:snapToGrid w:val="0"/>
                    <w:jc w:val="center"/>
                    <w:rPr>
                      <w14:ligatures w14:val="standardContextual"/>
                    </w:rPr>
                  </w:pPr>
                  <w:r>
                    <w:rPr>
                      <w14:ligatures w14:val="standardContextual"/>
                    </w:rPr>
                    <w:t>35</w:t>
                  </w:r>
                </w:p>
              </w:tc>
              <w:tc>
                <w:tcPr>
                  <w:tcW w:w="943" w:type="dxa"/>
                  <w:vAlign w:val="center"/>
                </w:tcPr>
                <w:p w14:paraId="2BA6367D">
                  <w:pPr>
                    <w:widowControl w:val="0"/>
                    <w:overflowPunct w:val="0"/>
                    <w:autoSpaceDE w:val="0"/>
                    <w:autoSpaceDN w:val="0"/>
                    <w:snapToGrid w:val="0"/>
                    <w:jc w:val="center"/>
                    <w:rPr>
                      <w14:ligatures w14:val="standardContextual"/>
                    </w:rPr>
                  </w:pPr>
                  <w:r>
                    <w:rPr>
                      <w:rFonts w:hint="eastAsia"/>
                      <w14:ligatures w14:val="standardContextual"/>
                    </w:rPr>
                    <w:t>69.4</w:t>
                  </w:r>
                </w:p>
              </w:tc>
              <w:tc>
                <w:tcPr>
                  <w:tcW w:w="1289" w:type="dxa"/>
                  <w:vAlign w:val="center"/>
                </w:tcPr>
                <w:p w14:paraId="2285283D">
                  <w:pPr>
                    <w:widowControl w:val="0"/>
                    <w:overflowPunct w:val="0"/>
                    <w:autoSpaceDE w:val="0"/>
                    <w:autoSpaceDN w:val="0"/>
                    <w:snapToGrid w:val="0"/>
                    <w:jc w:val="center"/>
                    <w:rPr>
                      <w14:ligatures w14:val="standardContextual"/>
                    </w:rPr>
                  </w:pPr>
                  <w:r>
                    <w:rPr>
                      <w14:ligatures w14:val="standardContextual"/>
                    </w:rPr>
                    <w:t>达标</w:t>
                  </w:r>
                </w:p>
              </w:tc>
            </w:tr>
            <w:tr w14:paraId="24E332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006" w:type="dxa"/>
                  <w:vAlign w:val="center"/>
                </w:tcPr>
                <w:p w14:paraId="71913C32">
                  <w:pPr>
                    <w:widowControl w:val="0"/>
                    <w:overflowPunct w:val="0"/>
                    <w:autoSpaceDE w:val="0"/>
                    <w:autoSpaceDN w:val="0"/>
                    <w:snapToGrid w:val="0"/>
                    <w:jc w:val="center"/>
                    <w:rPr>
                      <w14:ligatures w14:val="standardContextual"/>
                    </w:rPr>
                  </w:pPr>
                  <w:r>
                    <w:rPr>
                      <w14:ligatures w14:val="standardContextual"/>
                    </w:rPr>
                    <w:t>C</w:t>
                  </w:r>
                  <w:r>
                    <w:rPr>
                      <w:rFonts w:hint="eastAsia"/>
                      <w14:ligatures w14:val="standardContextual"/>
                    </w:rPr>
                    <w:t>O</w:t>
                  </w:r>
                </w:p>
              </w:tc>
              <w:tc>
                <w:tcPr>
                  <w:tcW w:w="2418" w:type="dxa"/>
                  <w:vAlign w:val="center"/>
                </w:tcPr>
                <w:p w14:paraId="6BBF2E0B">
                  <w:pPr>
                    <w:widowControl w:val="0"/>
                    <w:overflowPunct w:val="0"/>
                    <w:autoSpaceDE w:val="0"/>
                    <w:autoSpaceDN w:val="0"/>
                    <w:snapToGrid w:val="0"/>
                    <w:jc w:val="center"/>
                    <w:rPr>
                      <w14:ligatures w14:val="standardContextual"/>
                    </w:rPr>
                  </w:pPr>
                  <w:r>
                    <w:rPr>
                      <w:rFonts w:hint="eastAsia"/>
                      <w14:ligatures w14:val="standardContextual"/>
                    </w:rPr>
                    <w:t>平均</w:t>
                  </w:r>
                  <w:r>
                    <w:rPr>
                      <w14:ligatures w14:val="standardContextual"/>
                    </w:rPr>
                    <w:t>第95百分位数浓度</w:t>
                  </w:r>
                </w:p>
              </w:tc>
              <w:tc>
                <w:tcPr>
                  <w:tcW w:w="1113" w:type="dxa"/>
                  <w:vAlign w:val="center"/>
                </w:tcPr>
                <w:p w14:paraId="20563AC8">
                  <w:pPr>
                    <w:widowControl w:val="0"/>
                    <w:overflowPunct w:val="0"/>
                    <w:autoSpaceDE w:val="0"/>
                    <w:autoSpaceDN w:val="0"/>
                    <w:snapToGrid w:val="0"/>
                    <w:jc w:val="center"/>
                    <w:rPr>
                      <w14:ligatures w14:val="standardContextual"/>
                    </w:rPr>
                  </w:pPr>
                  <w:r>
                    <w:rPr>
                      <w:rFonts w:hint="eastAsia"/>
                      <w14:ligatures w14:val="standardContextual"/>
                    </w:rPr>
                    <w:t>1100</w:t>
                  </w:r>
                </w:p>
              </w:tc>
              <w:tc>
                <w:tcPr>
                  <w:tcW w:w="1175" w:type="dxa"/>
                  <w:vAlign w:val="center"/>
                </w:tcPr>
                <w:p w14:paraId="2719DBF5">
                  <w:pPr>
                    <w:widowControl w:val="0"/>
                    <w:overflowPunct w:val="0"/>
                    <w:autoSpaceDE w:val="0"/>
                    <w:autoSpaceDN w:val="0"/>
                    <w:snapToGrid w:val="0"/>
                    <w:jc w:val="center"/>
                    <w:rPr>
                      <w14:ligatures w14:val="standardContextual"/>
                    </w:rPr>
                  </w:pPr>
                  <w:r>
                    <w:rPr>
                      <w14:ligatures w14:val="standardContextual"/>
                    </w:rPr>
                    <w:t>4</w:t>
                  </w:r>
                  <w:r>
                    <w:rPr>
                      <w:rFonts w:hint="eastAsia"/>
                      <w14:ligatures w14:val="standardContextual"/>
                    </w:rPr>
                    <w:t>000</w:t>
                  </w:r>
                </w:p>
              </w:tc>
              <w:tc>
                <w:tcPr>
                  <w:tcW w:w="943" w:type="dxa"/>
                  <w:vAlign w:val="center"/>
                </w:tcPr>
                <w:p w14:paraId="2617FC8E">
                  <w:pPr>
                    <w:widowControl w:val="0"/>
                    <w:overflowPunct w:val="0"/>
                    <w:autoSpaceDE w:val="0"/>
                    <w:autoSpaceDN w:val="0"/>
                    <w:snapToGrid w:val="0"/>
                    <w:jc w:val="center"/>
                    <w:rPr>
                      <w14:ligatures w14:val="standardContextual"/>
                    </w:rPr>
                  </w:pPr>
                  <w:r>
                    <w:rPr>
                      <w:rFonts w:hint="eastAsia"/>
                      <w14:ligatures w14:val="standardContextual"/>
                    </w:rPr>
                    <w:t>27.5</w:t>
                  </w:r>
                </w:p>
              </w:tc>
              <w:tc>
                <w:tcPr>
                  <w:tcW w:w="1289" w:type="dxa"/>
                  <w:vAlign w:val="center"/>
                </w:tcPr>
                <w:p w14:paraId="0140900F">
                  <w:pPr>
                    <w:widowControl w:val="0"/>
                    <w:overflowPunct w:val="0"/>
                    <w:autoSpaceDE w:val="0"/>
                    <w:autoSpaceDN w:val="0"/>
                    <w:snapToGrid w:val="0"/>
                    <w:jc w:val="center"/>
                    <w:rPr>
                      <w14:ligatures w14:val="standardContextual"/>
                    </w:rPr>
                  </w:pPr>
                  <w:r>
                    <w:rPr>
                      <w14:ligatures w14:val="standardContextual"/>
                    </w:rPr>
                    <w:t>达标</w:t>
                  </w:r>
                </w:p>
              </w:tc>
            </w:tr>
            <w:tr w14:paraId="5FB19F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006" w:type="dxa"/>
                  <w:vAlign w:val="center"/>
                </w:tcPr>
                <w:p w14:paraId="3B270B51">
                  <w:pPr>
                    <w:widowControl w:val="0"/>
                    <w:overflowPunct w:val="0"/>
                    <w:autoSpaceDE w:val="0"/>
                    <w:autoSpaceDN w:val="0"/>
                    <w:snapToGrid w:val="0"/>
                    <w:jc w:val="center"/>
                    <w:rPr>
                      <w14:ligatures w14:val="standardContextual"/>
                    </w:rPr>
                  </w:pPr>
                  <w:r>
                    <w:rPr>
                      <w14:ligatures w14:val="standardContextual"/>
                    </w:rPr>
                    <w:t>O</w:t>
                  </w:r>
                  <w:r>
                    <w:rPr>
                      <w:vertAlign w:val="subscript"/>
                      <w14:ligatures w14:val="standardContextual"/>
                    </w:rPr>
                    <w:t>3</w:t>
                  </w:r>
                </w:p>
              </w:tc>
              <w:tc>
                <w:tcPr>
                  <w:tcW w:w="2418" w:type="dxa"/>
                  <w:vAlign w:val="center"/>
                </w:tcPr>
                <w:p w14:paraId="63EA02BF">
                  <w:pPr>
                    <w:widowControl w:val="0"/>
                    <w:overflowPunct w:val="0"/>
                    <w:autoSpaceDE w:val="0"/>
                    <w:autoSpaceDN w:val="0"/>
                    <w:snapToGrid w:val="0"/>
                    <w:jc w:val="center"/>
                    <w:rPr>
                      <w14:ligatures w14:val="standardContextual"/>
                    </w:rPr>
                  </w:pPr>
                  <w:r>
                    <w:rPr>
                      <w:rFonts w:hint="eastAsia"/>
                      <w14:ligatures w14:val="standardContextual"/>
                    </w:rPr>
                    <w:t>平均</w:t>
                  </w:r>
                  <w:r>
                    <w:rPr>
                      <w14:ligatures w14:val="standardContextual"/>
                    </w:rPr>
                    <w:t>第90百分位数浓度</w:t>
                  </w:r>
                </w:p>
              </w:tc>
              <w:tc>
                <w:tcPr>
                  <w:tcW w:w="1113" w:type="dxa"/>
                  <w:vAlign w:val="center"/>
                </w:tcPr>
                <w:p w14:paraId="23783327">
                  <w:pPr>
                    <w:widowControl w:val="0"/>
                    <w:overflowPunct w:val="0"/>
                    <w:autoSpaceDE w:val="0"/>
                    <w:autoSpaceDN w:val="0"/>
                    <w:snapToGrid w:val="0"/>
                    <w:jc w:val="center"/>
                    <w:rPr>
                      <w14:ligatures w14:val="standardContextual"/>
                    </w:rPr>
                  </w:pPr>
                  <w:r>
                    <w:rPr>
                      <w:rFonts w:hint="eastAsia"/>
                      <w14:ligatures w14:val="standardContextual"/>
                    </w:rPr>
                    <w:t>118</w:t>
                  </w:r>
                </w:p>
              </w:tc>
              <w:tc>
                <w:tcPr>
                  <w:tcW w:w="1175" w:type="dxa"/>
                  <w:vAlign w:val="center"/>
                </w:tcPr>
                <w:p w14:paraId="554F29DF">
                  <w:pPr>
                    <w:widowControl w:val="0"/>
                    <w:overflowPunct w:val="0"/>
                    <w:autoSpaceDE w:val="0"/>
                    <w:autoSpaceDN w:val="0"/>
                    <w:snapToGrid w:val="0"/>
                    <w:jc w:val="center"/>
                    <w:rPr>
                      <w14:ligatures w14:val="standardContextual"/>
                    </w:rPr>
                  </w:pPr>
                  <w:r>
                    <w:rPr>
                      <w14:ligatures w14:val="standardContextual"/>
                    </w:rPr>
                    <w:t>160</w:t>
                  </w:r>
                </w:p>
              </w:tc>
              <w:tc>
                <w:tcPr>
                  <w:tcW w:w="943" w:type="dxa"/>
                  <w:vAlign w:val="center"/>
                </w:tcPr>
                <w:p w14:paraId="59062D85">
                  <w:pPr>
                    <w:widowControl w:val="0"/>
                    <w:overflowPunct w:val="0"/>
                    <w:autoSpaceDE w:val="0"/>
                    <w:autoSpaceDN w:val="0"/>
                    <w:snapToGrid w:val="0"/>
                    <w:jc w:val="center"/>
                    <w:rPr>
                      <w14:ligatures w14:val="standardContextual"/>
                    </w:rPr>
                  </w:pPr>
                  <w:r>
                    <w:rPr>
                      <w:rFonts w:hint="eastAsia"/>
                      <w14:ligatures w14:val="standardContextual"/>
                    </w:rPr>
                    <w:t>73.75</w:t>
                  </w:r>
                </w:p>
              </w:tc>
              <w:tc>
                <w:tcPr>
                  <w:tcW w:w="1289" w:type="dxa"/>
                  <w:vAlign w:val="center"/>
                </w:tcPr>
                <w:p w14:paraId="5D0D3B87">
                  <w:pPr>
                    <w:widowControl w:val="0"/>
                    <w:overflowPunct w:val="0"/>
                    <w:autoSpaceDE w:val="0"/>
                    <w:autoSpaceDN w:val="0"/>
                    <w:snapToGrid w:val="0"/>
                    <w:jc w:val="center"/>
                    <w:rPr>
                      <w14:ligatures w14:val="standardContextual"/>
                    </w:rPr>
                  </w:pPr>
                  <w:r>
                    <w:rPr>
                      <w14:ligatures w14:val="standardContextual"/>
                    </w:rPr>
                    <w:t>达标</w:t>
                  </w:r>
                </w:p>
              </w:tc>
            </w:tr>
          </w:tbl>
          <w:p w14:paraId="484C4948">
            <w:pPr>
              <w:pStyle w:val="3"/>
              <w:ind w:firstLine="480"/>
            </w:pPr>
            <w:r>
              <w:rPr>
                <w:rFonts w:hint="eastAsia"/>
              </w:rPr>
              <w:t>可知，二氧化硫、二氧化氮、吸入颗粒物（</w:t>
            </w:r>
            <w:r>
              <w:t>PM</w:t>
            </w:r>
            <w:r>
              <w:rPr>
                <w:vertAlign w:val="subscript"/>
              </w:rPr>
              <w:t>10</w:t>
            </w:r>
            <w:r>
              <w:rPr>
                <w:rFonts w:hint="eastAsia"/>
              </w:rPr>
              <w:t>）、细颗粒物（</w:t>
            </w:r>
            <w:r>
              <w:t>PM</w:t>
            </w:r>
            <w:r>
              <w:rPr>
                <w:vertAlign w:val="subscript"/>
              </w:rPr>
              <w:t>2.5</w:t>
            </w:r>
            <w:r>
              <w:rPr>
                <w:rFonts w:hint="eastAsia"/>
              </w:rPr>
              <w:t>）一氧化碳、臭氧六项污染物全部达标，即区域环境空气质量满足《环境空气质量标准》（</w:t>
            </w:r>
            <w:r>
              <w:t>GB3095-2012</w:t>
            </w:r>
            <w:r>
              <w:rPr>
                <w:rFonts w:hint="eastAsia"/>
              </w:rPr>
              <w:t>）中二级标准限值，则项目所在评价区域属于达标区。</w:t>
            </w:r>
          </w:p>
          <w:p w14:paraId="7FEB2AC3">
            <w:pPr>
              <w:pStyle w:val="3"/>
              <w:ind w:firstLine="480"/>
            </w:pPr>
            <w:r>
              <w:rPr>
                <w:rFonts w:hint="eastAsia"/>
              </w:rPr>
              <w:t>（2）特征污染物</w:t>
            </w:r>
          </w:p>
          <w:p w14:paraId="2DBA548F">
            <w:pPr>
              <w:pStyle w:val="3"/>
              <w:ind w:firstLine="480"/>
              <w:rPr>
                <w:bCs/>
              </w:rPr>
            </w:pPr>
            <w:r>
              <w:rPr>
                <w:bCs/>
              </w:rPr>
              <w:t>为了解项目所在区域环境空气</w:t>
            </w:r>
            <w:r>
              <w:rPr>
                <w:rFonts w:hint="eastAsia"/>
                <w:bCs/>
              </w:rPr>
              <w:t>中特征因子TSP的环境质量现状</w:t>
            </w:r>
            <w:r>
              <w:rPr>
                <w:bCs/>
              </w:rPr>
              <w:t>，本次</w:t>
            </w:r>
            <w:r>
              <w:rPr>
                <w:rFonts w:hint="eastAsia"/>
                <w:bCs/>
              </w:rPr>
              <w:t>引用《中交路桥建设有限公司沥青搅拌站项目环境影响报告表》监测数据，中交路桥建设有限公司沥青搅拌站项目与本项目在同一区域，位于本项目西北面，相距0.565千米，满足“排放国家、地方环境空气质量标准中有标准限值要求的特征污染物时，引用建设项目周边5千米范围内近3年的现有监测数据”的要求；根据检测报告（旭森检测（监）字</w:t>
            </w:r>
            <w:r>
              <w:rPr>
                <w:rFonts w:hint="eastAsia"/>
                <w:bCs/>
                <w:lang w:eastAsia="zh-CN"/>
              </w:rPr>
              <w:t>〔2023〕626号</w:t>
            </w:r>
            <w:r>
              <w:rPr>
                <w:rFonts w:hint="eastAsia"/>
                <w:bCs/>
              </w:rPr>
              <w:t>），检测结果如下：</w:t>
            </w:r>
          </w:p>
          <w:p w14:paraId="604AC20C">
            <w:pPr>
              <w:pStyle w:val="3"/>
              <w:ind w:firstLine="480"/>
            </w:pPr>
            <w:r>
              <w:rPr>
                <w:rFonts w:hint="eastAsia"/>
              </w:rPr>
              <w:t>（1）监测期间气象参数</w:t>
            </w:r>
          </w:p>
          <w:p w14:paraId="2D3D6E9A">
            <w:pPr>
              <w:pStyle w:val="3"/>
              <w:ind w:firstLine="480"/>
            </w:pPr>
            <w:r>
              <w:rPr>
                <w:rFonts w:hint="eastAsia"/>
              </w:rPr>
              <w:t>监测期间气象参数详见下表。</w:t>
            </w:r>
          </w:p>
          <w:p w14:paraId="3DAC49A2">
            <w:pPr>
              <w:pStyle w:val="48"/>
            </w:pPr>
            <w:r>
              <w:rPr>
                <w:rFonts w:hint="eastAsia"/>
              </w:rPr>
              <w:t>表</w:t>
            </w:r>
            <w:r>
              <w:t xml:space="preserve">3- </w:t>
            </w:r>
            <w:r>
              <w:fldChar w:fldCharType="begin"/>
            </w:r>
            <w:r>
              <w:instrText xml:space="preserve"> SEQ </w:instrText>
            </w:r>
            <w:r>
              <w:rPr>
                <w:rFonts w:hint="eastAsia"/>
              </w:rPr>
              <w:instrText xml:space="preserve">表</w:instrText>
            </w:r>
            <w:r>
              <w:instrText xml:space="preserve">3- \* ARABIC </w:instrText>
            </w:r>
            <w:r>
              <w:fldChar w:fldCharType="separate"/>
            </w:r>
            <w:r>
              <w:t>2</w:t>
            </w:r>
            <w:r>
              <w:fldChar w:fldCharType="end"/>
            </w:r>
            <w:r>
              <w:rPr>
                <w:rFonts w:hint="eastAsia"/>
              </w:rPr>
              <w:t>：监测期间气象参数一览表</w:t>
            </w:r>
          </w:p>
          <w:tbl>
            <w:tblPr>
              <w:tblStyle w:val="4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611"/>
              <w:gridCol w:w="1084"/>
              <w:gridCol w:w="1027"/>
              <w:gridCol w:w="1070"/>
              <w:gridCol w:w="1554"/>
              <w:gridCol w:w="1592"/>
            </w:tblGrid>
            <w:tr w14:paraId="08E94F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15" w:type="pc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7C504619">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14:ligatures w14:val="standardContextual"/>
                    </w:rPr>
                  </w:pPr>
                  <w:r>
                    <w:rPr>
                      <w:rFonts w:hint="eastAsia" w:ascii="Times New Roman" w:hAnsi="Times New Roman" w:eastAsia="宋体" w:cs="Times New Roman"/>
                      <w:b/>
                      <w:i w:val="0"/>
                      <w:snapToGrid w:val="0"/>
                      <w14:ligatures w14:val="standardContextual"/>
                    </w:rPr>
                    <w:t>监测日期</w:t>
                  </w:r>
                </w:p>
              </w:tc>
              <w:tc>
                <w:tcPr>
                  <w:tcW w:w="683"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2E9E159C">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14:ligatures w14:val="standardContextual"/>
                    </w:rPr>
                  </w:pPr>
                  <w:r>
                    <w:rPr>
                      <w:rFonts w:hint="eastAsia" w:ascii="Times New Roman" w:hAnsi="Times New Roman" w:eastAsia="宋体" w:cs="Times New Roman"/>
                      <w:b/>
                      <w:i w:val="0"/>
                      <w:snapToGrid w:val="0"/>
                      <w14:ligatures w14:val="standardContextual"/>
                    </w:rPr>
                    <w:t>风向</w:t>
                  </w:r>
                </w:p>
              </w:tc>
              <w:tc>
                <w:tcPr>
                  <w:tcW w:w="647"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01AFC423">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14:ligatures w14:val="standardContextual"/>
                    </w:rPr>
                  </w:pPr>
                  <w:r>
                    <w:rPr>
                      <w:rFonts w:hint="eastAsia" w:ascii="Times New Roman" w:hAnsi="Times New Roman" w:eastAsia="宋体" w:cs="Times New Roman"/>
                      <w:b/>
                      <w:i w:val="0"/>
                      <w:snapToGrid w:val="0"/>
                      <w14:ligatures w14:val="standardContextual"/>
                    </w:rPr>
                    <w:t>天气</w:t>
                  </w:r>
                </w:p>
                <w:p w14:paraId="4F042A9C">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14:ligatures w14:val="standardContextual"/>
                    </w:rPr>
                  </w:pPr>
                  <w:r>
                    <w:rPr>
                      <w:rFonts w:hint="eastAsia" w:ascii="Times New Roman" w:hAnsi="Times New Roman" w:eastAsia="宋体" w:cs="Times New Roman"/>
                      <w:b/>
                      <w:i w:val="0"/>
                      <w:snapToGrid w:val="0"/>
                      <w14:ligatures w14:val="standardContextual"/>
                    </w:rPr>
                    <w:t>状况</w:t>
                  </w:r>
                </w:p>
              </w:tc>
              <w:tc>
                <w:tcPr>
                  <w:tcW w:w="674"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6DE38FD8">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14:ligatures w14:val="standardContextual"/>
                    </w:rPr>
                  </w:pPr>
                  <w:r>
                    <w:rPr>
                      <w:rFonts w:hint="eastAsia" w:ascii="Times New Roman" w:hAnsi="Times New Roman" w:eastAsia="宋体" w:cs="Times New Roman"/>
                      <w:b/>
                      <w:i w:val="0"/>
                      <w:snapToGrid w:val="0"/>
                      <w14:ligatures w14:val="standardContextual"/>
                    </w:rPr>
                    <w:t>风速（m/s）</w:t>
                  </w:r>
                </w:p>
              </w:tc>
              <w:tc>
                <w:tcPr>
                  <w:tcW w:w="979"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4E1234E6">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14:ligatures w14:val="standardContextual"/>
                    </w:rPr>
                  </w:pPr>
                  <w:r>
                    <w:rPr>
                      <w:rFonts w:hint="eastAsia" w:ascii="Times New Roman" w:hAnsi="Times New Roman" w:eastAsia="宋体" w:cs="Times New Roman"/>
                      <w:b/>
                      <w:i w:val="0"/>
                      <w:snapToGrid w:val="0"/>
                      <w14:ligatures w14:val="standardContextual"/>
                    </w:rPr>
                    <w:t>环境气温（℃）</w:t>
                  </w:r>
                </w:p>
              </w:tc>
              <w:tc>
                <w:tcPr>
                  <w:tcW w:w="1002" w:type="pct"/>
                  <w:tcBorders>
                    <w:top w:val="single" w:color="auto" w:sz="12" w:space="0"/>
                    <w:bottom w:val="single" w:color="auto" w:sz="12" w:space="0"/>
                    <w:right w:val="nil"/>
                    <w:insideH w:val="single" w:sz="12" w:space="0"/>
                    <w:insideV w:val="single" w:sz="4" w:space="0"/>
                    <w:tl2br w:val="nil"/>
                    <w:tr2bl w:val="nil"/>
                  </w:tcBorders>
                  <w:vAlign w:val="center"/>
                </w:tcPr>
                <w:p w14:paraId="2B8436E5">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14:ligatures w14:val="standardContextual"/>
                    </w:rPr>
                  </w:pPr>
                  <w:r>
                    <w:rPr>
                      <w:rFonts w:hint="eastAsia" w:ascii="Times New Roman" w:hAnsi="Times New Roman" w:eastAsia="宋体" w:cs="Times New Roman"/>
                      <w:b/>
                      <w:i w:val="0"/>
                      <w:snapToGrid w:val="0"/>
                      <w14:ligatures w14:val="standardContextual"/>
                    </w:rPr>
                    <w:t>环境气压</w:t>
                  </w:r>
                </w:p>
                <w:p w14:paraId="0A3AB2C8">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14:ligatures w14:val="standardContextual"/>
                    </w:rPr>
                  </w:pPr>
                  <w:r>
                    <w:rPr>
                      <w:rFonts w:hint="eastAsia" w:cs="Times New Roman"/>
                      <w:b/>
                      <w:i w:val="0"/>
                      <w:snapToGrid w:val="0"/>
                      <w:lang w:eastAsia="zh-CN"/>
                      <w14:ligatures w14:val="standardContextual"/>
                    </w:rPr>
                    <w:t>(</w:t>
                  </w:r>
                  <w:r>
                    <w:rPr>
                      <w:rFonts w:hint="eastAsia" w:ascii="Times New Roman" w:hAnsi="Times New Roman" w:eastAsia="宋体" w:cs="Times New Roman"/>
                      <w:b/>
                      <w:i w:val="0"/>
                      <w:snapToGrid w:val="0"/>
                      <w14:ligatures w14:val="standardContextual"/>
                    </w:rPr>
                    <w:t>kPa</w:t>
                  </w:r>
                  <w:r>
                    <w:rPr>
                      <w:rFonts w:hint="eastAsia" w:cs="Times New Roman"/>
                      <w:b/>
                      <w:i w:val="0"/>
                      <w:snapToGrid w:val="0"/>
                      <w:lang w:eastAsia="zh-CN"/>
                      <w14:ligatures w14:val="standardContextual"/>
                    </w:rPr>
                    <w:t>)</w:t>
                  </w:r>
                </w:p>
              </w:tc>
            </w:tr>
            <w:tr w14:paraId="15442F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15" w:type="pct"/>
                  <w:vAlign w:val="center"/>
                </w:tcPr>
                <w:p w14:paraId="79AE72A0">
                  <w:pPr>
                    <w:widowControl w:val="0"/>
                    <w:overflowPunct w:val="0"/>
                    <w:autoSpaceDE w:val="0"/>
                    <w:autoSpaceDN w:val="0"/>
                    <w:snapToGrid w:val="0"/>
                    <w:jc w:val="center"/>
                    <w:rPr>
                      <w:snapToGrid w:val="0"/>
                      <w14:ligatures w14:val="standardContextual"/>
                    </w:rPr>
                  </w:pPr>
                  <w:r>
                    <w:rPr>
                      <w:rFonts w:hint="eastAsia"/>
                      <w:bCs/>
                      <w:snapToGrid w:val="0"/>
                      <w14:ligatures w14:val="standardContextual"/>
                    </w:rPr>
                    <w:t>2023.6.15</w:t>
                  </w:r>
                </w:p>
              </w:tc>
              <w:tc>
                <w:tcPr>
                  <w:tcW w:w="683" w:type="pct"/>
                  <w:vAlign w:val="center"/>
                </w:tcPr>
                <w:p w14:paraId="34705C89">
                  <w:pPr>
                    <w:widowControl w:val="0"/>
                    <w:overflowPunct w:val="0"/>
                    <w:autoSpaceDE w:val="0"/>
                    <w:autoSpaceDN w:val="0"/>
                    <w:snapToGrid w:val="0"/>
                    <w:jc w:val="center"/>
                    <w:rPr>
                      <w:snapToGrid w:val="0"/>
                      <w14:ligatures w14:val="standardContextual"/>
                    </w:rPr>
                  </w:pPr>
                  <w:r>
                    <w:rPr>
                      <w:rFonts w:hint="eastAsia"/>
                      <w:snapToGrid w:val="0"/>
                      <w14:ligatures w14:val="standardContextual"/>
                    </w:rPr>
                    <w:t>东南</w:t>
                  </w:r>
                </w:p>
              </w:tc>
              <w:tc>
                <w:tcPr>
                  <w:tcW w:w="647" w:type="pct"/>
                  <w:vAlign w:val="center"/>
                </w:tcPr>
                <w:p w14:paraId="559AC9B6">
                  <w:pPr>
                    <w:widowControl w:val="0"/>
                    <w:overflowPunct w:val="0"/>
                    <w:autoSpaceDE w:val="0"/>
                    <w:autoSpaceDN w:val="0"/>
                    <w:snapToGrid w:val="0"/>
                    <w:jc w:val="center"/>
                    <w:rPr>
                      <w:snapToGrid w:val="0"/>
                      <w14:ligatures w14:val="standardContextual"/>
                    </w:rPr>
                  </w:pPr>
                  <w:r>
                    <w:rPr>
                      <w:rFonts w:hint="eastAsia"/>
                      <w:snapToGrid w:val="0"/>
                      <w14:ligatures w14:val="standardContextual"/>
                    </w:rPr>
                    <w:t>多云</w:t>
                  </w:r>
                </w:p>
              </w:tc>
              <w:tc>
                <w:tcPr>
                  <w:tcW w:w="674" w:type="pct"/>
                  <w:vAlign w:val="center"/>
                </w:tcPr>
                <w:p w14:paraId="2E393212">
                  <w:pPr>
                    <w:widowControl w:val="0"/>
                    <w:overflowPunct w:val="0"/>
                    <w:autoSpaceDE w:val="0"/>
                    <w:autoSpaceDN w:val="0"/>
                    <w:snapToGrid w:val="0"/>
                    <w:jc w:val="center"/>
                    <w:rPr>
                      <w:snapToGrid w:val="0"/>
                      <w14:ligatures w14:val="standardContextual"/>
                    </w:rPr>
                  </w:pPr>
                  <w:r>
                    <w:rPr>
                      <w:rFonts w:hint="eastAsia"/>
                      <w:snapToGrid w:val="0"/>
                      <w14:ligatures w14:val="standardContextual"/>
                    </w:rPr>
                    <w:t>1.5~1.9</w:t>
                  </w:r>
                </w:p>
              </w:tc>
              <w:tc>
                <w:tcPr>
                  <w:tcW w:w="979" w:type="pct"/>
                  <w:vAlign w:val="center"/>
                </w:tcPr>
                <w:p w14:paraId="6342A60B">
                  <w:pPr>
                    <w:widowControl w:val="0"/>
                    <w:overflowPunct w:val="0"/>
                    <w:autoSpaceDE w:val="0"/>
                    <w:autoSpaceDN w:val="0"/>
                    <w:snapToGrid w:val="0"/>
                    <w:jc w:val="center"/>
                    <w:rPr>
                      <w:snapToGrid w:val="0"/>
                      <w14:ligatures w14:val="standardContextual"/>
                    </w:rPr>
                  </w:pPr>
                  <w:r>
                    <w:rPr>
                      <w:rFonts w:hint="eastAsia"/>
                      <w:snapToGrid w:val="0"/>
                      <w14:ligatures w14:val="standardContextual"/>
                    </w:rPr>
                    <w:t>26.8~31.8</w:t>
                  </w:r>
                </w:p>
              </w:tc>
              <w:tc>
                <w:tcPr>
                  <w:tcW w:w="1002" w:type="pct"/>
                  <w:vAlign w:val="center"/>
                </w:tcPr>
                <w:p w14:paraId="0EE8D51B">
                  <w:pPr>
                    <w:widowControl w:val="0"/>
                    <w:overflowPunct w:val="0"/>
                    <w:autoSpaceDE w:val="0"/>
                    <w:autoSpaceDN w:val="0"/>
                    <w:snapToGrid w:val="0"/>
                    <w:jc w:val="center"/>
                    <w:rPr>
                      <w:snapToGrid w:val="0"/>
                      <w14:ligatures w14:val="standardContextual"/>
                    </w:rPr>
                  </w:pPr>
                  <w:r>
                    <w:rPr>
                      <w:rFonts w:hint="eastAsia"/>
                      <w:snapToGrid w:val="0"/>
                      <w14:ligatures w14:val="standardContextual"/>
                    </w:rPr>
                    <w:t>100.0~100.3</w:t>
                  </w:r>
                </w:p>
              </w:tc>
            </w:tr>
            <w:tr w14:paraId="7AA701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15" w:type="pct"/>
                  <w:vAlign w:val="center"/>
                </w:tcPr>
                <w:p w14:paraId="73ED474A">
                  <w:pPr>
                    <w:widowControl w:val="0"/>
                    <w:overflowPunct w:val="0"/>
                    <w:autoSpaceDE w:val="0"/>
                    <w:autoSpaceDN w:val="0"/>
                    <w:snapToGrid w:val="0"/>
                    <w:jc w:val="center"/>
                    <w:rPr>
                      <w:snapToGrid w:val="0"/>
                      <w14:ligatures w14:val="standardContextual"/>
                    </w:rPr>
                  </w:pPr>
                  <w:r>
                    <w:rPr>
                      <w:rFonts w:hint="eastAsia"/>
                      <w:bCs/>
                      <w:snapToGrid w:val="0"/>
                      <w14:ligatures w14:val="standardContextual"/>
                    </w:rPr>
                    <w:t>2023.6.16</w:t>
                  </w:r>
                </w:p>
              </w:tc>
              <w:tc>
                <w:tcPr>
                  <w:tcW w:w="683" w:type="pct"/>
                  <w:vAlign w:val="center"/>
                </w:tcPr>
                <w:p w14:paraId="70D4D472">
                  <w:pPr>
                    <w:widowControl w:val="0"/>
                    <w:overflowPunct w:val="0"/>
                    <w:autoSpaceDE w:val="0"/>
                    <w:autoSpaceDN w:val="0"/>
                    <w:snapToGrid w:val="0"/>
                    <w:jc w:val="center"/>
                    <w:rPr>
                      <w:snapToGrid w:val="0"/>
                      <w14:ligatures w14:val="standardContextual"/>
                    </w:rPr>
                  </w:pPr>
                  <w:r>
                    <w:rPr>
                      <w:rFonts w:hint="eastAsia"/>
                      <w:snapToGrid w:val="0"/>
                      <w14:ligatures w14:val="standardContextual"/>
                    </w:rPr>
                    <w:t>南</w:t>
                  </w:r>
                </w:p>
              </w:tc>
              <w:tc>
                <w:tcPr>
                  <w:tcW w:w="647" w:type="pct"/>
                  <w:vAlign w:val="center"/>
                </w:tcPr>
                <w:p w14:paraId="2FE70F47">
                  <w:pPr>
                    <w:widowControl w:val="0"/>
                    <w:overflowPunct w:val="0"/>
                    <w:autoSpaceDE w:val="0"/>
                    <w:autoSpaceDN w:val="0"/>
                    <w:snapToGrid w:val="0"/>
                    <w:jc w:val="center"/>
                    <w:rPr>
                      <w:snapToGrid w:val="0"/>
                      <w14:ligatures w14:val="standardContextual"/>
                    </w:rPr>
                  </w:pPr>
                  <w:r>
                    <w:rPr>
                      <w:rFonts w:hint="eastAsia"/>
                      <w:snapToGrid w:val="0"/>
                      <w14:ligatures w14:val="standardContextual"/>
                    </w:rPr>
                    <w:t>多云</w:t>
                  </w:r>
                </w:p>
              </w:tc>
              <w:tc>
                <w:tcPr>
                  <w:tcW w:w="674" w:type="pct"/>
                  <w:vAlign w:val="center"/>
                </w:tcPr>
                <w:p w14:paraId="4E41E5FE">
                  <w:pPr>
                    <w:widowControl w:val="0"/>
                    <w:overflowPunct w:val="0"/>
                    <w:autoSpaceDE w:val="0"/>
                    <w:autoSpaceDN w:val="0"/>
                    <w:snapToGrid w:val="0"/>
                    <w:jc w:val="center"/>
                    <w:rPr>
                      <w:snapToGrid w:val="0"/>
                      <w14:ligatures w14:val="standardContextual"/>
                    </w:rPr>
                  </w:pPr>
                  <w:r>
                    <w:rPr>
                      <w:rFonts w:hint="eastAsia"/>
                      <w:snapToGrid w:val="0"/>
                      <w14:ligatures w14:val="standardContextual"/>
                    </w:rPr>
                    <w:t>2.3~2.7</w:t>
                  </w:r>
                </w:p>
              </w:tc>
              <w:tc>
                <w:tcPr>
                  <w:tcW w:w="979" w:type="pct"/>
                  <w:vAlign w:val="center"/>
                </w:tcPr>
                <w:p w14:paraId="51211AE3">
                  <w:pPr>
                    <w:widowControl w:val="0"/>
                    <w:overflowPunct w:val="0"/>
                    <w:autoSpaceDE w:val="0"/>
                    <w:autoSpaceDN w:val="0"/>
                    <w:snapToGrid w:val="0"/>
                    <w:jc w:val="center"/>
                    <w:rPr>
                      <w:snapToGrid w:val="0"/>
                      <w14:ligatures w14:val="standardContextual"/>
                    </w:rPr>
                  </w:pPr>
                  <w:r>
                    <w:rPr>
                      <w:rFonts w:hint="eastAsia"/>
                      <w:snapToGrid w:val="0"/>
                      <w14:ligatures w14:val="standardContextual"/>
                    </w:rPr>
                    <w:t>25.3~26.0</w:t>
                  </w:r>
                </w:p>
              </w:tc>
              <w:tc>
                <w:tcPr>
                  <w:tcW w:w="1002" w:type="pct"/>
                  <w:vAlign w:val="center"/>
                </w:tcPr>
                <w:p w14:paraId="7E115997">
                  <w:pPr>
                    <w:widowControl w:val="0"/>
                    <w:overflowPunct w:val="0"/>
                    <w:autoSpaceDE w:val="0"/>
                    <w:autoSpaceDN w:val="0"/>
                    <w:snapToGrid w:val="0"/>
                    <w:jc w:val="center"/>
                    <w:rPr>
                      <w:snapToGrid w:val="0"/>
                      <w14:ligatures w14:val="standardContextual"/>
                    </w:rPr>
                  </w:pPr>
                  <w:r>
                    <w:rPr>
                      <w:rFonts w:hint="eastAsia"/>
                      <w:snapToGrid w:val="0"/>
                      <w14:ligatures w14:val="standardContextual"/>
                    </w:rPr>
                    <w:t>100.3~100.4</w:t>
                  </w:r>
                </w:p>
              </w:tc>
            </w:tr>
            <w:tr w14:paraId="41FDFE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15" w:type="pct"/>
                  <w:vAlign w:val="center"/>
                </w:tcPr>
                <w:p w14:paraId="74037AB5">
                  <w:pPr>
                    <w:widowControl w:val="0"/>
                    <w:overflowPunct w:val="0"/>
                    <w:autoSpaceDE w:val="0"/>
                    <w:autoSpaceDN w:val="0"/>
                    <w:snapToGrid w:val="0"/>
                    <w:jc w:val="center"/>
                    <w:rPr>
                      <w:snapToGrid w:val="0"/>
                      <w14:ligatures w14:val="standardContextual"/>
                    </w:rPr>
                  </w:pPr>
                  <w:r>
                    <w:rPr>
                      <w:rFonts w:hint="eastAsia"/>
                      <w:bCs/>
                      <w:snapToGrid w:val="0"/>
                      <w14:ligatures w14:val="standardContextual"/>
                    </w:rPr>
                    <w:t>2023.6.17</w:t>
                  </w:r>
                </w:p>
              </w:tc>
              <w:tc>
                <w:tcPr>
                  <w:tcW w:w="683" w:type="pct"/>
                  <w:vAlign w:val="center"/>
                </w:tcPr>
                <w:p w14:paraId="44875615">
                  <w:pPr>
                    <w:widowControl w:val="0"/>
                    <w:overflowPunct w:val="0"/>
                    <w:autoSpaceDE w:val="0"/>
                    <w:autoSpaceDN w:val="0"/>
                    <w:snapToGrid w:val="0"/>
                    <w:jc w:val="center"/>
                    <w:rPr>
                      <w:snapToGrid w:val="0"/>
                      <w14:ligatures w14:val="standardContextual"/>
                    </w:rPr>
                  </w:pPr>
                  <w:r>
                    <w:rPr>
                      <w:rFonts w:hint="eastAsia"/>
                      <w:snapToGrid w:val="0"/>
                      <w14:ligatures w14:val="standardContextual"/>
                    </w:rPr>
                    <w:t>南</w:t>
                  </w:r>
                </w:p>
              </w:tc>
              <w:tc>
                <w:tcPr>
                  <w:tcW w:w="647" w:type="pct"/>
                  <w:vAlign w:val="center"/>
                </w:tcPr>
                <w:p w14:paraId="16FE45DD">
                  <w:pPr>
                    <w:widowControl w:val="0"/>
                    <w:overflowPunct w:val="0"/>
                    <w:autoSpaceDE w:val="0"/>
                    <w:autoSpaceDN w:val="0"/>
                    <w:snapToGrid w:val="0"/>
                    <w:jc w:val="center"/>
                    <w:rPr>
                      <w:snapToGrid w:val="0"/>
                      <w14:ligatures w14:val="standardContextual"/>
                    </w:rPr>
                  </w:pPr>
                  <w:r>
                    <w:rPr>
                      <w:rFonts w:hint="eastAsia"/>
                      <w:snapToGrid w:val="0"/>
                      <w14:ligatures w14:val="standardContextual"/>
                    </w:rPr>
                    <w:t>多云</w:t>
                  </w:r>
                </w:p>
              </w:tc>
              <w:tc>
                <w:tcPr>
                  <w:tcW w:w="674" w:type="pct"/>
                  <w:vAlign w:val="center"/>
                </w:tcPr>
                <w:p w14:paraId="33CAE7C8">
                  <w:pPr>
                    <w:widowControl w:val="0"/>
                    <w:overflowPunct w:val="0"/>
                    <w:autoSpaceDE w:val="0"/>
                    <w:autoSpaceDN w:val="0"/>
                    <w:snapToGrid w:val="0"/>
                    <w:jc w:val="center"/>
                    <w:rPr>
                      <w:snapToGrid w:val="0"/>
                      <w14:ligatures w14:val="standardContextual"/>
                    </w:rPr>
                  </w:pPr>
                  <w:r>
                    <w:rPr>
                      <w:rFonts w:hint="eastAsia"/>
                      <w:snapToGrid w:val="0"/>
                      <w14:ligatures w14:val="standardContextual"/>
                    </w:rPr>
                    <w:t>2.3~2.7</w:t>
                  </w:r>
                </w:p>
              </w:tc>
              <w:tc>
                <w:tcPr>
                  <w:tcW w:w="979" w:type="pct"/>
                  <w:vAlign w:val="center"/>
                </w:tcPr>
                <w:p w14:paraId="0A2ABBDA">
                  <w:pPr>
                    <w:widowControl w:val="0"/>
                    <w:overflowPunct w:val="0"/>
                    <w:autoSpaceDE w:val="0"/>
                    <w:autoSpaceDN w:val="0"/>
                    <w:snapToGrid w:val="0"/>
                    <w:jc w:val="center"/>
                    <w:rPr>
                      <w:snapToGrid w:val="0"/>
                      <w14:ligatures w14:val="standardContextual"/>
                    </w:rPr>
                  </w:pPr>
                  <w:r>
                    <w:rPr>
                      <w:rFonts w:hint="eastAsia"/>
                      <w:snapToGrid w:val="0"/>
                      <w14:ligatures w14:val="standardContextual"/>
                    </w:rPr>
                    <w:t>27.9~30.7</w:t>
                  </w:r>
                </w:p>
              </w:tc>
              <w:tc>
                <w:tcPr>
                  <w:tcW w:w="1002" w:type="pct"/>
                  <w:vAlign w:val="center"/>
                </w:tcPr>
                <w:p w14:paraId="247545A8">
                  <w:pPr>
                    <w:widowControl w:val="0"/>
                    <w:overflowPunct w:val="0"/>
                    <w:autoSpaceDE w:val="0"/>
                    <w:autoSpaceDN w:val="0"/>
                    <w:snapToGrid w:val="0"/>
                    <w:jc w:val="center"/>
                    <w:rPr>
                      <w:snapToGrid w:val="0"/>
                      <w14:ligatures w14:val="standardContextual"/>
                    </w:rPr>
                  </w:pPr>
                  <w:r>
                    <w:rPr>
                      <w:rFonts w:hint="eastAsia"/>
                      <w:snapToGrid w:val="0"/>
                      <w14:ligatures w14:val="standardContextual"/>
                    </w:rPr>
                    <w:t>100.0~100.2</w:t>
                  </w:r>
                </w:p>
              </w:tc>
            </w:tr>
          </w:tbl>
          <w:p w14:paraId="41FE90F2">
            <w:pPr>
              <w:pStyle w:val="3"/>
              <w:ind w:firstLine="480"/>
            </w:pPr>
            <w:r>
              <w:t>（</w:t>
            </w:r>
            <w:r>
              <w:rPr>
                <w:rFonts w:hint="eastAsia"/>
              </w:rPr>
              <w:t>2</w:t>
            </w:r>
            <w:r>
              <w:t>）监测布点</w:t>
            </w:r>
          </w:p>
          <w:p w14:paraId="5E0B69DB">
            <w:pPr>
              <w:pStyle w:val="3"/>
              <w:ind w:firstLine="480"/>
              <w:rPr>
                <w:bCs/>
              </w:rPr>
            </w:pPr>
            <w:r>
              <w:rPr>
                <w:bCs/>
              </w:rPr>
              <w:t>项目厂址主导风向下风向</w:t>
            </w:r>
            <w:r>
              <w:rPr>
                <w:rFonts w:hint="eastAsia"/>
                <w:bCs/>
              </w:rPr>
              <w:t>布设监测点</w:t>
            </w:r>
          </w:p>
          <w:p w14:paraId="76E8DD82">
            <w:pPr>
              <w:pStyle w:val="3"/>
              <w:ind w:firstLine="480"/>
            </w:pPr>
            <w:r>
              <w:t>（</w:t>
            </w:r>
            <w:r>
              <w:rPr>
                <w:rFonts w:hint="eastAsia"/>
              </w:rPr>
              <w:t>3</w:t>
            </w:r>
            <w:r>
              <w:t>）</w:t>
            </w:r>
            <w:r>
              <w:rPr>
                <w:rFonts w:hint="eastAsia"/>
              </w:rPr>
              <w:t>检测</w:t>
            </w:r>
            <w:r>
              <w:t>项</w:t>
            </w:r>
            <w:r>
              <w:rPr>
                <w:bCs/>
              </w:rPr>
              <w:t>目：</w:t>
            </w:r>
            <w:r>
              <w:rPr>
                <w:rFonts w:hint="eastAsia"/>
                <w:bCs/>
              </w:rPr>
              <w:t>TSP</w:t>
            </w:r>
          </w:p>
          <w:p w14:paraId="5E86B418">
            <w:pPr>
              <w:pStyle w:val="3"/>
              <w:ind w:firstLine="480"/>
            </w:pPr>
            <w:r>
              <w:rPr>
                <w:rFonts w:hint="eastAsia"/>
              </w:rPr>
              <w:t>（4）监测时间：2023年6月15日</w:t>
            </w:r>
            <w:r>
              <w:rPr>
                <w:rFonts w:hint="eastAsia"/>
                <w:lang w:eastAsia="zh-CN"/>
              </w:rPr>
              <w:t>—</w:t>
            </w:r>
            <w:r>
              <w:rPr>
                <w:rFonts w:hint="eastAsia"/>
              </w:rPr>
              <w:t>6月17日，监测周期为连续3天。</w:t>
            </w:r>
          </w:p>
          <w:p w14:paraId="70B7DDE6">
            <w:pPr>
              <w:pStyle w:val="3"/>
              <w:ind w:firstLine="480"/>
            </w:pPr>
            <w:r>
              <w:t>（</w:t>
            </w:r>
            <w:r>
              <w:rPr>
                <w:rFonts w:hint="eastAsia"/>
              </w:rPr>
              <w:t>5</w:t>
            </w:r>
            <w:r>
              <w:t>）评价标准：</w:t>
            </w:r>
            <w:r>
              <w:rPr>
                <w:rFonts w:hint="eastAsia"/>
              </w:rPr>
              <w:t>TSP</w:t>
            </w:r>
            <w:r>
              <w:t>执行《环境空气质量标准》</w:t>
            </w:r>
            <w:r>
              <w:rPr>
                <w:rFonts w:hint="eastAsia"/>
              </w:rPr>
              <w:t>（</w:t>
            </w:r>
            <w:r>
              <w:t>GB3095-2012</w:t>
            </w:r>
            <w:r>
              <w:rPr>
                <w:rFonts w:hint="eastAsia"/>
              </w:rPr>
              <w:t>）</w:t>
            </w:r>
            <w:r>
              <w:t>及其修改单中二级标准</w:t>
            </w:r>
            <w:r>
              <w:rPr>
                <w:rFonts w:hint="eastAsia"/>
              </w:rPr>
              <w:t>24h均值</w:t>
            </w:r>
          </w:p>
          <w:p w14:paraId="58C8B0F2">
            <w:pPr>
              <w:pStyle w:val="3"/>
              <w:ind w:firstLine="480"/>
            </w:pPr>
            <w:r>
              <w:t>（</w:t>
            </w:r>
            <w:r>
              <w:rPr>
                <w:rFonts w:hint="eastAsia"/>
              </w:rPr>
              <w:t>6</w:t>
            </w:r>
            <w:r>
              <w:t>）</w:t>
            </w:r>
            <w:r>
              <w:rPr>
                <w:rFonts w:hint="eastAsia"/>
              </w:rPr>
              <w:t>检测</w:t>
            </w:r>
            <w:r>
              <w:t>结果：</w:t>
            </w:r>
            <w:r>
              <w:rPr>
                <w:rFonts w:hint="eastAsia"/>
              </w:rPr>
              <w:t>检测</w:t>
            </w:r>
            <w:r>
              <w:t>结果</w:t>
            </w:r>
            <w:r>
              <w:rPr>
                <w:rFonts w:hint="eastAsia"/>
              </w:rPr>
              <w:t>见表3-3，</w:t>
            </w:r>
            <w:r>
              <w:t>统计</w:t>
            </w:r>
            <w:r>
              <w:rPr>
                <w:rFonts w:hint="eastAsia"/>
              </w:rPr>
              <w:t>结果</w:t>
            </w:r>
            <w:r>
              <w:t>见表</w:t>
            </w:r>
            <w:r>
              <w:rPr>
                <w:rFonts w:hint="eastAsia"/>
              </w:rPr>
              <w:t>3</w:t>
            </w:r>
            <w:r>
              <w:t>-</w:t>
            </w:r>
            <w:r>
              <w:rPr>
                <w:rFonts w:hint="eastAsia"/>
              </w:rPr>
              <w:t>4</w:t>
            </w:r>
            <w:r>
              <w:t>。</w:t>
            </w:r>
          </w:p>
          <w:p w14:paraId="22FF85C5">
            <w:pPr>
              <w:pStyle w:val="3"/>
              <w:ind w:firstLine="480"/>
            </w:pPr>
            <w:r>
              <w:rPr>
                <w:rFonts w:hint="eastAsia"/>
              </w:rPr>
              <w:t>（7）评价方法：超标率、最大超标倍数。</w:t>
            </w:r>
          </w:p>
          <w:p w14:paraId="1CADCB80">
            <w:pPr>
              <w:pStyle w:val="48"/>
            </w:pPr>
            <w:r>
              <w:rPr>
                <w:rFonts w:hint="eastAsia"/>
              </w:rPr>
              <w:t>表</w:t>
            </w:r>
            <w:r>
              <w:t xml:space="preserve">3- </w:t>
            </w:r>
            <w:r>
              <w:fldChar w:fldCharType="begin"/>
            </w:r>
            <w:r>
              <w:instrText xml:space="preserve"> SEQ </w:instrText>
            </w:r>
            <w:r>
              <w:rPr>
                <w:rFonts w:hint="eastAsia"/>
              </w:rPr>
              <w:instrText xml:space="preserve">表</w:instrText>
            </w:r>
            <w:r>
              <w:instrText xml:space="preserve">3- \* ARABIC </w:instrText>
            </w:r>
            <w:r>
              <w:fldChar w:fldCharType="separate"/>
            </w:r>
            <w:r>
              <w:t>3</w:t>
            </w:r>
            <w:r>
              <w:fldChar w:fldCharType="end"/>
            </w:r>
            <w:r>
              <w:rPr>
                <w:rFonts w:hint="eastAsia"/>
              </w:rPr>
              <w:t>：环境空气监测结果表</w:t>
            </w:r>
          </w:p>
          <w:tbl>
            <w:tblPr>
              <w:tblStyle w:val="4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853"/>
              <w:gridCol w:w="1838"/>
              <w:gridCol w:w="2359"/>
              <w:gridCol w:w="1888"/>
            </w:tblGrid>
            <w:tr w14:paraId="3DB21D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167" w:type="pc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22CE3F85">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14:ligatures w14:val="standardContextual"/>
                    </w:rPr>
                  </w:pPr>
                  <w:r>
                    <w:rPr>
                      <w:rFonts w:hint="eastAsia" w:ascii="Times New Roman" w:hAnsi="Times New Roman" w:eastAsia="宋体" w:cs="Times New Roman"/>
                      <w:b/>
                      <w:i w:val="0"/>
                      <w:snapToGrid w:val="0"/>
                      <w14:ligatures w14:val="standardContextual"/>
                    </w:rPr>
                    <w:t>采样日期</w:t>
                  </w:r>
                </w:p>
              </w:tc>
              <w:tc>
                <w:tcPr>
                  <w:tcW w:w="1158"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5D679C78">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14:ligatures w14:val="standardContextual"/>
                    </w:rPr>
                  </w:pPr>
                  <w:r>
                    <w:rPr>
                      <w:rFonts w:hint="eastAsia" w:ascii="Times New Roman" w:hAnsi="Times New Roman" w:eastAsia="宋体" w:cs="Times New Roman"/>
                      <w:b/>
                      <w:i w:val="0"/>
                      <w:snapToGrid w:val="0"/>
                      <w14:ligatures w14:val="standardContextual"/>
                    </w:rPr>
                    <w:t>采样位置</w:t>
                  </w:r>
                </w:p>
              </w:tc>
              <w:tc>
                <w:tcPr>
                  <w:tcW w:w="1485"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6AEA888C">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14:ligatures w14:val="standardContextual"/>
                    </w:rPr>
                  </w:pPr>
                  <w:r>
                    <w:rPr>
                      <w:rFonts w:hint="eastAsia" w:ascii="Times New Roman" w:hAnsi="Times New Roman" w:eastAsia="宋体" w:cs="Times New Roman"/>
                      <w:b/>
                      <w:i w:val="0"/>
                      <w:snapToGrid w:val="0"/>
                      <w14:ligatures w14:val="standardContextual"/>
                    </w:rPr>
                    <w:t>样品编号</w:t>
                  </w:r>
                </w:p>
              </w:tc>
              <w:tc>
                <w:tcPr>
                  <w:tcW w:w="1189" w:type="pct"/>
                  <w:tcBorders>
                    <w:top w:val="single" w:color="auto" w:sz="12" w:space="0"/>
                    <w:bottom w:val="single" w:color="auto" w:sz="12" w:space="0"/>
                    <w:right w:val="nil"/>
                    <w:insideH w:val="single" w:sz="12" w:space="0"/>
                    <w:insideV w:val="single" w:sz="4" w:space="0"/>
                    <w:tl2br w:val="nil"/>
                    <w:tr2bl w:val="nil"/>
                  </w:tcBorders>
                  <w:vAlign w:val="center"/>
                </w:tcPr>
                <w:p w14:paraId="428564B6">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14:ligatures w14:val="standardContextual"/>
                    </w:rPr>
                  </w:pPr>
                  <w:r>
                    <w:rPr>
                      <w:rFonts w:hint="eastAsia" w:ascii="Times New Roman" w:hAnsi="Times New Roman" w:eastAsia="宋体" w:cs="Times New Roman"/>
                      <w:b/>
                      <w:i w:val="0"/>
                      <w:snapToGrid w:val="0"/>
                      <w14:ligatures w14:val="standardContextual"/>
                    </w:rPr>
                    <w:t>总悬浮颗粒物</w:t>
                  </w:r>
                </w:p>
                <w:p w14:paraId="12756BB8">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14:ligatures w14:val="standardContextual"/>
                    </w:rPr>
                  </w:pPr>
                  <w:r>
                    <w:rPr>
                      <w:rFonts w:hint="eastAsia" w:cs="Times New Roman"/>
                      <w:b/>
                      <w:i w:val="0"/>
                      <w:snapToGrid w:val="0"/>
                      <w:lang w:eastAsia="zh-CN"/>
                      <w14:ligatures w14:val="standardContextual"/>
                    </w:rPr>
                    <w:t>(</w:t>
                  </w:r>
                  <w:r>
                    <w:rPr>
                      <w:rFonts w:hint="eastAsia" w:ascii="Times New Roman" w:hAnsi="Times New Roman" w:eastAsia="宋体" w:cs="Times New Roman"/>
                      <w:b/>
                      <w:i w:val="0"/>
                      <w:snapToGrid w:val="0"/>
                      <w14:ligatures w14:val="standardContextual"/>
                    </w:rPr>
                    <w:t>μg/m</w:t>
                  </w:r>
                  <w:r>
                    <w:rPr>
                      <w:rFonts w:hint="eastAsia" w:ascii="Times New Roman" w:hAnsi="Times New Roman" w:eastAsia="宋体" w:cs="Times New Roman"/>
                      <w:b/>
                      <w:i w:val="0"/>
                      <w:snapToGrid w:val="0"/>
                      <w:vertAlign w:val="superscript"/>
                      <w14:ligatures w14:val="standardContextual"/>
                    </w:rPr>
                    <w:t>3</w:t>
                  </w:r>
                  <w:r>
                    <w:rPr>
                      <w:rFonts w:hint="eastAsia" w:cs="Times New Roman"/>
                      <w:b/>
                      <w:i w:val="0"/>
                      <w:snapToGrid w:val="0"/>
                      <w:vertAlign w:val="superscript"/>
                      <w:lang w:eastAsia="zh-CN"/>
                      <w14:ligatures w14:val="standardContextual"/>
                    </w:rPr>
                    <w:t>)</w:t>
                  </w:r>
                </w:p>
              </w:tc>
            </w:tr>
            <w:tr w14:paraId="5B6DAD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7" w:hRule="atLeast"/>
                <w:jc w:val="center"/>
              </w:trPr>
              <w:tc>
                <w:tcPr>
                  <w:tcW w:w="1167" w:type="pct"/>
                  <w:vAlign w:val="center"/>
                </w:tcPr>
                <w:p w14:paraId="7531F943">
                  <w:pPr>
                    <w:widowControl w:val="0"/>
                    <w:overflowPunct w:val="0"/>
                    <w:autoSpaceDE w:val="0"/>
                    <w:autoSpaceDN w:val="0"/>
                    <w:snapToGrid w:val="0"/>
                    <w:jc w:val="center"/>
                    <w:rPr>
                      <w:snapToGrid w:val="0"/>
                      <w14:ligatures w14:val="standardContextual"/>
                    </w:rPr>
                  </w:pPr>
                  <w:r>
                    <w:rPr>
                      <w:rFonts w:hint="eastAsia"/>
                      <w:bCs/>
                      <w:snapToGrid w:val="0"/>
                      <w14:ligatures w14:val="standardContextual"/>
                    </w:rPr>
                    <w:t>2023.6.15</w:t>
                  </w:r>
                </w:p>
              </w:tc>
              <w:tc>
                <w:tcPr>
                  <w:tcW w:w="1158" w:type="pct"/>
                  <w:vAlign w:val="center"/>
                </w:tcPr>
                <w:p w14:paraId="19347115">
                  <w:pPr>
                    <w:widowControl w:val="0"/>
                    <w:overflowPunct w:val="0"/>
                    <w:autoSpaceDE w:val="0"/>
                    <w:autoSpaceDN w:val="0"/>
                    <w:snapToGrid w:val="0"/>
                    <w:jc w:val="center"/>
                    <w:rPr>
                      <w:snapToGrid w:val="0"/>
                      <w14:ligatures w14:val="standardContextual"/>
                    </w:rPr>
                  </w:pPr>
                  <w:r>
                    <w:rPr>
                      <w:rFonts w:hint="eastAsia"/>
                      <w:snapToGrid w:val="0"/>
                      <w14:ligatures w14:val="standardContextual"/>
                    </w:rPr>
                    <w:t>G1项目下风向</w:t>
                  </w:r>
                </w:p>
              </w:tc>
              <w:tc>
                <w:tcPr>
                  <w:tcW w:w="1485" w:type="pct"/>
                  <w:vAlign w:val="center"/>
                </w:tcPr>
                <w:p w14:paraId="0BE30248">
                  <w:pPr>
                    <w:widowControl w:val="0"/>
                    <w:overflowPunct w:val="0"/>
                    <w:autoSpaceDE w:val="0"/>
                    <w:autoSpaceDN w:val="0"/>
                    <w:snapToGrid w:val="0"/>
                    <w:jc w:val="center"/>
                    <w:rPr>
                      <w:snapToGrid w:val="0"/>
                      <w14:ligatures w14:val="standardContextual"/>
                    </w:rPr>
                  </w:pPr>
                  <w:r>
                    <w:rPr>
                      <w:rFonts w:hint="eastAsia"/>
                      <w:snapToGrid w:val="0"/>
                      <w14:ligatures w14:val="standardContextual"/>
                    </w:rPr>
                    <w:t>C230626-KQ101-05</w:t>
                  </w:r>
                </w:p>
              </w:tc>
              <w:tc>
                <w:tcPr>
                  <w:tcW w:w="1189" w:type="pct"/>
                  <w:vAlign w:val="center"/>
                </w:tcPr>
                <w:p w14:paraId="1EDB3ADB">
                  <w:pPr>
                    <w:widowControl w:val="0"/>
                    <w:overflowPunct w:val="0"/>
                    <w:autoSpaceDE w:val="0"/>
                    <w:autoSpaceDN w:val="0"/>
                    <w:snapToGrid w:val="0"/>
                    <w:jc w:val="center"/>
                    <w:rPr>
                      <w:snapToGrid w:val="0"/>
                      <w14:ligatures w14:val="standardContextual"/>
                    </w:rPr>
                  </w:pPr>
                </w:p>
              </w:tc>
            </w:tr>
            <w:tr w14:paraId="78155D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41" w:hRule="atLeast"/>
                <w:jc w:val="center"/>
              </w:trPr>
              <w:tc>
                <w:tcPr>
                  <w:tcW w:w="1167" w:type="pct"/>
                  <w:vAlign w:val="center"/>
                </w:tcPr>
                <w:p w14:paraId="19B79E5F">
                  <w:pPr>
                    <w:widowControl w:val="0"/>
                    <w:overflowPunct w:val="0"/>
                    <w:autoSpaceDE w:val="0"/>
                    <w:autoSpaceDN w:val="0"/>
                    <w:snapToGrid w:val="0"/>
                    <w:jc w:val="center"/>
                    <w:rPr>
                      <w:snapToGrid w:val="0"/>
                      <w14:ligatures w14:val="standardContextual"/>
                    </w:rPr>
                  </w:pPr>
                  <w:r>
                    <w:rPr>
                      <w:rFonts w:hint="eastAsia"/>
                      <w:bCs/>
                      <w:snapToGrid w:val="0"/>
                      <w14:ligatures w14:val="standardContextual"/>
                    </w:rPr>
                    <w:t>2023.6.16</w:t>
                  </w:r>
                </w:p>
              </w:tc>
              <w:tc>
                <w:tcPr>
                  <w:tcW w:w="1158" w:type="pct"/>
                  <w:vAlign w:val="center"/>
                </w:tcPr>
                <w:p w14:paraId="34435A7C">
                  <w:pPr>
                    <w:widowControl w:val="0"/>
                    <w:overflowPunct w:val="0"/>
                    <w:autoSpaceDE w:val="0"/>
                    <w:autoSpaceDN w:val="0"/>
                    <w:snapToGrid w:val="0"/>
                    <w:jc w:val="center"/>
                    <w:rPr>
                      <w:snapToGrid w:val="0"/>
                      <w14:ligatures w14:val="standardContextual"/>
                    </w:rPr>
                  </w:pPr>
                  <w:r>
                    <w:rPr>
                      <w:rFonts w:hint="eastAsia"/>
                      <w:snapToGrid w:val="0"/>
                      <w14:ligatures w14:val="standardContextual"/>
                    </w:rPr>
                    <w:t>G1项目下风向</w:t>
                  </w:r>
                </w:p>
              </w:tc>
              <w:tc>
                <w:tcPr>
                  <w:tcW w:w="1485" w:type="pct"/>
                  <w:vAlign w:val="center"/>
                </w:tcPr>
                <w:p w14:paraId="16F314D3">
                  <w:pPr>
                    <w:widowControl w:val="0"/>
                    <w:overflowPunct w:val="0"/>
                    <w:autoSpaceDE w:val="0"/>
                    <w:autoSpaceDN w:val="0"/>
                    <w:snapToGrid w:val="0"/>
                    <w:jc w:val="center"/>
                    <w:rPr>
                      <w:snapToGrid w:val="0"/>
                      <w14:ligatures w14:val="standardContextual"/>
                    </w:rPr>
                  </w:pPr>
                  <w:r>
                    <w:rPr>
                      <w:rFonts w:hint="eastAsia"/>
                      <w:snapToGrid w:val="0"/>
                      <w14:ligatures w14:val="standardContextual"/>
                    </w:rPr>
                    <w:t>C230626-KQ201-05</w:t>
                  </w:r>
                </w:p>
              </w:tc>
              <w:tc>
                <w:tcPr>
                  <w:tcW w:w="1189" w:type="pct"/>
                  <w:vAlign w:val="center"/>
                </w:tcPr>
                <w:p w14:paraId="0672AAF6">
                  <w:pPr>
                    <w:widowControl w:val="0"/>
                    <w:overflowPunct w:val="0"/>
                    <w:autoSpaceDE w:val="0"/>
                    <w:autoSpaceDN w:val="0"/>
                    <w:snapToGrid w:val="0"/>
                    <w:jc w:val="center"/>
                    <w:rPr>
                      <w:snapToGrid w:val="0"/>
                      <w14:ligatures w14:val="standardContextual"/>
                    </w:rPr>
                  </w:pPr>
                </w:p>
              </w:tc>
            </w:tr>
            <w:tr w14:paraId="5DF87C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10" w:hRule="atLeast"/>
                <w:jc w:val="center"/>
              </w:trPr>
              <w:tc>
                <w:tcPr>
                  <w:tcW w:w="1167" w:type="pct"/>
                  <w:vAlign w:val="center"/>
                </w:tcPr>
                <w:p w14:paraId="66B8C763">
                  <w:pPr>
                    <w:widowControl w:val="0"/>
                    <w:overflowPunct w:val="0"/>
                    <w:autoSpaceDE w:val="0"/>
                    <w:autoSpaceDN w:val="0"/>
                    <w:snapToGrid w:val="0"/>
                    <w:jc w:val="center"/>
                    <w:rPr>
                      <w:snapToGrid w:val="0"/>
                      <w14:ligatures w14:val="standardContextual"/>
                    </w:rPr>
                  </w:pPr>
                  <w:r>
                    <w:rPr>
                      <w:rFonts w:hint="eastAsia"/>
                      <w:bCs/>
                      <w:snapToGrid w:val="0"/>
                      <w14:ligatures w14:val="standardContextual"/>
                    </w:rPr>
                    <w:t>2023.6.17</w:t>
                  </w:r>
                </w:p>
              </w:tc>
              <w:tc>
                <w:tcPr>
                  <w:tcW w:w="1158" w:type="pct"/>
                  <w:vAlign w:val="center"/>
                </w:tcPr>
                <w:p w14:paraId="59C60AB0">
                  <w:pPr>
                    <w:widowControl w:val="0"/>
                    <w:overflowPunct w:val="0"/>
                    <w:autoSpaceDE w:val="0"/>
                    <w:autoSpaceDN w:val="0"/>
                    <w:snapToGrid w:val="0"/>
                    <w:jc w:val="center"/>
                    <w:rPr>
                      <w:snapToGrid w:val="0"/>
                      <w14:ligatures w14:val="standardContextual"/>
                    </w:rPr>
                  </w:pPr>
                  <w:r>
                    <w:rPr>
                      <w:rFonts w:hint="eastAsia"/>
                      <w:snapToGrid w:val="0"/>
                      <w14:ligatures w14:val="standardContextual"/>
                    </w:rPr>
                    <w:t>G1项目下风向</w:t>
                  </w:r>
                </w:p>
              </w:tc>
              <w:tc>
                <w:tcPr>
                  <w:tcW w:w="1485" w:type="pct"/>
                  <w:vAlign w:val="center"/>
                </w:tcPr>
                <w:p w14:paraId="1D94E718">
                  <w:pPr>
                    <w:widowControl w:val="0"/>
                    <w:overflowPunct w:val="0"/>
                    <w:autoSpaceDE w:val="0"/>
                    <w:autoSpaceDN w:val="0"/>
                    <w:snapToGrid w:val="0"/>
                    <w:jc w:val="center"/>
                    <w:rPr>
                      <w:snapToGrid w:val="0"/>
                      <w14:ligatures w14:val="standardContextual"/>
                    </w:rPr>
                  </w:pPr>
                  <w:r>
                    <w:rPr>
                      <w:rFonts w:hint="eastAsia"/>
                      <w:snapToGrid w:val="0"/>
                      <w14:ligatures w14:val="standardContextual"/>
                    </w:rPr>
                    <w:t>C230626-KQ301-05</w:t>
                  </w:r>
                </w:p>
              </w:tc>
              <w:tc>
                <w:tcPr>
                  <w:tcW w:w="1189" w:type="pct"/>
                  <w:vAlign w:val="center"/>
                </w:tcPr>
                <w:p w14:paraId="74723F6F">
                  <w:pPr>
                    <w:widowControl w:val="0"/>
                    <w:overflowPunct w:val="0"/>
                    <w:autoSpaceDE w:val="0"/>
                    <w:autoSpaceDN w:val="0"/>
                    <w:snapToGrid w:val="0"/>
                    <w:jc w:val="center"/>
                    <w:rPr>
                      <w:snapToGrid w:val="0"/>
                      <w14:ligatures w14:val="standardContextual"/>
                    </w:rPr>
                  </w:pPr>
                </w:p>
              </w:tc>
            </w:tr>
            <w:tr w14:paraId="2E2507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10" w:hRule="atLeast"/>
                <w:jc w:val="center"/>
              </w:trPr>
              <w:tc>
                <w:tcPr>
                  <w:tcW w:w="3811" w:type="pct"/>
                  <w:gridSpan w:val="3"/>
                  <w:vAlign w:val="center"/>
                </w:tcPr>
                <w:p w14:paraId="20D14D1B">
                  <w:pPr>
                    <w:widowControl w:val="0"/>
                    <w:overflowPunct w:val="0"/>
                    <w:autoSpaceDE w:val="0"/>
                    <w:autoSpaceDN w:val="0"/>
                    <w:snapToGrid w:val="0"/>
                    <w:jc w:val="center"/>
                    <w:rPr>
                      <w:snapToGrid w:val="0"/>
                      <w14:ligatures w14:val="standardContextual"/>
                    </w:rPr>
                  </w:pPr>
                  <w:r>
                    <w:rPr>
                      <w:rFonts w:hint="eastAsia"/>
                      <w:snapToGrid w:val="0"/>
                      <w14:ligatures w14:val="standardContextual"/>
                    </w:rPr>
                    <w:t>标准限值</w:t>
                  </w:r>
                </w:p>
              </w:tc>
              <w:tc>
                <w:tcPr>
                  <w:tcW w:w="1189" w:type="pct"/>
                  <w:vAlign w:val="center"/>
                </w:tcPr>
                <w:p w14:paraId="1887D5E2">
                  <w:pPr>
                    <w:widowControl w:val="0"/>
                    <w:overflowPunct w:val="0"/>
                    <w:autoSpaceDE w:val="0"/>
                    <w:autoSpaceDN w:val="0"/>
                    <w:snapToGrid w:val="0"/>
                    <w:jc w:val="center"/>
                    <w:rPr>
                      <w:snapToGrid w:val="0"/>
                      <w14:ligatures w14:val="standardContextual"/>
                    </w:rPr>
                  </w:pPr>
                  <w:r>
                    <w:rPr>
                      <w:rFonts w:hint="eastAsia"/>
                      <w:snapToGrid w:val="0"/>
                      <w14:ligatures w14:val="standardContextual"/>
                    </w:rPr>
                    <w:t>300</w:t>
                  </w:r>
                </w:p>
              </w:tc>
            </w:tr>
          </w:tbl>
          <w:p w14:paraId="5E75E9C7">
            <w:pPr>
              <w:pStyle w:val="48"/>
            </w:pPr>
            <w:r>
              <w:rPr>
                <w:rFonts w:hint="eastAsia"/>
              </w:rPr>
              <w:t>表</w:t>
            </w:r>
            <w:r>
              <w:t xml:space="preserve">3- </w:t>
            </w:r>
            <w:r>
              <w:fldChar w:fldCharType="begin"/>
            </w:r>
            <w:r>
              <w:instrText xml:space="preserve"> SEQ </w:instrText>
            </w:r>
            <w:r>
              <w:rPr>
                <w:rFonts w:hint="eastAsia"/>
              </w:rPr>
              <w:instrText xml:space="preserve">表</w:instrText>
            </w:r>
            <w:r>
              <w:instrText xml:space="preserve">3- \* ARABIC </w:instrText>
            </w:r>
            <w:r>
              <w:fldChar w:fldCharType="separate"/>
            </w:r>
            <w:r>
              <w:t>4</w:t>
            </w:r>
            <w:r>
              <w:fldChar w:fldCharType="end"/>
            </w:r>
            <w:r>
              <w:rPr>
                <w:rFonts w:hint="eastAsia"/>
              </w:rPr>
              <w:t>：空气环境监测结果统计表</w:t>
            </w:r>
          </w:p>
          <w:tbl>
            <w:tblPr>
              <w:tblStyle w:val="4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3483"/>
              <w:gridCol w:w="4455"/>
            </w:tblGrid>
            <w:tr w14:paraId="1A7328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194" w:type="pc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4D55EB23">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14:ligatures w14:val="standardContextual"/>
                    </w:rPr>
                  </w:pPr>
                  <w:r>
                    <w:rPr>
                      <w:rFonts w:hint="eastAsia" w:ascii="Times New Roman" w:hAnsi="Times New Roman" w:eastAsia="宋体" w:cs="Times New Roman"/>
                      <w:b/>
                      <w:i w:val="0"/>
                      <w:snapToGrid w:val="0"/>
                      <w14:ligatures w14:val="standardContextual"/>
                    </w:rPr>
                    <w:t>监测点位</w:t>
                  </w:r>
                </w:p>
              </w:tc>
              <w:tc>
                <w:tcPr>
                  <w:tcW w:w="2806" w:type="pct"/>
                  <w:tcBorders>
                    <w:top w:val="single" w:color="auto" w:sz="12" w:space="0"/>
                    <w:bottom w:val="single" w:color="auto" w:sz="12" w:space="0"/>
                    <w:right w:val="nil"/>
                    <w:insideH w:val="single" w:sz="12" w:space="0"/>
                    <w:insideV w:val="single" w:sz="4" w:space="0"/>
                    <w:tl2br w:val="nil"/>
                    <w:tr2bl w:val="nil"/>
                  </w:tcBorders>
                  <w:vAlign w:val="center"/>
                </w:tcPr>
                <w:p w14:paraId="742A6BB6">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14:ligatures w14:val="standardContextual"/>
                    </w:rPr>
                  </w:pPr>
                  <w:r>
                    <w:rPr>
                      <w:rFonts w:hint="eastAsia" w:ascii="Times New Roman" w:hAnsi="Times New Roman" w:eastAsia="宋体" w:cs="Times New Roman"/>
                      <w:b/>
                      <w:i w:val="0"/>
                      <w:snapToGrid w:val="0"/>
                      <w14:ligatures w14:val="standardContextual"/>
                    </w:rPr>
                    <w:t>G1项目下风向</w:t>
                  </w:r>
                </w:p>
              </w:tc>
            </w:tr>
            <w:tr w14:paraId="7E951F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194" w:type="pct"/>
                  <w:vAlign w:val="center"/>
                </w:tcPr>
                <w:p w14:paraId="4EECE6A4">
                  <w:pPr>
                    <w:widowControl w:val="0"/>
                    <w:overflowPunct w:val="0"/>
                    <w:autoSpaceDE w:val="0"/>
                    <w:autoSpaceDN w:val="0"/>
                    <w:snapToGrid w:val="0"/>
                    <w:jc w:val="center"/>
                    <w:rPr>
                      <w:snapToGrid w:val="0"/>
                      <w14:ligatures w14:val="standardContextual"/>
                    </w:rPr>
                  </w:pPr>
                  <w:r>
                    <w:rPr>
                      <w:rFonts w:hint="eastAsia"/>
                      <w:snapToGrid w:val="0"/>
                      <w14:ligatures w14:val="standardContextual"/>
                    </w:rPr>
                    <w:t>监测因子</w:t>
                  </w:r>
                </w:p>
              </w:tc>
              <w:tc>
                <w:tcPr>
                  <w:tcW w:w="2806" w:type="pct"/>
                  <w:vAlign w:val="center"/>
                </w:tcPr>
                <w:p w14:paraId="71590155">
                  <w:pPr>
                    <w:widowControl w:val="0"/>
                    <w:overflowPunct w:val="0"/>
                    <w:autoSpaceDE w:val="0"/>
                    <w:autoSpaceDN w:val="0"/>
                    <w:snapToGrid w:val="0"/>
                    <w:jc w:val="center"/>
                    <w:rPr>
                      <w:snapToGrid w:val="0"/>
                      <w14:ligatures w14:val="standardContextual"/>
                    </w:rPr>
                  </w:pPr>
                  <w:r>
                    <w:rPr>
                      <w:rFonts w:hint="eastAsia"/>
                      <w:snapToGrid w:val="0"/>
                      <w14:ligatures w14:val="standardContextual"/>
                    </w:rPr>
                    <w:t>TSP</w:t>
                  </w:r>
                </w:p>
              </w:tc>
            </w:tr>
            <w:tr w14:paraId="1BED5D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194" w:type="pct"/>
                  <w:vAlign w:val="center"/>
                </w:tcPr>
                <w:p w14:paraId="39DFA053">
                  <w:pPr>
                    <w:widowControl w:val="0"/>
                    <w:overflowPunct w:val="0"/>
                    <w:autoSpaceDE w:val="0"/>
                    <w:autoSpaceDN w:val="0"/>
                    <w:snapToGrid w:val="0"/>
                    <w:jc w:val="center"/>
                    <w:rPr>
                      <w:snapToGrid w:val="0"/>
                      <w14:ligatures w14:val="standardContextual"/>
                    </w:rPr>
                  </w:pPr>
                  <w:r>
                    <w:rPr>
                      <w:rFonts w:hint="eastAsia"/>
                      <w:snapToGrid w:val="0"/>
                      <w14:ligatures w14:val="standardContextual"/>
                    </w:rPr>
                    <w:t>浓度范围</w:t>
                  </w:r>
                </w:p>
              </w:tc>
              <w:tc>
                <w:tcPr>
                  <w:tcW w:w="2806" w:type="pct"/>
                  <w:vAlign w:val="center"/>
                </w:tcPr>
                <w:p w14:paraId="53165CA7">
                  <w:pPr>
                    <w:widowControl w:val="0"/>
                    <w:overflowPunct w:val="0"/>
                    <w:autoSpaceDE w:val="0"/>
                    <w:autoSpaceDN w:val="0"/>
                    <w:snapToGrid w:val="0"/>
                    <w:jc w:val="center"/>
                    <w:rPr>
                      <w:snapToGrid w:val="0"/>
                      <w14:ligatures w14:val="standardContextual"/>
                    </w:rPr>
                  </w:pPr>
                </w:p>
              </w:tc>
            </w:tr>
            <w:tr w14:paraId="6D3049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194" w:type="pct"/>
                  <w:vAlign w:val="center"/>
                </w:tcPr>
                <w:p w14:paraId="7C3AAAC3">
                  <w:pPr>
                    <w:widowControl w:val="0"/>
                    <w:overflowPunct w:val="0"/>
                    <w:autoSpaceDE w:val="0"/>
                    <w:autoSpaceDN w:val="0"/>
                    <w:snapToGrid w:val="0"/>
                    <w:jc w:val="center"/>
                    <w:rPr>
                      <w:snapToGrid w:val="0"/>
                      <w14:ligatures w14:val="standardContextual"/>
                    </w:rPr>
                  </w:pPr>
                  <w:r>
                    <w:rPr>
                      <w:rFonts w:hint="eastAsia"/>
                      <w:snapToGrid w:val="0"/>
                      <w14:ligatures w14:val="standardContextual"/>
                    </w:rPr>
                    <w:t>占标率</w:t>
                  </w:r>
                </w:p>
              </w:tc>
              <w:tc>
                <w:tcPr>
                  <w:tcW w:w="2806" w:type="pct"/>
                  <w:vAlign w:val="center"/>
                </w:tcPr>
                <w:p w14:paraId="71B5F977">
                  <w:pPr>
                    <w:widowControl w:val="0"/>
                    <w:overflowPunct w:val="0"/>
                    <w:autoSpaceDE w:val="0"/>
                    <w:autoSpaceDN w:val="0"/>
                    <w:snapToGrid w:val="0"/>
                    <w:jc w:val="center"/>
                    <w:rPr>
                      <w:snapToGrid w:val="0"/>
                      <w14:ligatures w14:val="standardContextual"/>
                    </w:rPr>
                  </w:pPr>
                </w:p>
              </w:tc>
            </w:tr>
            <w:tr w14:paraId="0677EF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194" w:type="pct"/>
                  <w:vAlign w:val="center"/>
                </w:tcPr>
                <w:p w14:paraId="7081D79F">
                  <w:pPr>
                    <w:widowControl w:val="0"/>
                    <w:overflowPunct w:val="0"/>
                    <w:autoSpaceDE w:val="0"/>
                    <w:autoSpaceDN w:val="0"/>
                    <w:snapToGrid w:val="0"/>
                    <w:jc w:val="center"/>
                    <w:rPr>
                      <w:snapToGrid w:val="0"/>
                      <w14:ligatures w14:val="standardContextual"/>
                    </w:rPr>
                  </w:pPr>
                  <w:r>
                    <w:rPr>
                      <w:rFonts w:hint="eastAsia"/>
                      <w:snapToGrid w:val="0"/>
                      <w14:ligatures w14:val="standardContextual"/>
                    </w:rPr>
                    <w:t>超标率</w:t>
                  </w:r>
                </w:p>
              </w:tc>
              <w:tc>
                <w:tcPr>
                  <w:tcW w:w="2806" w:type="pct"/>
                  <w:vAlign w:val="center"/>
                </w:tcPr>
                <w:p w14:paraId="4039DA49">
                  <w:pPr>
                    <w:widowControl w:val="0"/>
                    <w:overflowPunct w:val="0"/>
                    <w:autoSpaceDE w:val="0"/>
                    <w:autoSpaceDN w:val="0"/>
                    <w:snapToGrid w:val="0"/>
                    <w:jc w:val="center"/>
                    <w:rPr>
                      <w:snapToGrid w:val="0"/>
                      <w14:ligatures w14:val="standardContextual"/>
                    </w:rPr>
                  </w:pPr>
                  <w:r>
                    <w:rPr>
                      <w:rFonts w:hint="eastAsia"/>
                      <w:snapToGrid w:val="0"/>
                      <w14:ligatures w14:val="standardContextual"/>
                    </w:rPr>
                    <w:t>0</w:t>
                  </w:r>
                </w:p>
              </w:tc>
            </w:tr>
            <w:tr w14:paraId="3F09E5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194" w:type="pct"/>
                  <w:vAlign w:val="center"/>
                </w:tcPr>
                <w:p w14:paraId="421F3DDB">
                  <w:pPr>
                    <w:widowControl w:val="0"/>
                    <w:overflowPunct w:val="0"/>
                    <w:autoSpaceDE w:val="0"/>
                    <w:autoSpaceDN w:val="0"/>
                    <w:snapToGrid w:val="0"/>
                    <w:jc w:val="center"/>
                    <w:rPr>
                      <w:snapToGrid w:val="0"/>
                      <w14:ligatures w14:val="standardContextual"/>
                    </w:rPr>
                  </w:pPr>
                  <w:r>
                    <w:rPr>
                      <w:rFonts w:hint="eastAsia"/>
                      <w:snapToGrid w:val="0"/>
                      <w14:ligatures w14:val="standardContextual"/>
                    </w:rPr>
                    <w:t>最大超标倍数</w:t>
                  </w:r>
                </w:p>
              </w:tc>
              <w:tc>
                <w:tcPr>
                  <w:tcW w:w="2806" w:type="pct"/>
                  <w:vAlign w:val="center"/>
                </w:tcPr>
                <w:p w14:paraId="4394D05A">
                  <w:pPr>
                    <w:widowControl w:val="0"/>
                    <w:overflowPunct w:val="0"/>
                    <w:autoSpaceDE w:val="0"/>
                    <w:autoSpaceDN w:val="0"/>
                    <w:snapToGrid w:val="0"/>
                    <w:jc w:val="center"/>
                    <w:rPr>
                      <w:snapToGrid w:val="0"/>
                      <w14:ligatures w14:val="standardContextual"/>
                    </w:rPr>
                  </w:pPr>
                  <w:r>
                    <w:rPr>
                      <w:rFonts w:hint="eastAsia"/>
                      <w:snapToGrid w:val="0"/>
                      <w14:ligatures w14:val="standardContextual"/>
                    </w:rPr>
                    <w:t>0</w:t>
                  </w:r>
                </w:p>
              </w:tc>
            </w:tr>
            <w:tr w14:paraId="181D52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194" w:type="pct"/>
                  <w:vAlign w:val="center"/>
                </w:tcPr>
                <w:p w14:paraId="79BE48DC">
                  <w:pPr>
                    <w:widowControl w:val="0"/>
                    <w:overflowPunct w:val="0"/>
                    <w:autoSpaceDE w:val="0"/>
                    <w:autoSpaceDN w:val="0"/>
                    <w:snapToGrid w:val="0"/>
                    <w:jc w:val="center"/>
                    <w:rPr>
                      <w:snapToGrid w:val="0"/>
                      <w14:ligatures w14:val="standardContextual"/>
                    </w:rPr>
                  </w:pPr>
                  <w:r>
                    <w:rPr>
                      <w:rFonts w:hint="eastAsia"/>
                      <w:snapToGrid w:val="0"/>
                      <w14:ligatures w14:val="standardContextual"/>
                    </w:rPr>
                    <w:t>标准限值</w:t>
                  </w:r>
                </w:p>
              </w:tc>
              <w:tc>
                <w:tcPr>
                  <w:tcW w:w="2806" w:type="pct"/>
                  <w:vAlign w:val="center"/>
                </w:tcPr>
                <w:p w14:paraId="13FE26A5">
                  <w:pPr>
                    <w:widowControl w:val="0"/>
                    <w:overflowPunct w:val="0"/>
                    <w:autoSpaceDE w:val="0"/>
                    <w:autoSpaceDN w:val="0"/>
                    <w:snapToGrid w:val="0"/>
                    <w:jc w:val="center"/>
                    <w:rPr>
                      <w:snapToGrid w:val="0"/>
                      <w14:ligatures w14:val="standardContextual"/>
                    </w:rPr>
                  </w:pPr>
                  <w:r>
                    <w:rPr>
                      <w:rFonts w:hint="eastAsia"/>
                      <w:snapToGrid w:val="0"/>
                      <w14:ligatures w14:val="standardContextual"/>
                    </w:rPr>
                    <w:t>300μg/m</w:t>
                  </w:r>
                  <w:r>
                    <w:rPr>
                      <w:rFonts w:hint="eastAsia"/>
                      <w:snapToGrid w:val="0"/>
                      <w:vertAlign w:val="superscript"/>
                      <w14:ligatures w14:val="standardContextual"/>
                    </w:rPr>
                    <w:t>3</w:t>
                  </w:r>
                  <w:r>
                    <w:rPr>
                      <w:rFonts w:hint="eastAsia"/>
                      <w:snapToGrid w:val="0"/>
                      <w14:ligatures w14:val="standardContextual"/>
                    </w:rPr>
                    <w:t>（24h平均）</w:t>
                  </w:r>
                </w:p>
              </w:tc>
            </w:tr>
          </w:tbl>
          <w:p w14:paraId="78EAA993">
            <w:pPr>
              <w:pStyle w:val="3"/>
              <w:ind w:firstLine="480"/>
            </w:pPr>
            <w:r>
              <w:rPr>
                <w:rFonts w:hint="eastAsia"/>
              </w:rPr>
              <w:t>根据监测结果分析，评价区域空气环境指标TSP满足《环境空气质量标准》（GB3095-2012）及其修改单中二级标准。评价区域环境空气质量良好。</w:t>
            </w:r>
          </w:p>
          <w:p w14:paraId="67A371E3">
            <w:pPr>
              <w:pStyle w:val="7"/>
            </w:pPr>
            <w:r>
              <w:t>2</w:t>
            </w:r>
            <w:r>
              <w:rPr>
                <w:rFonts w:hint="eastAsia"/>
              </w:rPr>
              <w:t>、地表水环境质量现状</w:t>
            </w:r>
          </w:p>
          <w:p w14:paraId="09798BB9">
            <w:pPr>
              <w:pStyle w:val="3"/>
              <w:ind w:firstLine="480"/>
            </w:pPr>
            <w:r>
              <w:rPr>
                <w:rFonts w:hint="eastAsia"/>
              </w:rPr>
              <w:t>根据《建设项目环境影响报告表编制技术指南 （污染影响类）（试行）》，水环境质量现状调查应“引用与建设项目距离近的有效数据，包括近3年的规划环境影响评价的监测数据，所在流域控制单元内国家、地方控制断面监测数据，生态环境主管部门发布的水环境质量数据或地表水达标情况的结论。”。</w:t>
            </w:r>
          </w:p>
          <w:p w14:paraId="6B52BCCF">
            <w:pPr>
              <w:pStyle w:val="3"/>
              <w:ind w:firstLine="480"/>
              <w:rPr>
                <w:color w:val="auto"/>
              </w:rPr>
            </w:pPr>
            <w:r>
              <w:rPr>
                <w:rFonts w:hint="eastAsia"/>
                <w:color w:val="auto"/>
              </w:rPr>
              <w:t>根据近岸海域环境功能区划，项目所在区域属于钦州港大榄坪港口、工业区（GX055DⅣ），钦州港经济开发区金鼓村（E108°38′15″、N21°44′17″）至鸡丁头村（E108°40′26″ 、 N21°41′33″）岸线及E108°38′0″、N21°40′47″，E108°39′57″、N21°38′20″，E108°41′18″、N21°39′17″，E108°40′46″、N21°40′14″围成的海域（除钦州港大榄坪排污混合区、钦州港金鼓江排污混合区外），面积为12平方公里。主导功能为港口、工业用海，属四类环境功能区，水质保护目标为海水水质标准第四类。周围设0.5公里水质过渡带，水质保护目标为海水水质标准第三类。</w:t>
            </w:r>
          </w:p>
          <w:p w14:paraId="6BA04AF7">
            <w:pPr>
              <w:pStyle w:val="3"/>
              <w:ind w:firstLine="480"/>
              <w:rPr>
                <w:color w:val="auto"/>
              </w:rPr>
            </w:pPr>
            <w:r>
              <w:rPr>
                <w:rFonts w:hint="eastAsia"/>
                <w:color w:val="auto"/>
              </w:rPr>
              <w:t>项目附近钦州湾海域水质执行《海水水质标准》（GB3097-1997）四类标准限值要求。</w:t>
            </w:r>
          </w:p>
          <w:p w14:paraId="094AF45B">
            <w:pPr>
              <w:pStyle w:val="3"/>
              <w:ind w:firstLine="480"/>
              <w:rPr>
                <w:color w:val="auto"/>
              </w:rPr>
            </w:pPr>
            <w:r>
              <w:rPr>
                <w:rFonts w:hint="eastAsia"/>
                <w:color w:val="auto"/>
              </w:rPr>
              <w:t>根据广西壮族自治区海洋环境监测中心站2025年2月26日发布的《2025年1月广西近岸海域自动监测水质状况》，根据自动监测结果，1月广西近岸海域17个自动监测站中，水质优良（第一、二类水质）站位共17个，同比持平；无第三类、第四类和劣四类水质站位，同比持平；水质优良天数比例为96.58%，同比下降2.09个百分点。与上年同期相比，防城港市GX01站位（北仑河口海域）水质由第二类上升为第一类，GX03站位（防城港西湾海域）水质由第一类下降为第二类；钦州市GX08站位（钦州港海域）水质由第一类下降为第二类；北海市GX10站位（廉州湾大风江口海域）水质由第二类上升为第一类。与上月相比，防城港市GX04站位（防城港东湾海域）水质由第二类上升为第一类；钦州市GX06站位（茅尾海中部海域）水质由第四类上升为第二类，GX07站位（龙门海域）水质由第四类上升为第二类；北海市GX12站位（廉州湾冠头岭海域）水质由第二类上升为第一类，GX16站位（铁山港东部海域）水质由第四类上升为第二类。</w:t>
            </w:r>
          </w:p>
          <w:p w14:paraId="36A6D36D">
            <w:pPr>
              <w:pStyle w:val="7"/>
              <w:rPr>
                <w:color w:val="auto"/>
              </w:rPr>
            </w:pPr>
            <w:r>
              <w:rPr>
                <w:rFonts w:hint="eastAsia"/>
                <w:color w:val="auto"/>
              </w:rPr>
              <w:t>综上，项目所在区域地表水水质状况良好。</w:t>
            </w:r>
          </w:p>
          <w:p w14:paraId="29B1B2ED">
            <w:pPr>
              <w:pStyle w:val="7"/>
            </w:pPr>
            <w:r>
              <w:rPr>
                <w:rFonts w:hint="eastAsia"/>
              </w:rPr>
              <w:t>3、声环境</w:t>
            </w:r>
          </w:p>
          <w:p w14:paraId="2129FA74">
            <w:pPr>
              <w:pStyle w:val="3"/>
              <w:ind w:firstLine="480"/>
            </w:pPr>
            <w:r>
              <w:rPr>
                <w:rFonts w:hint="eastAsia"/>
              </w:rPr>
              <w:t>项目所在区域执行《声环境质量标准》(GB3096-2008)3类标准，昼间为65dB(A)，夜间为55dB(A)。</w:t>
            </w:r>
          </w:p>
          <w:p w14:paraId="6279F6A3">
            <w:pPr>
              <w:pStyle w:val="3"/>
              <w:ind w:firstLine="480"/>
            </w:pPr>
            <w:r>
              <w:rPr>
                <w:rFonts w:hint="eastAsia"/>
              </w:rPr>
              <w:t>本项目厂界外周围50米范围内无声环境保护目标，无需进行监测。</w:t>
            </w:r>
          </w:p>
          <w:p w14:paraId="7BF7C023">
            <w:pPr>
              <w:pStyle w:val="7"/>
            </w:pPr>
            <w:r>
              <w:rPr>
                <w:rFonts w:hint="eastAsia"/>
              </w:rPr>
              <w:t>4、地下水、土壤环境质量现状</w:t>
            </w:r>
          </w:p>
          <w:p w14:paraId="6A92FD0B">
            <w:pPr>
              <w:pStyle w:val="3"/>
              <w:ind w:firstLine="480"/>
            </w:pPr>
            <w:r>
              <w:rPr>
                <w:rFonts w:hint="eastAsia"/>
              </w:rPr>
              <w:t>根据《建设项目环境影响报告表编制技术指南（污染影响类）（试行）》：地下水、土壤原则上不开展环境质量现状调查。同时根据项目现场调查可知，本项目位于工业园区，项目厂界范围外</w:t>
            </w:r>
            <w:r>
              <w:t>500</w:t>
            </w:r>
            <w:r>
              <w:rPr>
                <w:rFonts w:hint="eastAsia"/>
              </w:rPr>
              <w:t>米范围内无集中式饮用水水源和热水、矿泉水、温泉等特殊地下水资源，项目厂房、堆料区等地面均已做好防腐防渗处理，在生产过程中不存在土壤、地下水污染途径。故不开展地下水、土壤环境现状调查。</w:t>
            </w:r>
          </w:p>
          <w:p w14:paraId="2402726E">
            <w:pPr>
              <w:pStyle w:val="7"/>
            </w:pPr>
            <w:r>
              <w:rPr>
                <w:rFonts w:hint="eastAsia"/>
              </w:rPr>
              <w:t>5、生态环境</w:t>
            </w:r>
          </w:p>
          <w:p w14:paraId="0CEC9ADD">
            <w:pPr>
              <w:pStyle w:val="3"/>
              <w:ind w:firstLine="480"/>
            </w:pPr>
            <w:r>
              <w:rPr>
                <w:rFonts w:hint="eastAsia"/>
              </w:rPr>
              <w:t>本项目选址位于钦州港大榄坪物流加工区，周边均为工业企业，项目所在区域主要植被为植被以及自然生长的低矮灌木杂草，评价区群落的外貌和结构比较简单，植被类型较少，由于人类频繁活动，未见大型野生动物出没，多为适应人类生活的小型常见动物，如鸟类、鼠类、昆虫等，易受人类活动的干扰。项目周边附近无风景名胜区、自然保护区及文化遗产等特殊保护目标，生态环境不属于敏感区。</w:t>
            </w:r>
          </w:p>
        </w:tc>
      </w:tr>
      <w:tr w14:paraId="111C6E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440" w:type="pct"/>
            <w:vAlign w:val="center"/>
          </w:tcPr>
          <w:p w14:paraId="02AA91BD">
            <w:pPr>
              <w:snapToGrid w:val="0"/>
              <w:jc w:val="center"/>
              <w:rPr>
                <w:rFonts w:cs="宋体"/>
                <w:sz w:val="24"/>
              </w:rPr>
            </w:pPr>
            <w:r>
              <w:rPr>
                <w:rFonts w:hint="eastAsia" w:cs="宋体"/>
                <w:sz w:val="24"/>
              </w:rPr>
              <w:t>环境</w:t>
            </w:r>
          </w:p>
          <w:p w14:paraId="64A5AEA3">
            <w:pPr>
              <w:snapToGrid w:val="0"/>
              <w:jc w:val="center"/>
              <w:rPr>
                <w:rFonts w:cs="宋体"/>
                <w:sz w:val="24"/>
              </w:rPr>
            </w:pPr>
            <w:r>
              <w:rPr>
                <w:rFonts w:hint="eastAsia" w:cs="宋体"/>
                <w:sz w:val="24"/>
              </w:rPr>
              <w:t>保护</w:t>
            </w:r>
          </w:p>
          <w:p w14:paraId="43299F26">
            <w:pPr>
              <w:snapToGrid w:val="0"/>
              <w:jc w:val="center"/>
              <w:rPr>
                <w:rFonts w:cs="宋体"/>
                <w:sz w:val="24"/>
              </w:rPr>
            </w:pPr>
            <w:r>
              <w:rPr>
                <w:rFonts w:hint="eastAsia" w:cs="宋体"/>
                <w:sz w:val="24"/>
              </w:rPr>
              <w:t>目标</w:t>
            </w:r>
          </w:p>
        </w:tc>
        <w:tc>
          <w:tcPr>
            <w:tcW w:w="4560" w:type="pct"/>
            <w:vAlign w:val="center"/>
          </w:tcPr>
          <w:p w14:paraId="53BAB0D4">
            <w:pPr>
              <w:pStyle w:val="3"/>
              <w:ind w:firstLine="480"/>
            </w:pPr>
            <w:r>
              <w:rPr>
                <w:rFonts w:hint="eastAsia"/>
              </w:rPr>
              <w:t>根据《建设项目环境影响报告表编制技术指南（污染影响类）（试行）》（2021年4月1日实施）要求，本评价考虑项目厂界外500m范围内大气及厂界外50m范围内噪声环境保护目标，项目厂界外500m范围内无地下水环境保护目标。</w:t>
            </w:r>
          </w:p>
          <w:p w14:paraId="2E333697">
            <w:pPr>
              <w:pStyle w:val="48"/>
              <w:ind w:firstLine="480"/>
            </w:pPr>
            <w:bookmarkStart w:id="42" w:name="OLE_LINK51"/>
            <w:r>
              <w:rPr>
                <w:rFonts w:hint="eastAsia"/>
              </w:rPr>
              <w:t>表</w:t>
            </w:r>
            <w:r>
              <w:t>3-</w:t>
            </w:r>
            <w:r>
              <w:fldChar w:fldCharType="begin"/>
            </w:r>
            <w:r>
              <w:instrText xml:space="preserve"> SEQ </w:instrText>
            </w:r>
            <w:r>
              <w:rPr>
                <w:rFonts w:hint="eastAsia"/>
              </w:rPr>
              <w:instrText xml:space="preserve">表</w:instrText>
            </w:r>
            <w:r>
              <w:instrText xml:space="preserve">3- \* ARABIC </w:instrText>
            </w:r>
            <w:r>
              <w:fldChar w:fldCharType="separate"/>
            </w:r>
            <w:r>
              <w:t>5</w:t>
            </w:r>
            <w:r>
              <w:fldChar w:fldCharType="end"/>
            </w:r>
            <w:r>
              <w:rPr>
                <w:rFonts w:hint="eastAsia"/>
              </w:rPr>
              <w:t>：</w:t>
            </w:r>
            <w:bookmarkEnd w:id="42"/>
            <w:r>
              <w:rPr>
                <w:rFonts w:hint="eastAsia"/>
              </w:rPr>
              <w:t>评价区域环境保护目标一览表</w:t>
            </w:r>
          </w:p>
          <w:tbl>
            <w:tblPr>
              <w:tblStyle w:val="49"/>
              <w:tblW w:w="79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056"/>
              <w:gridCol w:w="712"/>
              <w:gridCol w:w="566"/>
              <w:gridCol w:w="568"/>
              <w:gridCol w:w="850"/>
              <w:gridCol w:w="993"/>
              <w:gridCol w:w="567"/>
              <w:gridCol w:w="2626"/>
            </w:tblGrid>
            <w:tr w14:paraId="4C9A73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056" w:type="dxa"/>
                  <w:vMerge w:val="restart"/>
                  <w:tcBorders>
                    <w:top w:val="single" w:color="auto" w:sz="12" w:space="0"/>
                    <w:left w:val="nil"/>
                    <w:bottom w:val="single" w:color="auto" w:sz="4" w:space="0"/>
                    <w:right w:val="single" w:color="auto" w:sz="4" w:space="0"/>
                    <w:insideV w:val="single" w:sz="4" w:space="0"/>
                    <w:tl2br w:val="nil"/>
                    <w:tr2bl w:val="nil"/>
                  </w:tcBorders>
                  <w:vAlign w:val="center"/>
                </w:tcPr>
                <w:p w14:paraId="7DC211F3">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14:ligatures w14:val="standardContextual"/>
                    </w:rPr>
                  </w:pPr>
                  <w:r>
                    <w:rPr>
                      <w:rFonts w:hint="eastAsia" w:ascii="Times New Roman" w:hAnsi="Times New Roman" w:eastAsia="宋体" w:cs="Times New Roman"/>
                      <w:b/>
                      <w:i w:val="0"/>
                      <w14:ligatures w14:val="standardContextual"/>
                    </w:rPr>
                    <w:t>环境要素</w:t>
                  </w:r>
                </w:p>
              </w:tc>
              <w:tc>
                <w:tcPr>
                  <w:tcW w:w="712" w:type="dxa"/>
                  <w:vMerge w:val="restart"/>
                  <w:tcBorders>
                    <w:top w:val="single" w:color="auto" w:sz="12" w:space="0"/>
                    <w:bottom w:val="single" w:color="auto" w:sz="4" w:space="0"/>
                    <w:right w:val="single" w:color="auto" w:sz="4" w:space="0"/>
                    <w:insideV w:val="single" w:sz="4" w:space="0"/>
                    <w:tl2br w:val="nil"/>
                    <w:tr2bl w:val="nil"/>
                  </w:tcBorders>
                  <w:vAlign w:val="center"/>
                </w:tcPr>
                <w:p w14:paraId="193781FA">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14:ligatures w14:val="standardContextual"/>
                    </w:rPr>
                  </w:pPr>
                  <w:r>
                    <w:rPr>
                      <w:rFonts w:hint="eastAsia" w:ascii="Times New Roman" w:hAnsi="Times New Roman" w:eastAsia="宋体" w:cs="Times New Roman"/>
                      <w:b/>
                      <w:i w:val="0"/>
                      <w14:ligatures w14:val="standardContextual"/>
                    </w:rPr>
                    <w:t>保护目标</w:t>
                  </w:r>
                </w:p>
              </w:tc>
              <w:tc>
                <w:tcPr>
                  <w:tcW w:w="1134" w:type="dxa"/>
                  <w:gridSpan w:val="2"/>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0182207A">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14:ligatures w14:val="standardContextual"/>
                    </w:rPr>
                  </w:pPr>
                  <w:r>
                    <w:rPr>
                      <w:rFonts w:hint="eastAsia" w:ascii="Times New Roman" w:hAnsi="Times New Roman" w:eastAsia="宋体" w:cs="Times New Roman"/>
                      <w:b/>
                      <w:i w:val="0"/>
                      <w14:ligatures w14:val="standardContextual"/>
                    </w:rPr>
                    <w:t>坐标</w:t>
                  </w:r>
                  <w:r>
                    <w:rPr>
                      <w:rFonts w:hint="default" w:ascii="Times New Roman" w:hAnsi="Times New Roman" w:eastAsia="宋体" w:cs="Times New Roman"/>
                      <w:b/>
                      <w:i w:val="0"/>
                      <w14:ligatures w14:val="standardContextual"/>
                    </w:rPr>
                    <w:t>/m</w:t>
                  </w:r>
                </w:p>
              </w:tc>
              <w:tc>
                <w:tcPr>
                  <w:tcW w:w="850" w:type="dxa"/>
                  <w:vMerge w:val="restart"/>
                  <w:tcBorders>
                    <w:top w:val="single" w:color="auto" w:sz="12" w:space="0"/>
                    <w:bottom w:val="single" w:color="auto" w:sz="4" w:space="0"/>
                    <w:right w:val="single" w:color="auto" w:sz="4" w:space="0"/>
                    <w:insideV w:val="single" w:sz="4" w:space="0"/>
                    <w:tl2br w:val="nil"/>
                    <w:tr2bl w:val="nil"/>
                  </w:tcBorders>
                  <w:vAlign w:val="center"/>
                </w:tcPr>
                <w:p w14:paraId="782494D3">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14:ligatures w14:val="standardContextual"/>
                    </w:rPr>
                  </w:pPr>
                  <w:r>
                    <w:rPr>
                      <w:rFonts w:hint="eastAsia" w:ascii="Times New Roman" w:hAnsi="Times New Roman" w:eastAsia="宋体" w:cs="Times New Roman"/>
                      <w:b/>
                      <w:i w:val="0"/>
                      <w14:ligatures w14:val="standardContextual"/>
                    </w:rPr>
                    <w:t>相对厂界方位</w:t>
                  </w:r>
                </w:p>
              </w:tc>
              <w:tc>
                <w:tcPr>
                  <w:tcW w:w="993" w:type="dxa"/>
                  <w:vMerge w:val="restart"/>
                  <w:tcBorders>
                    <w:top w:val="single" w:color="auto" w:sz="12" w:space="0"/>
                    <w:bottom w:val="single" w:color="auto" w:sz="4" w:space="0"/>
                    <w:right w:val="single" w:color="auto" w:sz="4" w:space="0"/>
                    <w:insideV w:val="single" w:sz="4" w:space="0"/>
                    <w:tl2br w:val="nil"/>
                    <w:tr2bl w:val="nil"/>
                  </w:tcBorders>
                  <w:vAlign w:val="center"/>
                </w:tcPr>
                <w:p w14:paraId="2E6E5ED0">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14:ligatures w14:val="standardContextual"/>
                    </w:rPr>
                  </w:pPr>
                  <w:r>
                    <w:rPr>
                      <w:rFonts w:hint="eastAsia" w:ascii="Times New Roman" w:hAnsi="Times New Roman" w:eastAsia="宋体" w:cs="Times New Roman"/>
                      <w:b/>
                      <w:i w:val="0"/>
                      <w14:ligatures w14:val="standardContextual"/>
                    </w:rPr>
                    <w:t>相对厂界距离</w:t>
                  </w:r>
                  <w:r>
                    <w:rPr>
                      <w:rFonts w:hint="default" w:ascii="Times New Roman" w:hAnsi="Times New Roman" w:eastAsia="宋体" w:cs="Times New Roman"/>
                      <w:b/>
                      <w:i w:val="0"/>
                      <w14:ligatures w14:val="standardContextual"/>
                    </w:rPr>
                    <w:t>/m</w:t>
                  </w:r>
                </w:p>
              </w:tc>
              <w:tc>
                <w:tcPr>
                  <w:tcW w:w="567" w:type="dxa"/>
                  <w:vMerge w:val="restart"/>
                  <w:tcBorders>
                    <w:top w:val="single" w:color="auto" w:sz="12" w:space="0"/>
                    <w:bottom w:val="single" w:color="auto" w:sz="4" w:space="0"/>
                    <w:right w:val="single" w:color="auto" w:sz="4" w:space="0"/>
                    <w:insideV w:val="single" w:sz="4" w:space="0"/>
                    <w:tl2br w:val="nil"/>
                    <w:tr2bl w:val="nil"/>
                  </w:tcBorders>
                  <w:vAlign w:val="center"/>
                </w:tcPr>
                <w:p w14:paraId="5B380FD4">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14:ligatures w14:val="standardContextual"/>
                    </w:rPr>
                  </w:pPr>
                  <w:r>
                    <w:rPr>
                      <w:rFonts w:hint="eastAsia" w:ascii="Times New Roman" w:hAnsi="Times New Roman" w:eastAsia="宋体" w:cs="Times New Roman"/>
                      <w:b/>
                      <w:i w:val="0"/>
                      <w14:ligatures w14:val="standardContextual"/>
                    </w:rPr>
                    <w:t>保护对象</w:t>
                  </w:r>
                </w:p>
              </w:tc>
              <w:tc>
                <w:tcPr>
                  <w:tcW w:w="2626" w:type="dxa"/>
                  <w:vMerge w:val="restart"/>
                  <w:tcBorders>
                    <w:top w:val="single" w:color="auto" w:sz="12" w:space="0"/>
                    <w:bottom w:val="single" w:color="auto" w:sz="4" w:space="0"/>
                    <w:right w:val="nil"/>
                    <w:insideV w:val="single" w:sz="4" w:space="0"/>
                    <w:tl2br w:val="nil"/>
                    <w:tr2bl w:val="nil"/>
                  </w:tcBorders>
                  <w:noWrap/>
                  <w:vAlign w:val="center"/>
                </w:tcPr>
                <w:p w14:paraId="10C40FAF">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14:ligatures w14:val="standardContextual"/>
                    </w:rPr>
                  </w:pPr>
                  <w:r>
                    <w:rPr>
                      <w:rFonts w:hint="eastAsia" w:ascii="Times New Roman" w:hAnsi="Times New Roman" w:eastAsia="宋体" w:cs="Times New Roman"/>
                      <w:b/>
                      <w:i w:val="0"/>
                      <w14:ligatures w14:val="standardContextual"/>
                    </w:rPr>
                    <w:t>保护级别</w:t>
                  </w:r>
                </w:p>
              </w:tc>
            </w:tr>
            <w:tr w14:paraId="0F4B59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continue"/>
                  <w:tcBorders>
                    <w:top w:val="single" w:color="auto" w:sz="12" w:space="0"/>
                    <w:left w:val="nil"/>
                    <w:bottom w:val="single" w:color="auto" w:sz="4" w:space="0"/>
                    <w:right w:val="single" w:color="auto" w:sz="4" w:space="0"/>
                  </w:tcBorders>
                  <w:vAlign w:val="center"/>
                </w:tcPr>
                <w:p w14:paraId="5C6041FE">
                  <w:pPr>
                    <w:widowControl w:val="0"/>
                    <w:overflowPunct w:val="0"/>
                    <w:autoSpaceDE w:val="0"/>
                    <w:autoSpaceDN w:val="0"/>
                    <w:snapToGrid w:val="0"/>
                    <w:jc w:val="center"/>
                    <w:rPr>
                      <w14:ligatures w14:val="standardContextual"/>
                    </w:rPr>
                  </w:pPr>
                </w:p>
              </w:tc>
              <w:tc>
                <w:tcPr>
                  <w:tcW w:w="0" w:type="auto"/>
                  <w:vMerge w:val="continue"/>
                  <w:tcBorders>
                    <w:top w:val="single" w:color="auto" w:sz="12" w:space="0"/>
                    <w:left w:val="single" w:color="auto" w:sz="4" w:space="0"/>
                    <w:bottom w:val="single" w:color="auto" w:sz="4" w:space="0"/>
                    <w:right w:val="single" w:color="auto" w:sz="4" w:space="0"/>
                  </w:tcBorders>
                  <w:vAlign w:val="center"/>
                </w:tcPr>
                <w:p w14:paraId="73D096FF">
                  <w:pPr>
                    <w:widowControl w:val="0"/>
                    <w:overflowPunct w:val="0"/>
                    <w:autoSpaceDE w:val="0"/>
                    <w:autoSpaceDN w:val="0"/>
                    <w:snapToGrid w:val="0"/>
                    <w:jc w:val="center"/>
                    <w:rPr>
                      <w14:ligatures w14:val="standardContextual"/>
                    </w:rPr>
                  </w:pPr>
                </w:p>
              </w:tc>
              <w:tc>
                <w:tcPr>
                  <w:tcW w:w="566" w:type="dxa"/>
                  <w:tcBorders>
                    <w:top w:val="single" w:color="auto" w:sz="4" w:space="0"/>
                    <w:left w:val="single" w:color="auto" w:sz="4" w:space="0"/>
                    <w:bottom w:val="single" w:color="auto" w:sz="4" w:space="0"/>
                    <w:right w:val="single" w:color="auto" w:sz="4" w:space="0"/>
                  </w:tcBorders>
                  <w:vAlign w:val="center"/>
                </w:tcPr>
                <w:p w14:paraId="243D99CB">
                  <w:pPr>
                    <w:widowControl w:val="0"/>
                    <w:overflowPunct w:val="0"/>
                    <w:autoSpaceDE w:val="0"/>
                    <w:autoSpaceDN w:val="0"/>
                    <w:snapToGrid w:val="0"/>
                    <w:jc w:val="center"/>
                    <w:rPr>
                      <w14:ligatures w14:val="standardContextual"/>
                    </w:rPr>
                  </w:pPr>
                  <w:r>
                    <w:rPr>
                      <w14:ligatures w14:val="standardContextual"/>
                    </w:rPr>
                    <w:t>x</w:t>
                  </w:r>
                </w:p>
              </w:tc>
              <w:tc>
                <w:tcPr>
                  <w:tcW w:w="568" w:type="dxa"/>
                  <w:tcBorders>
                    <w:top w:val="single" w:color="auto" w:sz="4" w:space="0"/>
                    <w:left w:val="single" w:color="auto" w:sz="4" w:space="0"/>
                    <w:bottom w:val="single" w:color="auto" w:sz="4" w:space="0"/>
                    <w:right w:val="single" w:color="auto" w:sz="4" w:space="0"/>
                  </w:tcBorders>
                  <w:vAlign w:val="center"/>
                </w:tcPr>
                <w:p w14:paraId="6A41BC9D">
                  <w:pPr>
                    <w:widowControl w:val="0"/>
                    <w:overflowPunct w:val="0"/>
                    <w:autoSpaceDE w:val="0"/>
                    <w:autoSpaceDN w:val="0"/>
                    <w:snapToGrid w:val="0"/>
                    <w:jc w:val="center"/>
                    <w:rPr>
                      <w14:ligatures w14:val="standardContextual"/>
                    </w:rPr>
                  </w:pPr>
                  <w:r>
                    <w:rPr>
                      <w14:ligatures w14:val="standardContextual"/>
                    </w:rPr>
                    <w:t>y</w:t>
                  </w:r>
                </w:p>
              </w:tc>
              <w:tc>
                <w:tcPr>
                  <w:tcW w:w="0" w:type="auto"/>
                  <w:vMerge w:val="continue"/>
                  <w:tcBorders>
                    <w:top w:val="single" w:color="auto" w:sz="12" w:space="0"/>
                    <w:left w:val="single" w:color="auto" w:sz="4" w:space="0"/>
                    <w:bottom w:val="single" w:color="auto" w:sz="4" w:space="0"/>
                    <w:right w:val="single" w:color="auto" w:sz="4" w:space="0"/>
                  </w:tcBorders>
                  <w:vAlign w:val="center"/>
                </w:tcPr>
                <w:p w14:paraId="76EDB1E4">
                  <w:pPr>
                    <w:widowControl w:val="0"/>
                    <w:overflowPunct w:val="0"/>
                    <w:autoSpaceDE w:val="0"/>
                    <w:autoSpaceDN w:val="0"/>
                    <w:snapToGrid w:val="0"/>
                    <w:jc w:val="center"/>
                    <w:rPr>
                      <w14:ligatures w14:val="standardContextual"/>
                    </w:rPr>
                  </w:pPr>
                </w:p>
              </w:tc>
              <w:tc>
                <w:tcPr>
                  <w:tcW w:w="0" w:type="auto"/>
                  <w:vMerge w:val="continue"/>
                  <w:tcBorders>
                    <w:top w:val="single" w:color="auto" w:sz="12" w:space="0"/>
                    <w:left w:val="single" w:color="auto" w:sz="4" w:space="0"/>
                    <w:bottom w:val="single" w:color="auto" w:sz="4" w:space="0"/>
                    <w:right w:val="single" w:color="auto" w:sz="4" w:space="0"/>
                  </w:tcBorders>
                  <w:vAlign w:val="center"/>
                </w:tcPr>
                <w:p w14:paraId="17CE7663">
                  <w:pPr>
                    <w:widowControl w:val="0"/>
                    <w:overflowPunct w:val="0"/>
                    <w:autoSpaceDE w:val="0"/>
                    <w:autoSpaceDN w:val="0"/>
                    <w:snapToGrid w:val="0"/>
                    <w:jc w:val="center"/>
                    <w:rPr>
                      <w14:ligatures w14:val="standardContextual"/>
                    </w:rPr>
                  </w:pPr>
                </w:p>
              </w:tc>
              <w:tc>
                <w:tcPr>
                  <w:tcW w:w="0" w:type="auto"/>
                  <w:vMerge w:val="continue"/>
                  <w:tcBorders>
                    <w:top w:val="single" w:color="auto" w:sz="12" w:space="0"/>
                    <w:left w:val="single" w:color="auto" w:sz="4" w:space="0"/>
                    <w:bottom w:val="single" w:color="auto" w:sz="4" w:space="0"/>
                    <w:right w:val="single" w:color="auto" w:sz="4" w:space="0"/>
                  </w:tcBorders>
                  <w:vAlign w:val="center"/>
                </w:tcPr>
                <w:p w14:paraId="66A05F7F">
                  <w:pPr>
                    <w:widowControl w:val="0"/>
                    <w:overflowPunct w:val="0"/>
                    <w:autoSpaceDE w:val="0"/>
                    <w:autoSpaceDN w:val="0"/>
                    <w:snapToGrid w:val="0"/>
                    <w:jc w:val="center"/>
                    <w:rPr>
                      <w14:ligatures w14:val="standardContextual"/>
                    </w:rPr>
                  </w:pPr>
                </w:p>
              </w:tc>
              <w:tc>
                <w:tcPr>
                  <w:tcW w:w="0" w:type="auto"/>
                  <w:vMerge w:val="continue"/>
                  <w:tcBorders>
                    <w:top w:val="single" w:color="auto" w:sz="12" w:space="0"/>
                    <w:left w:val="single" w:color="auto" w:sz="4" w:space="0"/>
                    <w:bottom w:val="single" w:color="auto" w:sz="4" w:space="0"/>
                    <w:right w:val="nil"/>
                  </w:tcBorders>
                  <w:vAlign w:val="center"/>
                </w:tcPr>
                <w:p w14:paraId="317C796F">
                  <w:pPr>
                    <w:widowControl w:val="0"/>
                    <w:overflowPunct w:val="0"/>
                    <w:autoSpaceDE w:val="0"/>
                    <w:autoSpaceDN w:val="0"/>
                    <w:snapToGrid w:val="0"/>
                    <w:jc w:val="center"/>
                    <w:rPr>
                      <w14:ligatures w14:val="standardContextual"/>
                    </w:rPr>
                  </w:pPr>
                </w:p>
              </w:tc>
            </w:tr>
            <w:tr w14:paraId="382666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056" w:type="dxa"/>
                  <w:tcBorders>
                    <w:top w:val="single" w:color="auto" w:sz="4" w:space="0"/>
                    <w:left w:val="nil"/>
                    <w:right w:val="single" w:color="auto" w:sz="4" w:space="0"/>
                  </w:tcBorders>
                  <w:vAlign w:val="center"/>
                </w:tcPr>
                <w:p w14:paraId="58A95350">
                  <w:pPr>
                    <w:widowControl w:val="0"/>
                    <w:overflowPunct w:val="0"/>
                    <w:autoSpaceDE w:val="0"/>
                    <w:autoSpaceDN w:val="0"/>
                    <w:snapToGrid w:val="0"/>
                    <w:jc w:val="center"/>
                    <w:rPr>
                      <w14:ligatures w14:val="standardContextual"/>
                    </w:rPr>
                  </w:pPr>
                  <w:r>
                    <w:rPr>
                      <w:rFonts w:hint="eastAsia"/>
                      <w14:ligatures w14:val="standardContextual"/>
                    </w:rPr>
                    <w:t>环境空气</w:t>
                  </w:r>
                </w:p>
              </w:tc>
              <w:tc>
                <w:tcPr>
                  <w:tcW w:w="6882" w:type="dxa"/>
                  <w:gridSpan w:val="7"/>
                  <w:tcBorders>
                    <w:top w:val="single" w:color="auto" w:sz="4" w:space="0"/>
                    <w:left w:val="single" w:color="auto" w:sz="4" w:space="0"/>
                    <w:bottom w:val="single" w:color="auto" w:sz="4" w:space="0"/>
                    <w:right w:val="single" w:color="auto" w:sz="4" w:space="0"/>
                  </w:tcBorders>
                  <w:vAlign w:val="center"/>
                </w:tcPr>
                <w:p w14:paraId="2D73378A">
                  <w:pPr>
                    <w:widowControl w:val="0"/>
                    <w:overflowPunct w:val="0"/>
                    <w:autoSpaceDE w:val="0"/>
                    <w:autoSpaceDN w:val="0"/>
                    <w:snapToGrid w:val="0"/>
                    <w:jc w:val="center"/>
                    <w:rPr>
                      <w14:ligatures w14:val="standardContextual"/>
                    </w:rPr>
                  </w:pPr>
                  <w:r>
                    <w:rPr>
                      <w:rFonts w:hint="eastAsia"/>
                      <w14:ligatures w14:val="standardContextual"/>
                    </w:rPr>
                    <w:t>本项目厂界外500m内无环境空气保护目标</w:t>
                  </w:r>
                </w:p>
              </w:tc>
            </w:tr>
            <w:tr w14:paraId="3FDFBF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056" w:type="dxa"/>
                  <w:tcBorders>
                    <w:left w:val="nil"/>
                    <w:right w:val="single" w:color="auto" w:sz="4" w:space="0"/>
                  </w:tcBorders>
                  <w:vAlign w:val="center"/>
                </w:tcPr>
                <w:p w14:paraId="62A390E0">
                  <w:pPr>
                    <w:widowControl w:val="0"/>
                    <w:overflowPunct w:val="0"/>
                    <w:autoSpaceDE w:val="0"/>
                    <w:autoSpaceDN w:val="0"/>
                    <w:snapToGrid w:val="0"/>
                    <w:jc w:val="center"/>
                    <w:rPr>
                      <w14:ligatures w14:val="standardContextual"/>
                    </w:rPr>
                  </w:pPr>
                  <w:r>
                    <w:rPr>
                      <w:rFonts w:hint="eastAsia"/>
                      <w14:ligatures w14:val="standardContextual"/>
                    </w:rPr>
                    <w:t>声环境</w:t>
                  </w:r>
                </w:p>
              </w:tc>
              <w:tc>
                <w:tcPr>
                  <w:tcW w:w="6882" w:type="dxa"/>
                  <w:gridSpan w:val="7"/>
                  <w:tcBorders>
                    <w:top w:val="single" w:color="auto" w:sz="4" w:space="0"/>
                    <w:left w:val="single" w:color="auto" w:sz="4" w:space="0"/>
                    <w:bottom w:val="single" w:color="auto" w:sz="4" w:space="0"/>
                    <w:right w:val="single" w:color="auto" w:sz="4" w:space="0"/>
                  </w:tcBorders>
                  <w:vAlign w:val="center"/>
                </w:tcPr>
                <w:p w14:paraId="112B2965">
                  <w:pPr>
                    <w:widowControl w:val="0"/>
                    <w:overflowPunct w:val="0"/>
                    <w:autoSpaceDE w:val="0"/>
                    <w:autoSpaceDN w:val="0"/>
                    <w:snapToGrid w:val="0"/>
                    <w:jc w:val="center"/>
                    <w:rPr>
                      <w14:ligatures w14:val="standardContextual"/>
                    </w:rPr>
                  </w:pPr>
                  <w:r>
                    <w:rPr>
                      <w:rFonts w:hint="eastAsia"/>
                      <w14:ligatures w14:val="standardContextual"/>
                    </w:rPr>
                    <w:t>本项目厂界外50m内无声环境保护目标</w:t>
                  </w:r>
                </w:p>
              </w:tc>
            </w:tr>
            <w:tr w14:paraId="462A68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056" w:type="dxa"/>
                  <w:tcBorders>
                    <w:left w:val="nil"/>
                    <w:right w:val="single" w:color="auto" w:sz="4" w:space="0"/>
                  </w:tcBorders>
                  <w:vAlign w:val="center"/>
                </w:tcPr>
                <w:p w14:paraId="5363943F">
                  <w:pPr>
                    <w:widowControl w:val="0"/>
                    <w:overflowPunct w:val="0"/>
                    <w:autoSpaceDE w:val="0"/>
                    <w:autoSpaceDN w:val="0"/>
                    <w:snapToGrid w:val="0"/>
                    <w:jc w:val="center"/>
                    <w:rPr>
                      <w14:ligatures w14:val="standardContextual"/>
                    </w:rPr>
                  </w:pPr>
                  <w:r>
                    <w:rPr>
                      <w:rFonts w:hint="eastAsia"/>
                      <w14:ligatures w14:val="standardContextual"/>
                    </w:rPr>
                    <w:t>地下水环境</w:t>
                  </w:r>
                </w:p>
              </w:tc>
              <w:tc>
                <w:tcPr>
                  <w:tcW w:w="6882" w:type="dxa"/>
                  <w:gridSpan w:val="7"/>
                  <w:tcBorders>
                    <w:top w:val="single" w:color="auto" w:sz="4" w:space="0"/>
                    <w:left w:val="single" w:color="auto" w:sz="4" w:space="0"/>
                    <w:bottom w:val="single" w:color="auto" w:sz="4" w:space="0"/>
                    <w:right w:val="single" w:color="auto" w:sz="4" w:space="0"/>
                  </w:tcBorders>
                  <w:vAlign w:val="center"/>
                </w:tcPr>
                <w:p w14:paraId="09F99088">
                  <w:pPr>
                    <w:widowControl w:val="0"/>
                    <w:overflowPunct w:val="0"/>
                    <w:autoSpaceDE w:val="0"/>
                    <w:autoSpaceDN w:val="0"/>
                    <w:snapToGrid w:val="0"/>
                    <w:jc w:val="center"/>
                    <w:rPr>
                      <w14:ligatures w14:val="standardContextual"/>
                    </w:rPr>
                  </w:pPr>
                  <w:r>
                    <w:rPr>
                      <w:rFonts w:hint="eastAsia"/>
                      <w14:ligatures w14:val="standardContextual"/>
                    </w:rPr>
                    <w:t>项目厂界外500m范围内无地下集中式饮用水源和热水、矿泉水、温泉等特殊地下水资源</w:t>
                  </w:r>
                </w:p>
              </w:tc>
            </w:tr>
            <w:tr w14:paraId="08379A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056" w:type="dxa"/>
                  <w:tcBorders>
                    <w:left w:val="nil"/>
                    <w:bottom w:val="single" w:color="auto" w:sz="12" w:space="0"/>
                    <w:right w:val="single" w:color="auto" w:sz="4" w:space="0"/>
                  </w:tcBorders>
                  <w:vAlign w:val="center"/>
                </w:tcPr>
                <w:p w14:paraId="0694A194">
                  <w:pPr>
                    <w:widowControl w:val="0"/>
                    <w:overflowPunct w:val="0"/>
                    <w:autoSpaceDE w:val="0"/>
                    <w:autoSpaceDN w:val="0"/>
                    <w:snapToGrid w:val="0"/>
                    <w:jc w:val="center"/>
                    <w:rPr>
                      <w14:ligatures w14:val="standardContextual"/>
                    </w:rPr>
                  </w:pPr>
                  <w:r>
                    <w:rPr>
                      <w:rFonts w:hint="eastAsia"/>
                      <w14:ligatures w14:val="standardContextual"/>
                    </w:rPr>
                    <w:t>生态环境</w:t>
                  </w:r>
                </w:p>
              </w:tc>
              <w:tc>
                <w:tcPr>
                  <w:tcW w:w="6882" w:type="dxa"/>
                  <w:gridSpan w:val="7"/>
                  <w:tcBorders>
                    <w:top w:val="single" w:color="auto" w:sz="4" w:space="0"/>
                    <w:left w:val="single" w:color="auto" w:sz="4" w:space="0"/>
                    <w:bottom w:val="single" w:color="auto" w:sz="12" w:space="0"/>
                    <w:right w:val="single" w:color="auto" w:sz="4" w:space="0"/>
                  </w:tcBorders>
                  <w:vAlign w:val="center"/>
                </w:tcPr>
                <w:p w14:paraId="7E6F2050">
                  <w:pPr>
                    <w:widowControl w:val="0"/>
                    <w:overflowPunct w:val="0"/>
                    <w:autoSpaceDE w:val="0"/>
                    <w:autoSpaceDN w:val="0"/>
                    <w:snapToGrid w:val="0"/>
                    <w:jc w:val="center"/>
                    <w:rPr>
                      <w14:ligatures w14:val="standardContextual"/>
                    </w:rPr>
                  </w:pPr>
                  <w:r>
                    <w:rPr>
                      <w:rFonts w:hint="eastAsia"/>
                      <w14:ligatures w14:val="standardContextual"/>
                    </w:rPr>
                    <w:t>项目用地范围内无生态环境保护目标</w:t>
                  </w:r>
                </w:p>
              </w:tc>
            </w:tr>
          </w:tbl>
          <w:p w14:paraId="0A2E4FF4">
            <w:pPr>
              <w:pStyle w:val="3"/>
              <w:ind w:firstLine="480"/>
            </w:pPr>
          </w:p>
          <w:p w14:paraId="4DAA160A">
            <w:pPr>
              <w:pStyle w:val="3"/>
              <w:ind w:firstLine="480"/>
            </w:pPr>
          </w:p>
        </w:tc>
      </w:tr>
      <w:tr w14:paraId="68DE72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440" w:type="pct"/>
            <w:tcMar>
              <w:left w:w="28" w:type="dxa"/>
              <w:right w:w="28" w:type="dxa"/>
            </w:tcMar>
            <w:vAlign w:val="center"/>
          </w:tcPr>
          <w:p w14:paraId="0AC706EE">
            <w:pPr>
              <w:snapToGrid w:val="0"/>
              <w:jc w:val="center"/>
              <w:rPr>
                <w:rFonts w:cs="宋体"/>
                <w:sz w:val="24"/>
              </w:rPr>
            </w:pPr>
            <w:r>
              <w:rPr>
                <w:rFonts w:hint="eastAsia" w:cs="宋体"/>
                <w:sz w:val="24"/>
              </w:rPr>
              <w:t>污染</w:t>
            </w:r>
          </w:p>
          <w:p w14:paraId="10618C51">
            <w:pPr>
              <w:snapToGrid w:val="0"/>
              <w:jc w:val="center"/>
              <w:rPr>
                <w:rFonts w:cs="宋体"/>
                <w:sz w:val="24"/>
              </w:rPr>
            </w:pPr>
            <w:r>
              <w:rPr>
                <w:rFonts w:hint="eastAsia" w:cs="宋体"/>
                <w:sz w:val="24"/>
              </w:rPr>
              <w:t>物排</w:t>
            </w:r>
          </w:p>
          <w:p w14:paraId="0950A737">
            <w:pPr>
              <w:snapToGrid w:val="0"/>
              <w:jc w:val="center"/>
              <w:rPr>
                <w:rFonts w:cs="宋体"/>
                <w:sz w:val="24"/>
              </w:rPr>
            </w:pPr>
            <w:r>
              <w:rPr>
                <w:rFonts w:hint="eastAsia" w:cs="宋体"/>
                <w:sz w:val="24"/>
              </w:rPr>
              <w:t>放控</w:t>
            </w:r>
          </w:p>
          <w:p w14:paraId="762BADC3">
            <w:pPr>
              <w:snapToGrid w:val="0"/>
              <w:jc w:val="center"/>
              <w:rPr>
                <w:rFonts w:cs="宋体"/>
                <w:sz w:val="24"/>
              </w:rPr>
            </w:pPr>
            <w:r>
              <w:rPr>
                <w:rFonts w:hint="eastAsia" w:cs="宋体"/>
                <w:sz w:val="24"/>
              </w:rPr>
              <w:t>制标</w:t>
            </w:r>
          </w:p>
          <w:p w14:paraId="04B6084E">
            <w:pPr>
              <w:snapToGrid w:val="0"/>
              <w:jc w:val="center"/>
              <w:rPr>
                <w:rFonts w:cs="宋体"/>
                <w:sz w:val="24"/>
              </w:rPr>
            </w:pPr>
            <w:r>
              <w:rPr>
                <w:rFonts w:hint="eastAsia" w:cs="宋体"/>
                <w:sz w:val="24"/>
              </w:rPr>
              <w:t>准</w:t>
            </w:r>
          </w:p>
        </w:tc>
        <w:tc>
          <w:tcPr>
            <w:tcW w:w="4560" w:type="pct"/>
            <w:vAlign w:val="center"/>
          </w:tcPr>
          <w:p w14:paraId="1C86EC4A">
            <w:pPr>
              <w:pStyle w:val="7"/>
            </w:pPr>
            <w:r>
              <w:rPr>
                <w:rFonts w:hint="eastAsia"/>
              </w:rPr>
              <w:t>1、大气污染物排放标准</w:t>
            </w:r>
          </w:p>
          <w:p w14:paraId="4DA09A7E">
            <w:pPr>
              <w:pStyle w:val="3"/>
              <w:ind w:firstLine="480"/>
            </w:pPr>
            <w:r>
              <w:rPr>
                <w:rFonts w:hint="eastAsia"/>
              </w:rPr>
              <w:t>（1）施工期</w:t>
            </w:r>
          </w:p>
          <w:p w14:paraId="47DE257B">
            <w:pPr>
              <w:pStyle w:val="3"/>
              <w:ind w:firstLine="480"/>
            </w:pPr>
            <w:r>
              <w:rPr>
                <w:rFonts w:hint="eastAsia"/>
              </w:rPr>
              <w:t>厂界无组织排放颗粒物执行《大气污染物综合排放标准》（GB16297-1996）“表2新污染源大气污染物排放限值”中颗粒物≤1.0mg/m³。</w:t>
            </w:r>
          </w:p>
          <w:p w14:paraId="723F1EF0">
            <w:pPr>
              <w:pStyle w:val="3"/>
              <w:ind w:firstLine="480"/>
            </w:pPr>
            <w:r>
              <w:rPr>
                <w:rFonts w:hint="eastAsia"/>
              </w:rPr>
              <w:t>（2）营运期</w:t>
            </w:r>
          </w:p>
          <w:p w14:paraId="67C7A12F">
            <w:pPr>
              <w:pStyle w:val="3"/>
              <w:ind w:firstLine="480"/>
              <w:rPr>
                <w:highlight w:val="yellow"/>
              </w:rPr>
            </w:pPr>
            <w:r>
              <w:rPr>
                <w:rFonts w:hint="eastAsia"/>
              </w:rPr>
              <w:t>颗粒物排放执行《大气污染物综合排放标准》（GB16297-1996）表2中二级标准及无组织监控浓度限值。</w:t>
            </w:r>
          </w:p>
          <w:p w14:paraId="0733149B">
            <w:pPr>
              <w:pStyle w:val="48"/>
            </w:pPr>
            <w:bookmarkStart w:id="43" w:name="_Ref192717532"/>
            <w:r>
              <w:rPr>
                <w:rFonts w:hint="eastAsia"/>
              </w:rPr>
              <w:t xml:space="preserve">表3- </w:t>
            </w:r>
            <w:r>
              <w:fldChar w:fldCharType="begin"/>
            </w:r>
            <w:r>
              <w:instrText xml:space="preserve"> </w:instrText>
            </w:r>
            <w:r>
              <w:rPr>
                <w:rFonts w:hint="eastAsia"/>
              </w:rPr>
              <w:instrText xml:space="preserve">SEQ 表3- \* ARABIC</w:instrText>
            </w:r>
            <w:r>
              <w:instrText xml:space="preserve"> </w:instrText>
            </w:r>
            <w:r>
              <w:fldChar w:fldCharType="separate"/>
            </w:r>
            <w:r>
              <w:t>6</w:t>
            </w:r>
            <w:r>
              <w:fldChar w:fldCharType="end"/>
            </w:r>
            <w:r>
              <w:rPr>
                <w:rFonts w:hint="eastAsia"/>
              </w:rPr>
              <w:t>：大气污染物排放标准</w:t>
            </w:r>
            <w:bookmarkEnd w:id="43"/>
          </w:p>
          <w:tbl>
            <w:tblPr>
              <w:tblStyle w:val="4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073"/>
              <w:gridCol w:w="1127"/>
              <w:gridCol w:w="1264"/>
              <w:gridCol w:w="1377"/>
              <w:gridCol w:w="1377"/>
              <w:gridCol w:w="1710"/>
            </w:tblGrid>
            <w:tr w14:paraId="0080B1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073" w:type="dxa"/>
                  <w:vMerge w:val="restar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704A8C8E">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污染物</w:t>
                  </w:r>
                </w:p>
              </w:tc>
              <w:tc>
                <w:tcPr>
                  <w:tcW w:w="1127" w:type="dxa"/>
                  <w:vMerge w:val="restar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76FF1B2B">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排气筒高度</w:t>
                  </w:r>
                </w:p>
              </w:tc>
              <w:tc>
                <w:tcPr>
                  <w:tcW w:w="2641" w:type="dxa"/>
                  <w:gridSpan w:val="2"/>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3DA83720">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排放标准</w:t>
                  </w:r>
                </w:p>
              </w:tc>
              <w:tc>
                <w:tcPr>
                  <w:tcW w:w="1377" w:type="dxa"/>
                  <w:vMerge w:val="restar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79579718">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无组织排放监控浓度限值（mg/m</w:t>
                  </w:r>
                  <w:r>
                    <w:rPr>
                      <w:rFonts w:hint="eastAsia" w:ascii="Times New Roman" w:hAnsi="Times New Roman" w:eastAsia="宋体" w:cs="Times New Roman"/>
                      <w:b/>
                      <w:i w:val="0"/>
                      <w:vertAlign w:val="superscript"/>
                      <w14:ligatures w14:val="standardContextual"/>
                    </w:rPr>
                    <w:t>3</w:t>
                  </w:r>
                  <w:r>
                    <w:rPr>
                      <w:rFonts w:hint="eastAsia" w:ascii="Times New Roman" w:hAnsi="Times New Roman" w:eastAsia="宋体" w:cs="Times New Roman"/>
                      <w:b/>
                      <w:i w:val="0"/>
                      <w14:ligatures w14:val="standardContextual"/>
                    </w:rPr>
                    <w:t>）</w:t>
                  </w:r>
                </w:p>
              </w:tc>
              <w:tc>
                <w:tcPr>
                  <w:tcW w:w="1710" w:type="dxa"/>
                  <w:vMerge w:val="restart"/>
                  <w:tcBorders>
                    <w:top w:val="single" w:color="auto" w:sz="12" w:space="0"/>
                    <w:bottom w:val="single" w:color="auto" w:sz="12" w:space="0"/>
                    <w:right w:val="nil"/>
                    <w:insideH w:val="single" w:sz="12" w:space="0"/>
                    <w:insideV w:val="single" w:sz="4" w:space="0"/>
                    <w:tl2br w:val="nil"/>
                    <w:tr2bl w:val="nil"/>
                  </w:tcBorders>
                  <w:vAlign w:val="center"/>
                </w:tcPr>
                <w:p w14:paraId="304C7712">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依据</w:t>
                  </w:r>
                </w:p>
              </w:tc>
            </w:tr>
            <w:tr w14:paraId="4DF5B7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073" w:type="dxa"/>
                  <w:vMerge w:val="continue"/>
                  <w:vAlign w:val="center"/>
                </w:tcPr>
                <w:p w14:paraId="64150C73">
                  <w:pPr>
                    <w:widowControl w:val="0"/>
                    <w:overflowPunct w:val="0"/>
                    <w:autoSpaceDE w:val="0"/>
                    <w:autoSpaceDN w:val="0"/>
                    <w:snapToGrid w:val="0"/>
                    <w:jc w:val="center"/>
                    <w:rPr>
                      <w14:ligatures w14:val="standardContextual"/>
                    </w:rPr>
                  </w:pPr>
                </w:p>
              </w:tc>
              <w:tc>
                <w:tcPr>
                  <w:tcW w:w="1127" w:type="dxa"/>
                  <w:vMerge w:val="continue"/>
                  <w:vAlign w:val="center"/>
                </w:tcPr>
                <w:p w14:paraId="168B719F">
                  <w:pPr>
                    <w:widowControl w:val="0"/>
                    <w:overflowPunct w:val="0"/>
                    <w:autoSpaceDE w:val="0"/>
                    <w:autoSpaceDN w:val="0"/>
                    <w:snapToGrid w:val="0"/>
                    <w:jc w:val="center"/>
                    <w:rPr>
                      <w14:ligatures w14:val="standardContextual"/>
                    </w:rPr>
                  </w:pPr>
                </w:p>
              </w:tc>
              <w:tc>
                <w:tcPr>
                  <w:tcW w:w="1264" w:type="dxa"/>
                  <w:vAlign w:val="center"/>
                </w:tcPr>
                <w:p w14:paraId="7E929788">
                  <w:pPr>
                    <w:widowControl w:val="0"/>
                    <w:overflowPunct w:val="0"/>
                    <w:autoSpaceDE w:val="0"/>
                    <w:autoSpaceDN w:val="0"/>
                    <w:snapToGrid w:val="0"/>
                    <w:jc w:val="center"/>
                    <w:rPr>
                      <w14:ligatures w14:val="standardContextual"/>
                    </w:rPr>
                  </w:pPr>
                  <w:r>
                    <w:rPr>
                      <w:rFonts w:hint="eastAsia"/>
                      <w14:ligatures w14:val="standardContextual"/>
                    </w:rPr>
                    <w:t>最高允许排放速率（kg/h）</w:t>
                  </w:r>
                </w:p>
              </w:tc>
              <w:tc>
                <w:tcPr>
                  <w:tcW w:w="1377" w:type="dxa"/>
                  <w:vAlign w:val="center"/>
                </w:tcPr>
                <w:p w14:paraId="58CC3424">
                  <w:pPr>
                    <w:widowControl w:val="0"/>
                    <w:overflowPunct w:val="0"/>
                    <w:autoSpaceDE w:val="0"/>
                    <w:autoSpaceDN w:val="0"/>
                    <w:snapToGrid w:val="0"/>
                    <w:jc w:val="center"/>
                    <w:rPr>
                      <w14:ligatures w14:val="standardContextual"/>
                    </w:rPr>
                  </w:pPr>
                  <w:r>
                    <w:rPr>
                      <w:rFonts w:hint="eastAsia"/>
                      <w14:ligatures w14:val="standardContextual"/>
                    </w:rPr>
                    <w:t>最高允许排放浓度（mg/m</w:t>
                  </w:r>
                  <w:r>
                    <w:rPr>
                      <w:rFonts w:hint="eastAsia"/>
                      <w:vertAlign w:val="superscript"/>
                      <w14:ligatures w14:val="standardContextual"/>
                    </w:rPr>
                    <w:t>3</w:t>
                  </w:r>
                  <w:r>
                    <w:rPr>
                      <w:rFonts w:hint="eastAsia"/>
                      <w14:ligatures w14:val="standardContextual"/>
                    </w:rPr>
                    <w:t>）</w:t>
                  </w:r>
                </w:p>
              </w:tc>
              <w:tc>
                <w:tcPr>
                  <w:tcW w:w="1377" w:type="dxa"/>
                  <w:vMerge w:val="continue"/>
                  <w:vAlign w:val="center"/>
                </w:tcPr>
                <w:p w14:paraId="2CF92D1C">
                  <w:pPr>
                    <w:widowControl w:val="0"/>
                    <w:overflowPunct w:val="0"/>
                    <w:autoSpaceDE w:val="0"/>
                    <w:autoSpaceDN w:val="0"/>
                    <w:snapToGrid w:val="0"/>
                    <w:jc w:val="center"/>
                    <w:rPr>
                      <w14:ligatures w14:val="standardContextual"/>
                    </w:rPr>
                  </w:pPr>
                </w:p>
              </w:tc>
              <w:tc>
                <w:tcPr>
                  <w:tcW w:w="1710" w:type="dxa"/>
                  <w:vMerge w:val="continue"/>
                  <w:vAlign w:val="center"/>
                </w:tcPr>
                <w:p w14:paraId="6E445174">
                  <w:pPr>
                    <w:widowControl w:val="0"/>
                    <w:overflowPunct w:val="0"/>
                    <w:autoSpaceDE w:val="0"/>
                    <w:autoSpaceDN w:val="0"/>
                    <w:snapToGrid w:val="0"/>
                    <w:jc w:val="center"/>
                    <w:rPr>
                      <w14:ligatures w14:val="standardContextual"/>
                    </w:rPr>
                  </w:pPr>
                </w:p>
              </w:tc>
            </w:tr>
            <w:tr w14:paraId="1EFE9A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073" w:type="dxa"/>
                  <w:vAlign w:val="center"/>
                </w:tcPr>
                <w:p w14:paraId="668E1DD7">
                  <w:pPr>
                    <w:widowControl w:val="0"/>
                    <w:overflowPunct w:val="0"/>
                    <w:autoSpaceDE w:val="0"/>
                    <w:autoSpaceDN w:val="0"/>
                    <w:snapToGrid w:val="0"/>
                    <w:jc w:val="center"/>
                    <w:rPr>
                      <w14:ligatures w14:val="standardContextual"/>
                    </w:rPr>
                  </w:pPr>
                  <w:r>
                    <w:rPr>
                      <w:rFonts w:hint="eastAsia"/>
                      <w14:ligatures w14:val="standardContextual"/>
                    </w:rPr>
                    <w:t>颗粒物</w:t>
                  </w:r>
                </w:p>
              </w:tc>
              <w:tc>
                <w:tcPr>
                  <w:tcW w:w="1127" w:type="dxa"/>
                  <w:vAlign w:val="center"/>
                </w:tcPr>
                <w:p w14:paraId="751BA79B">
                  <w:pPr>
                    <w:widowControl w:val="0"/>
                    <w:overflowPunct w:val="0"/>
                    <w:autoSpaceDE w:val="0"/>
                    <w:autoSpaceDN w:val="0"/>
                    <w:snapToGrid w:val="0"/>
                    <w:jc w:val="center"/>
                    <w:rPr>
                      <w14:ligatures w14:val="standardContextual"/>
                    </w:rPr>
                  </w:pPr>
                  <w:r>
                    <w:rPr>
                      <w:rFonts w:hint="eastAsia"/>
                      <w14:ligatures w14:val="standardContextual"/>
                    </w:rPr>
                    <w:t>15m</w:t>
                  </w:r>
                </w:p>
              </w:tc>
              <w:tc>
                <w:tcPr>
                  <w:tcW w:w="1264" w:type="dxa"/>
                  <w:vAlign w:val="center"/>
                </w:tcPr>
                <w:p w14:paraId="40F9D1BB">
                  <w:pPr>
                    <w:widowControl w:val="0"/>
                    <w:overflowPunct w:val="0"/>
                    <w:autoSpaceDE w:val="0"/>
                    <w:autoSpaceDN w:val="0"/>
                    <w:snapToGrid w:val="0"/>
                    <w:jc w:val="center"/>
                    <w:rPr>
                      <w14:ligatures w14:val="standardContextual"/>
                    </w:rPr>
                  </w:pPr>
                  <w:r>
                    <w:rPr>
                      <w:rFonts w:hint="eastAsia"/>
                      <w14:ligatures w14:val="standardContextual"/>
                    </w:rPr>
                    <w:t>3.5</w:t>
                  </w:r>
                </w:p>
              </w:tc>
              <w:tc>
                <w:tcPr>
                  <w:tcW w:w="1377" w:type="dxa"/>
                  <w:vAlign w:val="center"/>
                </w:tcPr>
                <w:p w14:paraId="4AEFC67A">
                  <w:pPr>
                    <w:widowControl w:val="0"/>
                    <w:overflowPunct w:val="0"/>
                    <w:autoSpaceDE w:val="0"/>
                    <w:autoSpaceDN w:val="0"/>
                    <w:snapToGrid w:val="0"/>
                    <w:jc w:val="center"/>
                    <w:rPr>
                      <w14:ligatures w14:val="standardContextual"/>
                    </w:rPr>
                  </w:pPr>
                  <w:r>
                    <w:rPr>
                      <w:rFonts w:hint="eastAsia"/>
                      <w14:ligatures w14:val="standardContextual"/>
                    </w:rPr>
                    <w:t>120</w:t>
                  </w:r>
                </w:p>
              </w:tc>
              <w:tc>
                <w:tcPr>
                  <w:tcW w:w="1377" w:type="dxa"/>
                  <w:vAlign w:val="center"/>
                </w:tcPr>
                <w:p w14:paraId="6B9E2476">
                  <w:pPr>
                    <w:widowControl w:val="0"/>
                    <w:overflowPunct w:val="0"/>
                    <w:autoSpaceDE w:val="0"/>
                    <w:autoSpaceDN w:val="0"/>
                    <w:snapToGrid w:val="0"/>
                    <w:jc w:val="center"/>
                    <w:rPr>
                      <w14:ligatures w14:val="standardContextual"/>
                    </w:rPr>
                  </w:pPr>
                  <w:r>
                    <w:rPr>
                      <w:rFonts w:hint="eastAsia"/>
                      <w14:ligatures w14:val="standardContextual"/>
                    </w:rPr>
                    <w:t>1.0</w:t>
                  </w:r>
                </w:p>
              </w:tc>
              <w:tc>
                <w:tcPr>
                  <w:tcW w:w="1710" w:type="dxa"/>
                  <w:vAlign w:val="center"/>
                </w:tcPr>
                <w:p w14:paraId="2CE9C385">
                  <w:pPr>
                    <w:widowControl w:val="0"/>
                    <w:overflowPunct w:val="0"/>
                    <w:autoSpaceDE w:val="0"/>
                    <w:autoSpaceDN w:val="0"/>
                    <w:snapToGrid w:val="0"/>
                    <w:jc w:val="center"/>
                    <w:rPr>
                      <w14:ligatures w14:val="standardContextual"/>
                    </w:rPr>
                  </w:pPr>
                  <w:r>
                    <w:rPr>
                      <w:rFonts w:hint="eastAsia"/>
                      <w14:ligatures w14:val="standardContextual"/>
                    </w:rPr>
                    <w:t>GB16297-1996中二级标准</w:t>
                  </w:r>
                </w:p>
              </w:tc>
            </w:tr>
          </w:tbl>
          <w:p w14:paraId="7EF6B856">
            <w:pPr>
              <w:pStyle w:val="7"/>
              <w:rPr>
                <w:highlight w:val="yellow"/>
              </w:rPr>
            </w:pPr>
            <w:r>
              <w:rPr>
                <w:rFonts w:hint="eastAsia"/>
              </w:rPr>
              <w:t>2、水污染物排放标准</w:t>
            </w:r>
          </w:p>
          <w:p w14:paraId="1713C210">
            <w:pPr>
              <w:pStyle w:val="3"/>
              <w:ind w:firstLine="480"/>
            </w:pPr>
            <w:bookmarkStart w:id="44" w:name="OLE_LINK73"/>
            <w:r>
              <w:rPr>
                <w:rFonts w:hint="eastAsia"/>
              </w:rPr>
              <w:t>项目无生产废水排放。喷雾除尘废水全部蒸发消耗无外排；车辆清洗废水经沉淀池收集沉淀后循环使用，不外排；初期雨水经沉淀池收集沉淀处理后用于场地洒水抑尘，不外排。</w:t>
            </w:r>
          </w:p>
          <w:p w14:paraId="22D30F5B">
            <w:pPr>
              <w:pStyle w:val="3"/>
              <w:ind w:firstLine="480"/>
            </w:pPr>
            <w:r>
              <w:rPr>
                <w:rFonts w:hint="eastAsia"/>
              </w:rPr>
              <w:t>生活污水经化粪池处理后排入园区市政污水管网，最终进入大榄坪污水处理厂处理，生活污水排放执行《污水综合排放标准》（GB8978-1996）三级标准及大榄坪污水处理厂纳管标准中最严标准，标准限值见</w:t>
            </w:r>
            <w:r>
              <w:fldChar w:fldCharType="begin"/>
            </w:r>
            <w:r>
              <w:instrText xml:space="preserve"> </w:instrText>
            </w:r>
            <w:r>
              <w:rPr>
                <w:rFonts w:hint="eastAsia"/>
              </w:rPr>
              <w:instrText xml:space="preserve">REF _HandyRef458487393981482 \h \* MERGEFORMAT</w:instrText>
            </w:r>
            <w:r>
              <w:instrText xml:space="preserve"> </w:instrText>
            </w:r>
            <w:r>
              <w:fldChar w:fldCharType="separate"/>
            </w:r>
            <w:r>
              <w:rPr>
                <w:rFonts w:hint="eastAsia"/>
              </w:rPr>
              <w:t xml:space="preserve">表3- </w:t>
            </w:r>
            <w:r>
              <w:t>7</w:t>
            </w:r>
            <w:r>
              <w:fldChar w:fldCharType="end"/>
            </w:r>
            <w:r>
              <w:rPr>
                <w:rFonts w:hint="eastAsia"/>
              </w:rPr>
              <w:t>。大揽平污水处理厂处理达标后通过集中排污口排放深海，大揽平污水处理厂执行《城镇污水处理厂污染物排放标准》（GB18918-2002）一级A标准。</w:t>
            </w:r>
          </w:p>
          <w:bookmarkEnd w:id="44"/>
          <w:p w14:paraId="517F9AE5">
            <w:pPr>
              <w:pStyle w:val="48"/>
            </w:pPr>
            <w:bookmarkStart w:id="45" w:name="_HandyRef458487393981482"/>
            <w:r>
              <w:rPr>
                <w:rFonts w:hint="eastAsia"/>
              </w:rPr>
              <w:t xml:space="preserve">表3- </w:t>
            </w:r>
            <w:r>
              <w:fldChar w:fldCharType="begin"/>
            </w:r>
            <w:r>
              <w:instrText xml:space="preserve"> </w:instrText>
            </w:r>
            <w:r>
              <w:rPr>
                <w:rFonts w:hint="eastAsia"/>
              </w:rPr>
              <w:instrText xml:space="preserve">SEQ 表3- \* ARABIC</w:instrText>
            </w:r>
            <w:r>
              <w:instrText xml:space="preserve"> </w:instrText>
            </w:r>
            <w:r>
              <w:fldChar w:fldCharType="separate"/>
            </w:r>
            <w:r>
              <w:t>7</w:t>
            </w:r>
            <w:r>
              <w:fldChar w:fldCharType="end"/>
            </w:r>
            <w:bookmarkEnd w:id="45"/>
            <w:r>
              <w:rPr>
                <w:rFonts w:hint="eastAsia"/>
              </w:rPr>
              <w:t>：项目废水排放标准  单位：mg/L（除pH外）</w:t>
            </w:r>
          </w:p>
          <w:tbl>
            <w:tblPr>
              <w:tblStyle w:val="4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503"/>
              <w:gridCol w:w="932"/>
              <w:gridCol w:w="902"/>
              <w:gridCol w:w="926"/>
              <w:gridCol w:w="822"/>
              <w:gridCol w:w="992"/>
              <w:gridCol w:w="1048"/>
              <w:gridCol w:w="813"/>
            </w:tblGrid>
            <w:tr w14:paraId="48605C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947" w:type="pc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5E4C2FCD">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14:ligatures w14:val="standardContextual"/>
                    </w:rPr>
                  </w:pPr>
                  <w:r>
                    <w:rPr>
                      <w:rFonts w:hint="default" w:ascii="Times New Roman" w:hAnsi="Times New Roman" w:eastAsia="宋体" w:cs="Times New Roman"/>
                      <w:b/>
                      <w:i w:val="0"/>
                      <w:snapToGrid w:val="0"/>
                      <w14:ligatures w14:val="standardContextual"/>
                    </w:rPr>
                    <w:t>污染物</w:t>
                  </w:r>
                </w:p>
              </w:tc>
              <w:tc>
                <w:tcPr>
                  <w:tcW w:w="587"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2BD2B2F3">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14:ligatures w14:val="standardContextual"/>
                    </w:rPr>
                  </w:pPr>
                  <w:r>
                    <w:rPr>
                      <w:rFonts w:hint="default" w:ascii="Times New Roman" w:hAnsi="Times New Roman" w:eastAsia="宋体" w:cs="Times New Roman"/>
                      <w:b/>
                      <w:i w:val="0"/>
                      <w:snapToGrid w:val="0"/>
                      <w14:ligatures w14:val="standardContextual"/>
                    </w:rPr>
                    <w:t>pH值</w:t>
                  </w:r>
                </w:p>
              </w:tc>
              <w:tc>
                <w:tcPr>
                  <w:tcW w:w="568"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4D27E832">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14:ligatures w14:val="standardContextual"/>
                    </w:rPr>
                  </w:pPr>
                  <w:r>
                    <w:rPr>
                      <w:rFonts w:hint="default" w:ascii="Times New Roman" w:hAnsi="Times New Roman" w:eastAsia="宋体" w:cs="Times New Roman"/>
                      <w:b/>
                      <w:i w:val="0"/>
                      <w:snapToGrid w:val="0"/>
                      <w14:ligatures w14:val="standardContextual"/>
                    </w:rPr>
                    <w:t>SS</w:t>
                  </w:r>
                </w:p>
              </w:tc>
              <w:tc>
                <w:tcPr>
                  <w:tcW w:w="583"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0F03B0CA">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14:ligatures w14:val="standardContextual"/>
                    </w:rPr>
                  </w:pPr>
                  <w:r>
                    <w:rPr>
                      <w:rFonts w:hint="default" w:ascii="Times New Roman" w:hAnsi="Times New Roman" w:eastAsia="宋体" w:cs="Times New Roman"/>
                      <w:b/>
                      <w:i w:val="0"/>
                      <w:snapToGrid w:val="0"/>
                      <w14:ligatures w14:val="standardContextual"/>
                    </w:rPr>
                    <w:t>COD</w:t>
                  </w:r>
                  <w:r>
                    <w:rPr>
                      <w:rFonts w:hint="default" w:ascii="Times New Roman" w:hAnsi="Times New Roman" w:eastAsia="宋体" w:cs="Times New Roman"/>
                      <w:b/>
                      <w:i w:val="0"/>
                      <w:snapToGrid w:val="0"/>
                      <w:vertAlign w:val="subscript"/>
                      <w14:ligatures w14:val="standardContextual"/>
                    </w:rPr>
                    <w:t>Cr</w:t>
                  </w:r>
                </w:p>
              </w:tc>
              <w:tc>
                <w:tcPr>
                  <w:tcW w:w="518"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1BA1FB12">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14:ligatures w14:val="standardContextual"/>
                    </w:rPr>
                  </w:pPr>
                  <w:r>
                    <w:rPr>
                      <w:rFonts w:hint="default" w:ascii="Times New Roman" w:hAnsi="Times New Roman" w:eastAsia="宋体" w:cs="Times New Roman"/>
                      <w:b/>
                      <w:i w:val="0"/>
                      <w:snapToGrid w:val="0"/>
                      <w14:ligatures w14:val="standardContextual"/>
                    </w:rPr>
                    <w:t>BOD</w:t>
                  </w:r>
                  <w:r>
                    <w:rPr>
                      <w:rFonts w:hint="default" w:ascii="Times New Roman" w:hAnsi="Times New Roman" w:eastAsia="宋体" w:cs="Times New Roman"/>
                      <w:b/>
                      <w:i w:val="0"/>
                      <w:snapToGrid w:val="0"/>
                      <w:vertAlign w:val="subscript"/>
                      <w14:ligatures w14:val="standardContextual"/>
                    </w:rPr>
                    <w:t>5</w:t>
                  </w:r>
                </w:p>
              </w:tc>
              <w:tc>
                <w:tcPr>
                  <w:tcW w:w="625"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3029922B">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14:ligatures w14:val="standardContextual"/>
                    </w:rPr>
                  </w:pPr>
                  <w:r>
                    <w:rPr>
                      <w:rFonts w:hint="default" w:ascii="Times New Roman" w:hAnsi="Times New Roman" w:eastAsia="宋体" w:cs="Times New Roman"/>
                      <w:b/>
                      <w:i w:val="0"/>
                      <w:snapToGrid w:val="0"/>
                      <w14:ligatures w14:val="standardContextual"/>
                    </w:rPr>
                    <w:t>NH</w:t>
                  </w:r>
                  <w:r>
                    <w:rPr>
                      <w:rFonts w:hint="default" w:ascii="Times New Roman" w:hAnsi="Times New Roman" w:eastAsia="宋体" w:cs="Times New Roman"/>
                      <w:b/>
                      <w:i w:val="0"/>
                      <w:snapToGrid w:val="0"/>
                      <w:vertAlign w:val="subscript"/>
                      <w14:ligatures w14:val="standardContextual"/>
                    </w:rPr>
                    <w:t>3</w:t>
                  </w:r>
                  <w:r>
                    <w:rPr>
                      <w:rFonts w:hint="default" w:ascii="Times New Roman" w:hAnsi="Times New Roman" w:eastAsia="宋体" w:cs="Times New Roman"/>
                      <w:b/>
                      <w:i w:val="0"/>
                      <w:snapToGrid w:val="0"/>
                      <w14:ligatures w14:val="standardContextual"/>
                    </w:rPr>
                    <w:t>-N</w:t>
                  </w:r>
                </w:p>
              </w:tc>
              <w:tc>
                <w:tcPr>
                  <w:tcW w:w="660"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45D9510A">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14:ligatures w14:val="standardContextual"/>
                    </w:rPr>
                  </w:pPr>
                  <w:r>
                    <w:rPr>
                      <w:rFonts w:hint="default" w:ascii="Times New Roman" w:hAnsi="Times New Roman" w:eastAsia="宋体" w:cs="Times New Roman"/>
                      <w:b/>
                      <w:i w:val="0"/>
                      <w:snapToGrid w:val="0"/>
                      <w14:ligatures w14:val="standardContextual"/>
                    </w:rPr>
                    <w:t>石油类</w:t>
                  </w:r>
                </w:p>
              </w:tc>
              <w:tc>
                <w:tcPr>
                  <w:tcW w:w="512" w:type="pct"/>
                  <w:tcBorders>
                    <w:top w:val="single" w:color="auto" w:sz="12" w:space="0"/>
                    <w:bottom w:val="single" w:color="auto" w:sz="12" w:space="0"/>
                    <w:right w:val="nil"/>
                    <w:insideH w:val="single" w:sz="12" w:space="0"/>
                    <w:insideV w:val="single" w:sz="4" w:space="0"/>
                    <w:tl2br w:val="nil"/>
                    <w:tr2bl w:val="nil"/>
                  </w:tcBorders>
                  <w:vAlign w:val="center"/>
                </w:tcPr>
                <w:p w14:paraId="3D06C92B">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14:ligatures w14:val="standardContextual"/>
                    </w:rPr>
                  </w:pPr>
                  <w:r>
                    <w:rPr>
                      <w:rFonts w:hint="default" w:ascii="Times New Roman" w:hAnsi="Times New Roman" w:eastAsia="宋体" w:cs="Times New Roman"/>
                      <w:b/>
                      <w:i w:val="0"/>
                      <w:snapToGrid w:val="0"/>
                      <w14:ligatures w14:val="standardContextual"/>
                    </w:rPr>
                    <w:t>TP</w:t>
                  </w:r>
                </w:p>
              </w:tc>
            </w:tr>
            <w:tr w14:paraId="16AE94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947" w:type="pct"/>
                  <w:vAlign w:val="center"/>
                </w:tcPr>
                <w:p w14:paraId="33DB9AF1">
                  <w:pPr>
                    <w:widowControl w:val="0"/>
                    <w:overflowPunct w:val="0"/>
                    <w:autoSpaceDE w:val="0"/>
                    <w:autoSpaceDN w:val="0"/>
                    <w:snapToGrid w:val="0"/>
                    <w:jc w:val="center"/>
                    <w:rPr>
                      <w:snapToGrid w:val="0"/>
                      <w14:ligatures w14:val="standardContextual"/>
                    </w:rPr>
                  </w:pPr>
                  <w:r>
                    <w:rPr>
                      <w:snapToGrid w:val="0"/>
                      <w14:ligatures w14:val="standardContextual"/>
                    </w:rPr>
                    <w:t>三级标准</w:t>
                  </w:r>
                </w:p>
              </w:tc>
              <w:tc>
                <w:tcPr>
                  <w:tcW w:w="587" w:type="pct"/>
                  <w:vAlign w:val="center"/>
                </w:tcPr>
                <w:p w14:paraId="0AD3EB44">
                  <w:pPr>
                    <w:widowControl w:val="0"/>
                    <w:overflowPunct w:val="0"/>
                    <w:autoSpaceDE w:val="0"/>
                    <w:autoSpaceDN w:val="0"/>
                    <w:snapToGrid w:val="0"/>
                    <w:jc w:val="center"/>
                    <w:rPr>
                      <w:snapToGrid w:val="0"/>
                      <w14:ligatures w14:val="standardContextual"/>
                    </w:rPr>
                  </w:pPr>
                  <w:r>
                    <w:rPr>
                      <w:snapToGrid w:val="0"/>
                      <w14:ligatures w14:val="standardContextual"/>
                    </w:rPr>
                    <w:t>6～9</w:t>
                  </w:r>
                </w:p>
              </w:tc>
              <w:tc>
                <w:tcPr>
                  <w:tcW w:w="568" w:type="pct"/>
                  <w:vAlign w:val="center"/>
                </w:tcPr>
                <w:p w14:paraId="7EF54FC3">
                  <w:pPr>
                    <w:widowControl w:val="0"/>
                    <w:overflowPunct w:val="0"/>
                    <w:autoSpaceDE w:val="0"/>
                    <w:autoSpaceDN w:val="0"/>
                    <w:snapToGrid w:val="0"/>
                    <w:jc w:val="center"/>
                    <w:rPr>
                      <w:snapToGrid w:val="0"/>
                      <w14:ligatures w14:val="standardContextual"/>
                    </w:rPr>
                  </w:pPr>
                  <w:r>
                    <w:rPr>
                      <w:snapToGrid w:val="0"/>
                      <w14:ligatures w14:val="standardContextual"/>
                    </w:rPr>
                    <w:t>400</w:t>
                  </w:r>
                </w:p>
              </w:tc>
              <w:tc>
                <w:tcPr>
                  <w:tcW w:w="583" w:type="pct"/>
                  <w:vAlign w:val="center"/>
                </w:tcPr>
                <w:p w14:paraId="2401F7A8">
                  <w:pPr>
                    <w:widowControl w:val="0"/>
                    <w:overflowPunct w:val="0"/>
                    <w:autoSpaceDE w:val="0"/>
                    <w:autoSpaceDN w:val="0"/>
                    <w:snapToGrid w:val="0"/>
                    <w:jc w:val="center"/>
                    <w:rPr>
                      <w:snapToGrid w:val="0"/>
                      <w14:ligatures w14:val="standardContextual"/>
                    </w:rPr>
                  </w:pPr>
                  <w:r>
                    <w:rPr>
                      <w:snapToGrid w:val="0"/>
                      <w14:ligatures w14:val="standardContextual"/>
                    </w:rPr>
                    <w:t>500</w:t>
                  </w:r>
                </w:p>
              </w:tc>
              <w:tc>
                <w:tcPr>
                  <w:tcW w:w="518" w:type="pct"/>
                  <w:vAlign w:val="center"/>
                </w:tcPr>
                <w:p w14:paraId="7A86BFC5">
                  <w:pPr>
                    <w:widowControl w:val="0"/>
                    <w:overflowPunct w:val="0"/>
                    <w:autoSpaceDE w:val="0"/>
                    <w:autoSpaceDN w:val="0"/>
                    <w:snapToGrid w:val="0"/>
                    <w:jc w:val="center"/>
                    <w:rPr>
                      <w:snapToGrid w:val="0"/>
                      <w14:ligatures w14:val="standardContextual"/>
                    </w:rPr>
                  </w:pPr>
                  <w:r>
                    <w:rPr>
                      <w:snapToGrid w:val="0"/>
                      <w14:ligatures w14:val="standardContextual"/>
                    </w:rPr>
                    <w:t>300</w:t>
                  </w:r>
                </w:p>
              </w:tc>
              <w:tc>
                <w:tcPr>
                  <w:tcW w:w="625" w:type="pct"/>
                  <w:vAlign w:val="center"/>
                </w:tcPr>
                <w:p w14:paraId="1E77DD4F">
                  <w:pPr>
                    <w:widowControl w:val="0"/>
                    <w:overflowPunct w:val="0"/>
                    <w:autoSpaceDE w:val="0"/>
                    <w:autoSpaceDN w:val="0"/>
                    <w:snapToGrid w:val="0"/>
                    <w:jc w:val="center"/>
                    <w:rPr>
                      <w:snapToGrid w:val="0"/>
                      <w14:ligatures w14:val="standardContextual"/>
                    </w:rPr>
                  </w:pPr>
                  <w:r>
                    <w:rPr>
                      <w:snapToGrid w:val="0"/>
                      <w14:ligatures w14:val="standardContextual"/>
                    </w:rPr>
                    <w:t>—</w:t>
                  </w:r>
                </w:p>
              </w:tc>
              <w:tc>
                <w:tcPr>
                  <w:tcW w:w="660" w:type="pct"/>
                  <w:vAlign w:val="center"/>
                </w:tcPr>
                <w:p w14:paraId="7771D32C">
                  <w:pPr>
                    <w:widowControl w:val="0"/>
                    <w:overflowPunct w:val="0"/>
                    <w:autoSpaceDE w:val="0"/>
                    <w:autoSpaceDN w:val="0"/>
                    <w:snapToGrid w:val="0"/>
                    <w:jc w:val="center"/>
                    <w:rPr>
                      <w:snapToGrid w:val="0"/>
                      <w14:ligatures w14:val="standardContextual"/>
                    </w:rPr>
                  </w:pPr>
                  <w:r>
                    <w:rPr>
                      <w:snapToGrid w:val="0"/>
                      <w14:ligatures w14:val="standardContextual"/>
                    </w:rPr>
                    <w:t>10</w:t>
                  </w:r>
                </w:p>
              </w:tc>
              <w:tc>
                <w:tcPr>
                  <w:tcW w:w="512" w:type="pct"/>
                  <w:vAlign w:val="center"/>
                </w:tcPr>
                <w:p w14:paraId="64BF3705">
                  <w:pPr>
                    <w:widowControl w:val="0"/>
                    <w:overflowPunct w:val="0"/>
                    <w:autoSpaceDE w:val="0"/>
                    <w:autoSpaceDN w:val="0"/>
                    <w:snapToGrid w:val="0"/>
                    <w:jc w:val="center"/>
                    <w:rPr>
                      <w:snapToGrid w:val="0"/>
                      <w14:ligatures w14:val="standardContextual"/>
                    </w:rPr>
                  </w:pPr>
                  <w:r>
                    <w:rPr>
                      <w:snapToGrid w:val="0"/>
                      <w14:ligatures w14:val="standardContextual"/>
                    </w:rPr>
                    <w:t>8</w:t>
                  </w:r>
                </w:p>
              </w:tc>
            </w:tr>
            <w:tr w14:paraId="757E27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947" w:type="pct"/>
                  <w:vAlign w:val="center"/>
                </w:tcPr>
                <w:p w14:paraId="427E4338">
                  <w:pPr>
                    <w:widowControl w:val="0"/>
                    <w:overflowPunct w:val="0"/>
                    <w:autoSpaceDE w:val="0"/>
                    <w:autoSpaceDN w:val="0"/>
                    <w:snapToGrid w:val="0"/>
                    <w:jc w:val="center"/>
                    <w:rPr>
                      <w:snapToGrid w:val="0"/>
                      <w14:ligatures w14:val="standardContextual"/>
                    </w:rPr>
                  </w:pPr>
                  <w:r>
                    <w:rPr>
                      <w:snapToGrid w:val="0"/>
                      <w14:ligatures w14:val="standardContextual"/>
                    </w:rPr>
                    <w:t>大榄坪污水处理厂纳管标准</w:t>
                  </w:r>
                </w:p>
              </w:tc>
              <w:tc>
                <w:tcPr>
                  <w:tcW w:w="587" w:type="pct"/>
                  <w:vAlign w:val="center"/>
                </w:tcPr>
                <w:p w14:paraId="00E5A539">
                  <w:pPr>
                    <w:widowControl w:val="0"/>
                    <w:overflowPunct w:val="0"/>
                    <w:autoSpaceDE w:val="0"/>
                    <w:autoSpaceDN w:val="0"/>
                    <w:snapToGrid w:val="0"/>
                    <w:jc w:val="center"/>
                    <w:rPr>
                      <w:snapToGrid w:val="0"/>
                      <w14:ligatures w14:val="standardContextual"/>
                    </w:rPr>
                  </w:pPr>
                  <w:r>
                    <w:rPr>
                      <w:snapToGrid w:val="0"/>
                      <w14:ligatures w14:val="standardContextual"/>
                    </w:rPr>
                    <w:t>6～9</w:t>
                  </w:r>
                </w:p>
              </w:tc>
              <w:tc>
                <w:tcPr>
                  <w:tcW w:w="568" w:type="pct"/>
                  <w:vAlign w:val="center"/>
                </w:tcPr>
                <w:p w14:paraId="05002213">
                  <w:pPr>
                    <w:widowControl w:val="0"/>
                    <w:overflowPunct w:val="0"/>
                    <w:autoSpaceDE w:val="0"/>
                    <w:autoSpaceDN w:val="0"/>
                    <w:snapToGrid w:val="0"/>
                    <w:jc w:val="center"/>
                    <w:rPr>
                      <w:snapToGrid w:val="0"/>
                      <w14:ligatures w14:val="standardContextual"/>
                    </w:rPr>
                  </w:pPr>
                  <w:r>
                    <w:rPr>
                      <w:snapToGrid w:val="0"/>
                      <w14:ligatures w14:val="standardContextual"/>
                    </w:rPr>
                    <w:t>30</w:t>
                  </w:r>
                  <w:r>
                    <w:rPr>
                      <w:rFonts w:hint="eastAsia"/>
                      <w:snapToGrid w:val="0"/>
                      <w14:ligatures w14:val="standardContextual"/>
                    </w:rPr>
                    <w:t>0</w:t>
                  </w:r>
                </w:p>
              </w:tc>
              <w:tc>
                <w:tcPr>
                  <w:tcW w:w="583" w:type="pct"/>
                  <w:vAlign w:val="center"/>
                </w:tcPr>
                <w:p w14:paraId="7127E660">
                  <w:pPr>
                    <w:widowControl w:val="0"/>
                    <w:overflowPunct w:val="0"/>
                    <w:autoSpaceDE w:val="0"/>
                    <w:autoSpaceDN w:val="0"/>
                    <w:snapToGrid w:val="0"/>
                    <w:jc w:val="center"/>
                    <w:rPr>
                      <w:snapToGrid w:val="0"/>
                      <w14:ligatures w14:val="standardContextual"/>
                    </w:rPr>
                  </w:pPr>
                  <w:r>
                    <w:rPr>
                      <w:snapToGrid w:val="0"/>
                      <w14:ligatures w14:val="standardContextual"/>
                    </w:rPr>
                    <w:t>500</w:t>
                  </w:r>
                </w:p>
              </w:tc>
              <w:tc>
                <w:tcPr>
                  <w:tcW w:w="518" w:type="pct"/>
                  <w:vAlign w:val="center"/>
                </w:tcPr>
                <w:p w14:paraId="22BDF469">
                  <w:pPr>
                    <w:widowControl w:val="0"/>
                    <w:overflowPunct w:val="0"/>
                    <w:autoSpaceDE w:val="0"/>
                    <w:autoSpaceDN w:val="0"/>
                    <w:snapToGrid w:val="0"/>
                    <w:jc w:val="center"/>
                    <w:rPr>
                      <w:snapToGrid w:val="0"/>
                      <w14:ligatures w14:val="standardContextual"/>
                    </w:rPr>
                  </w:pPr>
                  <w:r>
                    <w:rPr>
                      <w:snapToGrid w:val="0"/>
                      <w14:ligatures w14:val="standardContextual"/>
                    </w:rPr>
                    <w:t>200</w:t>
                  </w:r>
                </w:p>
              </w:tc>
              <w:tc>
                <w:tcPr>
                  <w:tcW w:w="625" w:type="pct"/>
                  <w:vAlign w:val="center"/>
                </w:tcPr>
                <w:p w14:paraId="6C561A36">
                  <w:pPr>
                    <w:widowControl w:val="0"/>
                    <w:overflowPunct w:val="0"/>
                    <w:autoSpaceDE w:val="0"/>
                    <w:autoSpaceDN w:val="0"/>
                    <w:snapToGrid w:val="0"/>
                    <w:jc w:val="center"/>
                    <w:rPr>
                      <w:snapToGrid w:val="0"/>
                      <w14:ligatures w14:val="standardContextual"/>
                    </w:rPr>
                  </w:pPr>
                  <w:r>
                    <w:rPr>
                      <w:snapToGrid w:val="0"/>
                      <w14:ligatures w14:val="standardContextual"/>
                    </w:rPr>
                    <w:t>35</w:t>
                  </w:r>
                </w:p>
              </w:tc>
              <w:tc>
                <w:tcPr>
                  <w:tcW w:w="660" w:type="pct"/>
                  <w:vAlign w:val="center"/>
                </w:tcPr>
                <w:p w14:paraId="3E38810E">
                  <w:pPr>
                    <w:widowControl w:val="0"/>
                    <w:overflowPunct w:val="0"/>
                    <w:autoSpaceDE w:val="0"/>
                    <w:autoSpaceDN w:val="0"/>
                    <w:snapToGrid w:val="0"/>
                    <w:jc w:val="center"/>
                    <w:rPr>
                      <w:snapToGrid w:val="0"/>
                      <w14:ligatures w14:val="standardContextual"/>
                    </w:rPr>
                  </w:pPr>
                  <w:r>
                    <w:rPr>
                      <w:snapToGrid w:val="0"/>
                      <w14:ligatures w14:val="standardContextual"/>
                    </w:rPr>
                    <w:t>10</w:t>
                  </w:r>
                </w:p>
              </w:tc>
              <w:tc>
                <w:tcPr>
                  <w:tcW w:w="512" w:type="pct"/>
                  <w:vAlign w:val="center"/>
                </w:tcPr>
                <w:p w14:paraId="18BBBE3F">
                  <w:pPr>
                    <w:widowControl w:val="0"/>
                    <w:overflowPunct w:val="0"/>
                    <w:autoSpaceDE w:val="0"/>
                    <w:autoSpaceDN w:val="0"/>
                    <w:snapToGrid w:val="0"/>
                    <w:jc w:val="center"/>
                    <w:rPr>
                      <w:snapToGrid w:val="0"/>
                      <w14:ligatures w14:val="standardContextual"/>
                    </w:rPr>
                  </w:pPr>
                  <w:r>
                    <w:rPr>
                      <w:snapToGrid w:val="0"/>
                      <w14:ligatures w14:val="standardContextual"/>
                    </w:rPr>
                    <w:t>4.5</w:t>
                  </w:r>
                </w:p>
              </w:tc>
            </w:tr>
            <w:tr w14:paraId="561C00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947" w:type="pct"/>
                  <w:vAlign w:val="center"/>
                </w:tcPr>
                <w:p w14:paraId="03B628C3">
                  <w:pPr>
                    <w:widowControl w:val="0"/>
                    <w:overflowPunct w:val="0"/>
                    <w:autoSpaceDE w:val="0"/>
                    <w:autoSpaceDN w:val="0"/>
                    <w:snapToGrid w:val="0"/>
                    <w:jc w:val="center"/>
                    <w:rPr>
                      <w:snapToGrid w:val="0"/>
                      <w14:ligatures w14:val="standardContextual"/>
                    </w:rPr>
                  </w:pPr>
                  <w:r>
                    <w:rPr>
                      <w:snapToGrid w:val="0"/>
                      <w14:ligatures w14:val="standardContextual"/>
                    </w:rPr>
                    <w:t>最终执行标准</w:t>
                  </w:r>
                </w:p>
              </w:tc>
              <w:tc>
                <w:tcPr>
                  <w:tcW w:w="587" w:type="pct"/>
                  <w:vAlign w:val="center"/>
                </w:tcPr>
                <w:p w14:paraId="7E468373">
                  <w:pPr>
                    <w:widowControl w:val="0"/>
                    <w:overflowPunct w:val="0"/>
                    <w:autoSpaceDE w:val="0"/>
                    <w:autoSpaceDN w:val="0"/>
                    <w:snapToGrid w:val="0"/>
                    <w:jc w:val="center"/>
                    <w:rPr>
                      <w:snapToGrid w:val="0"/>
                      <w14:ligatures w14:val="standardContextual"/>
                    </w:rPr>
                  </w:pPr>
                  <w:r>
                    <w:rPr>
                      <w:snapToGrid w:val="0"/>
                      <w14:ligatures w14:val="standardContextual"/>
                    </w:rPr>
                    <w:t>6~9</w:t>
                  </w:r>
                </w:p>
              </w:tc>
              <w:tc>
                <w:tcPr>
                  <w:tcW w:w="568" w:type="pct"/>
                  <w:vAlign w:val="center"/>
                </w:tcPr>
                <w:p w14:paraId="722DBEF9">
                  <w:pPr>
                    <w:widowControl w:val="0"/>
                    <w:overflowPunct w:val="0"/>
                    <w:autoSpaceDE w:val="0"/>
                    <w:autoSpaceDN w:val="0"/>
                    <w:snapToGrid w:val="0"/>
                    <w:jc w:val="center"/>
                    <w:rPr>
                      <w:snapToGrid w:val="0"/>
                      <w14:ligatures w14:val="standardContextual"/>
                    </w:rPr>
                  </w:pPr>
                  <w:r>
                    <w:rPr>
                      <w:snapToGrid w:val="0"/>
                      <w14:ligatures w14:val="standardContextual"/>
                    </w:rPr>
                    <w:t>300</w:t>
                  </w:r>
                </w:p>
              </w:tc>
              <w:tc>
                <w:tcPr>
                  <w:tcW w:w="583" w:type="pct"/>
                  <w:vAlign w:val="center"/>
                </w:tcPr>
                <w:p w14:paraId="60043B62">
                  <w:pPr>
                    <w:widowControl w:val="0"/>
                    <w:overflowPunct w:val="0"/>
                    <w:autoSpaceDE w:val="0"/>
                    <w:autoSpaceDN w:val="0"/>
                    <w:snapToGrid w:val="0"/>
                    <w:jc w:val="center"/>
                    <w:rPr>
                      <w:snapToGrid w:val="0"/>
                      <w14:ligatures w14:val="standardContextual"/>
                    </w:rPr>
                  </w:pPr>
                  <w:r>
                    <w:rPr>
                      <w:snapToGrid w:val="0"/>
                      <w14:ligatures w14:val="standardContextual"/>
                    </w:rPr>
                    <w:t>500</w:t>
                  </w:r>
                </w:p>
              </w:tc>
              <w:tc>
                <w:tcPr>
                  <w:tcW w:w="518" w:type="pct"/>
                  <w:vAlign w:val="center"/>
                </w:tcPr>
                <w:p w14:paraId="1D671238">
                  <w:pPr>
                    <w:widowControl w:val="0"/>
                    <w:overflowPunct w:val="0"/>
                    <w:autoSpaceDE w:val="0"/>
                    <w:autoSpaceDN w:val="0"/>
                    <w:snapToGrid w:val="0"/>
                    <w:jc w:val="center"/>
                    <w:rPr>
                      <w:snapToGrid w:val="0"/>
                      <w14:ligatures w14:val="standardContextual"/>
                    </w:rPr>
                  </w:pPr>
                  <w:r>
                    <w:rPr>
                      <w:snapToGrid w:val="0"/>
                      <w14:ligatures w14:val="standardContextual"/>
                    </w:rPr>
                    <w:t>200</w:t>
                  </w:r>
                </w:p>
              </w:tc>
              <w:tc>
                <w:tcPr>
                  <w:tcW w:w="625" w:type="pct"/>
                  <w:vAlign w:val="center"/>
                </w:tcPr>
                <w:p w14:paraId="1632AC3D">
                  <w:pPr>
                    <w:widowControl w:val="0"/>
                    <w:overflowPunct w:val="0"/>
                    <w:autoSpaceDE w:val="0"/>
                    <w:autoSpaceDN w:val="0"/>
                    <w:snapToGrid w:val="0"/>
                    <w:jc w:val="center"/>
                    <w:rPr>
                      <w:snapToGrid w:val="0"/>
                      <w14:ligatures w14:val="standardContextual"/>
                    </w:rPr>
                  </w:pPr>
                  <w:r>
                    <w:rPr>
                      <w:snapToGrid w:val="0"/>
                      <w14:ligatures w14:val="standardContextual"/>
                    </w:rPr>
                    <w:t>35</w:t>
                  </w:r>
                </w:p>
              </w:tc>
              <w:tc>
                <w:tcPr>
                  <w:tcW w:w="660" w:type="pct"/>
                  <w:vAlign w:val="center"/>
                </w:tcPr>
                <w:p w14:paraId="310654FC">
                  <w:pPr>
                    <w:widowControl w:val="0"/>
                    <w:overflowPunct w:val="0"/>
                    <w:autoSpaceDE w:val="0"/>
                    <w:autoSpaceDN w:val="0"/>
                    <w:snapToGrid w:val="0"/>
                    <w:jc w:val="center"/>
                    <w:rPr>
                      <w:snapToGrid w:val="0"/>
                      <w14:ligatures w14:val="standardContextual"/>
                    </w:rPr>
                  </w:pPr>
                  <w:r>
                    <w:rPr>
                      <w:snapToGrid w:val="0"/>
                      <w14:ligatures w14:val="standardContextual"/>
                    </w:rPr>
                    <w:t>10</w:t>
                  </w:r>
                </w:p>
              </w:tc>
              <w:tc>
                <w:tcPr>
                  <w:tcW w:w="512" w:type="pct"/>
                  <w:vAlign w:val="center"/>
                </w:tcPr>
                <w:p w14:paraId="5AF7238F">
                  <w:pPr>
                    <w:widowControl w:val="0"/>
                    <w:overflowPunct w:val="0"/>
                    <w:autoSpaceDE w:val="0"/>
                    <w:autoSpaceDN w:val="0"/>
                    <w:snapToGrid w:val="0"/>
                    <w:jc w:val="center"/>
                    <w:rPr>
                      <w:snapToGrid w:val="0"/>
                      <w14:ligatures w14:val="standardContextual"/>
                    </w:rPr>
                  </w:pPr>
                  <w:r>
                    <w:rPr>
                      <w:snapToGrid w:val="0"/>
                      <w14:ligatures w14:val="standardContextual"/>
                    </w:rPr>
                    <w:t>4.5</w:t>
                  </w:r>
                </w:p>
              </w:tc>
            </w:tr>
          </w:tbl>
          <w:p w14:paraId="0ADF2010">
            <w:pPr>
              <w:pStyle w:val="48"/>
            </w:pPr>
            <w:bookmarkStart w:id="46" w:name="_HandyRef458488683680556"/>
            <w:r>
              <w:rPr>
                <w:rFonts w:hint="eastAsia"/>
              </w:rPr>
              <w:t xml:space="preserve">表3- </w:t>
            </w:r>
            <w:r>
              <w:fldChar w:fldCharType="begin"/>
            </w:r>
            <w:r>
              <w:instrText xml:space="preserve"> </w:instrText>
            </w:r>
            <w:r>
              <w:rPr>
                <w:rFonts w:hint="eastAsia"/>
              </w:rPr>
              <w:instrText xml:space="preserve">SEQ 表3- \* ARABIC</w:instrText>
            </w:r>
            <w:r>
              <w:instrText xml:space="preserve"> </w:instrText>
            </w:r>
            <w:r>
              <w:fldChar w:fldCharType="separate"/>
            </w:r>
            <w:r>
              <w:t>8</w:t>
            </w:r>
            <w:r>
              <w:fldChar w:fldCharType="end"/>
            </w:r>
            <w:bookmarkEnd w:id="46"/>
            <w:r>
              <w:rPr>
                <w:rFonts w:hint="eastAsia"/>
              </w:rPr>
              <w:t>：城镇污水处理厂污染物排放标准一级A标准</w:t>
            </w:r>
          </w:p>
          <w:tbl>
            <w:tblPr>
              <w:tblStyle w:val="4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2716"/>
              <w:gridCol w:w="865"/>
              <w:gridCol w:w="738"/>
              <w:gridCol w:w="870"/>
              <w:gridCol w:w="805"/>
              <w:gridCol w:w="751"/>
              <w:gridCol w:w="1193"/>
            </w:tblGrid>
            <w:tr w14:paraId="213149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5" w:hRule="atLeast"/>
                <w:jc w:val="center"/>
              </w:trPr>
              <w:tc>
                <w:tcPr>
                  <w:tcW w:w="1711" w:type="pc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54892841">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14:ligatures w14:val="standardContextual"/>
                    </w:rPr>
                  </w:pPr>
                  <w:r>
                    <w:rPr>
                      <w:rFonts w:hint="eastAsia" w:ascii="Times New Roman" w:hAnsi="Times New Roman" w:eastAsia="宋体" w:cs="Times New Roman"/>
                      <w:b/>
                      <w:i w:val="0"/>
                      <w:snapToGrid w:val="0"/>
                      <w14:ligatures w14:val="standardContextual"/>
                    </w:rPr>
                    <w:t>项目</w:t>
                  </w:r>
                </w:p>
              </w:tc>
              <w:tc>
                <w:tcPr>
                  <w:tcW w:w="545"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2CDA175D">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14:ligatures w14:val="standardContextual"/>
                    </w:rPr>
                  </w:pPr>
                  <w:r>
                    <w:rPr>
                      <w:rFonts w:hint="eastAsia" w:ascii="Times New Roman" w:hAnsi="Times New Roman" w:eastAsia="宋体" w:cs="Times New Roman"/>
                      <w:b/>
                      <w:i w:val="0"/>
                      <w:snapToGrid w:val="0"/>
                      <w14:ligatures w14:val="standardContextual"/>
                    </w:rPr>
                    <w:t>pH值</w:t>
                  </w:r>
                </w:p>
              </w:tc>
              <w:tc>
                <w:tcPr>
                  <w:tcW w:w="465"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45BF04C8">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14:ligatures w14:val="standardContextual"/>
                    </w:rPr>
                  </w:pPr>
                  <w:r>
                    <w:rPr>
                      <w:rFonts w:hint="eastAsia" w:ascii="Times New Roman" w:hAnsi="Times New Roman" w:eastAsia="宋体" w:cs="Times New Roman"/>
                      <w:b/>
                      <w:i w:val="0"/>
                      <w:snapToGrid w:val="0"/>
                      <w14:ligatures w14:val="standardContextual"/>
                    </w:rPr>
                    <w:t>COD</w:t>
                  </w:r>
                </w:p>
              </w:tc>
              <w:tc>
                <w:tcPr>
                  <w:tcW w:w="548"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4C2736C3">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14:ligatures w14:val="standardContextual"/>
                    </w:rPr>
                  </w:pPr>
                  <w:r>
                    <w:rPr>
                      <w:rFonts w:hint="eastAsia" w:ascii="Times New Roman" w:hAnsi="Times New Roman" w:eastAsia="宋体" w:cs="Times New Roman"/>
                      <w:b/>
                      <w:i w:val="0"/>
                      <w:snapToGrid w:val="0"/>
                      <w14:ligatures w14:val="standardContextual"/>
                    </w:rPr>
                    <w:t>NH</w:t>
                  </w:r>
                  <w:r>
                    <w:rPr>
                      <w:rFonts w:hint="eastAsia" w:ascii="Times New Roman" w:hAnsi="Times New Roman" w:eastAsia="宋体" w:cs="Times New Roman"/>
                      <w:b/>
                      <w:i w:val="0"/>
                      <w:snapToGrid w:val="0"/>
                      <w:vertAlign w:val="subscript"/>
                      <w14:ligatures w14:val="standardContextual"/>
                    </w:rPr>
                    <w:t>3</w:t>
                  </w:r>
                  <w:r>
                    <w:rPr>
                      <w:rFonts w:hint="eastAsia" w:ascii="Times New Roman" w:hAnsi="Times New Roman" w:eastAsia="宋体" w:cs="Times New Roman"/>
                      <w:b/>
                      <w:i w:val="0"/>
                      <w:snapToGrid w:val="0"/>
                      <w14:ligatures w14:val="standardContextual"/>
                    </w:rPr>
                    <w:t>-N</w:t>
                  </w:r>
                </w:p>
              </w:tc>
              <w:tc>
                <w:tcPr>
                  <w:tcW w:w="507"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176CA2F8">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14:ligatures w14:val="standardContextual"/>
                    </w:rPr>
                  </w:pPr>
                  <w:r>
                    <w:rPr>
                      <w:rFonts w:hint="eastAsia" w:ascii="Times New Roman" w:hAnsi="Times New Roman" w:eastAsia="宋体" w:cs="Times New Roman"/>
                      <w:b/>
                      <w:i w:val="0"/>
                      <w:snapToGrid w:val="0"/>
                      <w14:ligatures w14:val="standardContextual"/>
                    </w:rPr>
                    <w:t>BOD</w:t>
                  </w:r>
                  <w:r>
                    <w:rPr>
                      <w:rFonts w:hint="eastAsia" w:ascii="Times New Roman" w:hAnsi="Times New Roman" w:eastAsia="宋体" w:cs="Times New Roman"/>
                      <w:b/>
                      <w:i w:val="0"/>
                      <w:snapToGrid w:val="0"/>
                      <w:vertAlign w:val="subscript"/>
                      <w14:ligatures w14:val="standardContextual"/>
                    </w:rPr>
                    <w:t>5</w:t>
                  </w:r>
                </w:p>
              </w:tc>
              <w:tc>
                <w:tcPr>
                  <w:tcW w:w="473"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3DB4CC8D">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14:ligatures w14:val="standardContextual"/>
                    </w:rPr>
                  </w:pPr>
                  <w:r>
                    <w:rPr>
                      <w:rFonts w:hint="eastAsia" w:ascii="Times New Roman" w:hAnsi="Times New Roman" w:eastAsia="宋体" w:cs="Times New Roman"/>
                      <w:b/>
                      <w:i w:val="0"/>
                      <w:snapToGrid w:val="0"/>
                      <w14:ligatures w14:val="standardContextual"/>
                    </w:rPr>
                    <w:t>SS</w:t>
                  </w:r>
                </w:p>
              </w:tc>
              <w:tc>
                <w:tcPr>
                  <w:tcW w:w="752" w:type="pct"/>
                  <w:tcBorders>
                    <w:top w:val="single" w:color="auto" w:sz="12" w:space="0"/>
                    <w:bottom w:val="single" w:color="auto" w:sz="12" w:space="0"/>
                    <w:right w:val="nil"/>
                    <w:insideH w:val="single" w:sz="12" w:space="0"/>
                    <w:insideV w:val="single" w:sz="4" w:space="0"/>
                    <w:tl2br w:val="nil"/>
                    <w:tr2bl w:val="nil"/>
                  </w:tcBorders>
                  <w:vAlign w:val="center"/>
                </w:tcPr>
                <w:p w14:paraId="5C180980">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14:ligatures w14:val="standardContextual"/>
                    </w:rPr>
                  </w:pPr>
                  <w:r>
                    <w:rPr>
                      <w:rFonts w:hint="eastAsia" w:ascii="Times New Roman" w:hAnsi="Times New Roman" w:eastAsia="宋体" w:cs="Times New Roman"/>
                      <w:b/>
                      <w:i w:val="0"/>
                      <w:snapToGrid w:val="0"/>
                      <w14:ligatures w14:val="standardContextual"/>
                    </w:rPr>
                    <w:t>动植物油</w:t>
                  </w:r>
                </w:p>
              </w:tc>
            </w:tr>
            <w:tr w14:paraId="3B41C8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72" w:hRule="atLeast"/>
                <w:jc w:val="center"/>
              </w:trPr>
              <w:tc>
                <w:tcPr>
                  <w:tcW w:w="1711" w:type="pct"/>
                  <w:vAlign w:val="center"/>
                </w:tcPr>
                <w:p w14:paraId="7AEC9A39">
                  <w:pPr>
                    <w:widowControl w:val="0"/>
                    <w:overflowPunct w:val="0"/>
                    <w:autoSpaceDE w:val="0"/>
                    <w:autoSpaceDN w:val="0"/>
                    <w:snapToGrid w:val="0"/>
                    <w:jc w:val="center"/>
                    <w:rPr>
                      <w:snapToGrid w:val="0"/>
                      <w14:ligatures w14:val="standardContextual"/>
                    </w:rPr>
                  </w:pPr>
                  <w:r>
                    <w:rPr>
                      <w:rFonts w:hint="eastAsia"/>
                      <w:snapToGrid w:val="0"/>
                      <w14:ligatures w14:val="standardContextual"/>
                    </w:rPr>
                    <w:t>GB18918-2002一级A标准</w:t>
                  </w:r>
                </w:p>
              </w:tc>
              <w:tc>
                <w:tcPr>
                  <w:tcW w:w="545" w:type="pct"/>
                  <w:vAlign w:val="center"/>
                </w:tcPr>
                <w:p w14:paraId="61E57A36">
                  <w:pPr>
                    <w:widowControl w:val="0"/>
                    <w:overflowPunct w:val="0"/>
                    <w:autoSpaceDE w:val="0"/>
                    <w:autoSpaceDN w:val="0"/>
                    <w:snapToGrid w:val="0"/>
                    <w:jc w:val="center"/>
                    <w:rPr>
                      <w:snapToGrid w:val="0"/>
                      <w14:ligatures w14:val="standardContextual"/>
                    </w:rPr>
                  </w:pPr>
                  <w:r>
                    <w:rPr>
                      <w:rFonts w:hint="eastAsia"/>
                      <w:snapToGrid w:val="0"/>
                      <w14:ligatures w14:val="standardContextual"/>
                    </w:rPr>
                    <w:t>6～9</w:t>
                  </w:r>
                </w:p>
              </w:tc>
              <w:tc>
                <w:tcPr>
                  <w:tcW w:w="465" w:type="pct"/>
                  <w:vAlign w:val="center"/>
                </w:tcPr>
                <w:p w14:paraId="3B8E4D0C">
                  <w:pPr>
                    <w:widowControl w:val="0"/>
                    <w:overflowPunct w:val="0"/>
                    <w:autoSpaceDE w:val="0"/>
                    <w:autoSpaceDN w:val="0"/>
                    <w:snapToGrid w:val="0"/>
                    <w:jc w:val="center"/>
                    <w:rPr>
                      <w:snapToGrid w:val="0"/>
                      <w14:ligatures w14:val="standardContextual"/>
                    </w:rPr>
                  </w:pPr>
                  <w:r>
                    <w:rPr>
                      <w:rFonts w:hint="eastAsia"/>
                      <w:snapToGrid w:val="0"/>
                      <w14:ligatures w14:val="standardContextual"/>
                    </w:rPr>
                    <w:t>50</w:t>
                  </w:r>
                </w:p>
              </w:tc>
              <w:tc>
                <w:tcPr>
                  <w:tcW w:w="548" w:type="pct"/>
                  <w:vAlign w:val="center"/>
                </w:tcPr>
                <w:p w14:paraId="5D2EA09F">
                  <w:pPr>
                    <w:widowControl w:val="0"/>
                    <w:overflowPunct w:val="0"/>
                    <w:autoSpaceDE w:val="0"/>
                    <w:autoSpaceDN w:val="0"/>
                    <w:snapToGrid w:val="0"/>
                    <w:jc w:val="center"/>
                    <w:rPr>
                      <w:snapToGrid w:val="0"/>
                      <w14:ligatures w14:val="standardContextual"/>
                    </w:rPr>
                  </w:pPr>
                  <w:r>
                    <w:rPr>
                      <w:rFonts w:hint="eastAsia"/>
                      <w:snapToGrid w:val="0"/>
                      <w14:ligatures w14:val="standardContextual"/>
                    </w:rPr>
                    <w:t>5</w:t>
                  </w:r>
                </w:p>
              </w:tc>
              <w:tc>
                <w:tcPr>
                  <w:tcW w:w="507" w:type="pct"/>
                  <w:vAlign w:val="center"/>
                </w:tcPr>
                <w:p w14:paraId="60D4D6BE">
                  <w:pPr>
                    <w:widowControl w:val="0"/>
                    <w:overflowPunct w:val="0"/>
                    <w:autoSpaceDE w:val="0"/>
                    <w:autoSpaceDN w:val="0"/>
                    <w:snapToGrid w:val="0"/>
                    <w:jc w:val="center"/>
                    <w:rPr>
                      <w:snapToGrid w:val="0"/>
                      <w14:ligatures w14:val="standardContextual"/>
                    </w:rPr>
                  </w:pPr>
                  <w:r>
                    <w:rPr>
                      <w:rFonts w:hint="eastAsia"/>
                      <w:snapToGrid w:val="0"/>
                      <w14:ligatures w14:val="standardContextual"/>
                    </w:rPr>
                    <w:t>10</w:t>
                  </w:r>
                </w:p>
              </w:tc>
              <w:tc>
                <w:tcPr>
                  <w:tcW w:w="473" w:type="pct"/>
                  <w:vAlign w:val="center"/>
                </w:tcPr>
                <w:p w14:paraId="603F0ED6">
                  <w:pPr>
                    <w:widowControl w:val="0"/>
                    <w:overflowPunct w:val="0"/>
                    <w:autoSpaceDE w:val="0"/>
                    <w:autoSpaceDN w:val="0"/>
                    <w:snapToGrid w:val="0"/>
                    <w:jc w:val="center"/>
                    <w:rPr>
                      <w:snapToGrid w:val="0"/>
                      <w14:ligatures w14:val="standardContextual"/>
                    </w:rPr>
                  </w:pPr>
                  <w:r>
                    <w:rPr>
                      <w:rFonts w:hint="eastAsia"/>
                      <w:snapToGrid w:val="0"/>
                      <w14:ligatures w14:val="standardContextual"/>
                    </w:rPr>
                    <w:t>10</w:t>
                  </w:r>
                </w:p>
              </w:tc>
              <w:tc>
                <w:tcPr>
                  <w:tcW w:w="752" w:type="pct"/>
                  <w:vAlign w:val="center"/>
                </w:tcPr>
                <w:p w14:paraId="6E292372">
                  <w:pPr>
                    <w:widowControl w:val="0"/>
                    <w:overflowPunct w:val="0"/>
                    <w:autoSpaceDE w:val="0"/>
                    <w:autoSpaceDN w:val="0"/>
                    <w:snapToGrid w:val="0"/>
                    <w:jc w:val="center"/>
                    <w:rPr>
                      <w:snapToGrid w:val="0"/>
                      <w14:ligatures w14:val="standardContextual"/>
                    </w:rPr>
                  </w:pPr>
                  <w:r>
                    <w:rPr>
                      <w:rFonts w:hint="eastAsia"/>
                      <w:snapToGrid w:val="0"/>
                      <w14:ligatures w14:val="standardContextual"/>
                    </w:rPr>
                    <w:t>1</w:t>
                  </w:r>
                </w:p>
              </w:tc>
            </w:tr>
          </w:tbl>
          <w:p w14:paraId="3B74A56C">
            <w:pPr>
              <w:pStyle w:val="63"/>
              <w:spacing w:after="120"/>
            </w:pPr>
            <w:r>
              <w:rPr>
                <w:rFonts w:hint="eastAsia"/>
              </w:rPr>
              <w:t>备注：单位：mg/L，除pH外。</w:t>
            </w:r>
          </w:p>
          <w:p w14:paraId="140B2AB0">
            <w:pPr>
              <w:pStyle w:val="7"/>
            </w:pPr>
            <w:r>
              <w:rPr>
                <w:rFonts w:hint="eastAsia"/>
              </w:rPr>
              <w:t>3、噪声排放标准</w:t>
            </w:r>
          </w:p>
          <w:p w14:paraId="0B717051">
            <w:pPr>
              <w:pStyle w:val="3"/>
              <w:ind w:firstLine="480"/>
            </w:pPr>
            <w:r>
              <w:rPr>
                <w:rFonts w:hint="eastAsia"/>
              </w:rPr>
              <w:t>项目施工期场界噪声排放执行《建筑施工场界环境噪声排放标准》（GB12523-2011）中表1标准；</w:t>
            </w:r>
          </w:p>
          <w:p w14:paraId="19EE86C1">
            <w:pPr>
              <w:pStyle w:val="3"/>
              <w:ind w:firstLine="480"/>
            </w:pPr>
            <w:r>
              <w:rPr>
                <w:rFonts w:hint="eastAsia"/>
              </w:rPr>
              <w:t>项目运营期厂界噪声执行《工业企业厂界环境噪声排放标准》（GB12348-2008）中的3类标准值。</w:t>
            </w:r>
          </w:p>
          <w:p w14:paraId="6EB45DD9">
            <w:pPr>
              <w:pStyle w:val="3"/>
              <w:ind w:firstLine="480"/>
            </w:pPr>
            <w:r>
              <w:rPr>
                <w:rFonts w:hint="eastAsia"/>
              </w:rPr>
              <w:t>具体标准值见下表。</w:t>
            </w:r>
          </w:p>
          <w:p w14:paraId="18812F77">
            <w:pPr>
              <w:pStyle w:val="48"/>
            </w:pPr>
            <w:bookmarkStart w:id="47" w:name="OLE_LINK218"/>
            <w:r>
              <w:rPr>
                <w:rFonts w:hint="eastAsia"/>
              </w:rPr>
              <w:t xml:space="preserve">表3- </w:t>
            </w:r>
            <w:r>
              <w:fldChar w:fldCharType="begin"/>
            </w:r>
            <w:r>
              <w:instrText xml:space="preserve"> </w:instrText>
            </w:r>
            <w:r>
              <w:rPr>
                <w:rFonts w:hint="eastAsia"/>
              </w:rPr>
              <w:instrText xml:space="preserve">SEQ 表3- \* ARABIC</w:instrText>
            </w:r>
            <w:r>
              <w:instrText xml:space="preserve"> </w:instrText>
            </w:r>
            <w:r>
              <w:fldChar w:fldCharType="separate"/>
            </w:r>
            <w:r>
              <w:t>9</w:t>
            </w:r>
            <w:r>
              <w:fldChar w:fldCharType="end"/>
            </w:r>
            <w:r>
              <w:rPr>
                <w:rFonts w:hint="eastAsia"/>
              </w:rPr>
              <w:t>：</w:t>
            </w:r>
            <w:bookmarkEnd w:id="47"/>
            <w:r>
              <w:rPr>
                <w:rFonts w:hint="eastAsia"/>
              </w:rPr>
              <w:t>项目厂界噪声标准值  单位dB（A）</w:t>
            </w:r>
          </w:p>
          <w:tbl>
            <w:tblPr>
              <w:tblStyle w:val="20"/>
              <w:tblW w:w="79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715"/>
              <w:gridCol w:w="706"/>
              <w:gridCol w:w="706"/>
              <w:gridCol w:w="1272"/>
              <w:gridCol w:w="3539"/>
            </w:tblGrid>
            <w:tr w14:paraId="792404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80" w:type="pct"/>
                  <w:tcBorders>
                    <w:top w:val="single" w:color="auto" w:sz="12" w:space="0"/>
                    <w:left w:val="nil"/>
                    <w:bottom w:val="single" w:color="auto" w:sz="12" w:space="0"/>
                    <w:right w:val="single" w:color="auto" w:sz="4" w:space="0"/>
                    <w:tl2br w:val="nil"/>
                    <w:tr2bl w:val="nil"/>
                  </w:tcBorders>
                  <w:shd w:val="clear" w:color="auto" w:fill="auto"/>
                  <w:vAlign w:val="center"/>
                </w:tcPr>
                <w:p w14:paraId="2F06B5C8">
                  <w:pPr>
                    <w:widowControl w:val="0"/>
                    <w:overflowPunct w:val="0"/>
                    <w:autoSpaceDE w:val="0"/>
                    <w:autoSpaceDN w:val="0"/>
                    <w:snapToGrid w:val="0"/>
                    <w:jc w:val="center"/>
                    <w:rPr>
                      <w:b/>
                      <w:snapToGrid w:val="0"/>
                    </w:rPr>
                  </w:pPr>
                  <w:r>
                    <w:rPr>
                      <w:b/>
                      <w:snapToGrid w:val="0"/>
                    </w:rPr>
                    <w:t>类别</w:t>
                  </w:r>
                </w:p>
              </w:tc>
              <w:tc>
                <w:tcPr>
                  <w:tcW w:w="890" w:type="pct"/>
                  <w:gridSpan w:val="2"/>
                  <w:tcBorders>
                    <w:top w:val="single" w:color="auto" w:sz="12" w:space="0"/>
                    <w:left w:val="single" w:color="auto" w:sz="4" w:space="0"/>
                    <w:bottom w:val="single" w:color="auto" w:sz="12" w:space="0"/>
                    <w:right w:val="single" w:color="auto" w:sz="4" w:space="0"/>
                    <w:tl2br w:val="nil"/>
                    <w:tr2bl w:val="nil"/>
                  </w:tcBorders>
                  <w:shd w:val="clear" w:color="auto" w:fill="auto"/>
                  <w:vAlign w:val="center"/>
                </w:tcPr>
                <w:p w14:paraId="2F78936C">
                  <w:pPr>
                    <w:widowControl w:val="0"/>
                    <w:overflowPunct w:val="0"/>
                    <w:autoSpaceDE w:val="0"/>
                    <w:autoSpaceDN w:val="0"/>
                    <w:snapToGrid w:val="0"/>
                    <w:jc w:val="center"/>
                    <w:rPr>
                      <w:b/>
                      <w:snapToGrid w:val="0"/>
                    </w:rPr>
                  </w:pPr>
                  <w:r>
                    <w:rPr>
                      <w:b/>
                      <w:snapToGrid w:val="0"/>
                    </w:rPr>
                    <w:t>污染物名称</w:t>
                  </w:r>
                </w:p>
              </w:tc>
              <w:tc>
                <w:tcPr>
                  <w:tcW w:w="801" w:type="pct"/>
                  <w:tcBorders>
                    <w:top w:val="single" w:color="auto" w:sz="12" w:space="0"/>
                    <w:left w:val="single" w:color="auto" w:sz="4" w:space="0"/>
                    <w:bottom w:val="single" w:color="auto" w:sz="12" w:space="0"/>
                    <w:right w:val="single" w:color="auto" w:sz="4" w:space="0"/>
                    <w:tl2br w:val="nil"/>
                    <w:tr2bl w:val="nil"/>
                  </w:tcBorders>
                  <w:shd w:val="clear" w:color="auto" w:fill="auto"/>
                  <w:vAlign w:val="center"/>
                </w:tcPr>
                <w:p w14:paraId="3FBC60F0">
                  <w:pPr>
                    <w:widowControl w:val="0"/>
                    <w:overflowPunct w:val="0"/>
                    <w:autoSpaceDE w:val="0"/>
                    <w:autoSpaceDN w:val="0"/>
                    <w:snapToGrid w:val="0"/>
                    <w:jc w:val="center"/>
                    <w:rPr>
                      <w:b/>
                      <w:snapToGrid w:val="0"/>
                    </w:rPr>
                  </w:pPr>
                  <w:r>
                    <w:rPr>
                      <w:b/>
                      <w:snapToGrid w:val="0"/>
                    </w:rPr>
                    <w:t>标准限值</w:t>
                  </w:r>
                </w:p>
              </w:tc>
              <w:tc>
                <w:tcPr>
                  <w:tcW w:w="2229" w:type="pct"/>
                  <w:tcBorders>
                    <w:top w:val="single" w:color="auto" w:sz="12" w:space="0"/>
                    <w:left w:val="single" w:color="auto" w:sz="4" w:space="0"/>
                    <w:bottom w:val="single" w:color="auto" w:sz="12" w:space="0"/>
                    <w:right w:val="nil"/>
                    <w:tl2br w:val="nil"/>
                    <w:tr2bl w:val="nil"/>
                  </w:tcBorders>
                  <w:shd w:val="clear" w:color="auto" w:fill="auto"/>
                  <w:vAlign w:val="center"/>
                </w:tcPr>
                <w:p w14:paraId="38DFB4B3">
                  <w:pPr>
                    <w:widowControl w:val="0"/>
                    <w:overflowPunct w:val="0"/>
                    <w:autoSpaceDE w:val="0"/>
                    <w:autoSpaceDN w:val="0"/>
                    <w:snapToGrid w:val="0"/>
                    <w:jc w:val="center"/>
                    <w:rPr>
                      <w:b/>
                      <w:snapToGrid w:val="0"/>
                    </w:rPr>
                  </w:pPr>
                  <w:r>
                    <w:rPr>
                      <w:b/>
                      <w:snapToGrid w:val="0"/>
                    </w:rPr>
                    <w:t>来源</w:t>
                  </w:r>
                </w:p>
              </w:tc>
            </w:tr>
            <w:tr w14:paraId="1CF8F4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80" w:type="pct"/>
                  <w:vMerge w:val="restart"/>
                  <w:shd w:val="clear" w:color="auto" w:fill="auto"/>
                  <w:vAlign w:val="center"/>
                </w:tcPr>
                <w:p w14:paraId="75DBFB02">
                  <w:pPr>
                    <w:widowControl w:val="0"/>
                    <w:overflowPunct w:val="0"/>
                    <w:autoSpaceDE w:val="0"/>
                    <w:autoSpaceDN w:val="0"/>
                    <w:snapToGrid w:val="0"/>
                    <w:jc w:val="center"/>
                    <w:rPr>
                      <w:snapToGrid w:val="0"/>
                    </w:rPr>
                  </w:pPr>
                  <w:r>
                    <w:rPr>
                      <w:rFonts w:hint="eastAsia"/>
                      <w:snapToGrid w:val="0"/>
                    </w:rPr>
                    <w:t>施工期厂界噪声</w:t>
                  </w:r>
                </w:p>
              </w:tc>
              <w:tc>
                <w:tcPr>
                  <w:tcW w:w="445" w:type="pct"/>
                  <w:vMerge w:val="restart"/>
                  <w:shd w:val="clear" w:color="auto" w:fill="auto"/>
                  <w:vAlign w:val="center"/>
                </w:tcPr>
                <w:p w14:paraId="133982D3">
                  <w:pPr>
                    <w:widowControl w:val="0"/>
                    <w:overflowPunct w:val="0"/>
                    <w:autoSpaceDE w:val="0"/>
                    <w:autoSpaceDN w:val="0"/>
                    <w:snapToGrid w:val="0"/>
                    <w:jc w:val="center"/>
                  </w:pPr>
                  <w:r>
                    <w:t>等效A声级</w:t>
                  </w:r>
                </w:p>
              </w:tc>
              <w:tc>
                <w:tcPr>
                  <w:tcW w:w="445" w:type="pct"/>
                  <w:shd w:val="clear" w:color="auto" w:fill="auto"/>
                  <w:vAlign w:val="center"/>
                </w:tcPr>
                <w:p w14:paraId="205C9F50">
                  <w:pPr>
                    <w:widowControl w:val="0"/>
                    <w:overflowPunct w:val="0"/>
                    <w:autoSpaceDE w:val="0"/>
                    <w:autoSpaceDN w:val="0"/>
                    <w:snapToGrid w:val="0"/>
                    <w:jc w:val="center"/>
                  </w:pPr>
                  <w:r>
                    <w:t>昼间</w:t>
                  </w:r>
                </w:p>
              </w:tc>
              <w:tc>
                <w:tcPr>
                  <w:tcW w:w="801" w:type="pct"/>
                  <w:shd w:val="clear" w:color="auto" w:fill="auto"/>
                  <w:vAlign w:val="center"/>
                </w:tcPr>
                <w:p w14:paraId="1C587E8E">
                  <w:pPr>
                    <w:widowControl w:val="0"/>
                    <w:overflowPunct w:val="0"/>
                    <w:autoSpaceDE w:val="0"/>
                    <w:autoSpaceDN w:val="0"/>
                    <w:snapToGrid w:val="0"/>
                    <w:jc w:val="center"/>
                  </w:pPr>
                  <w:r>
                    <w:rPr>
                      <w:rFonts w:hint="eastAsia"/>
                    </w:rPr>
                    <w:t>70</w:t>
                  </w:r>
                </w:p>
              </w:tc>
              <w:tc>
                <w:tcPr>
                  <w:tcW w:w="2229" w:type="pct"/>
                  <w:vMerge w:val="restart"/>
                  <w:shd w:val="clear" w:color="auto" w:fill="auto"/>
                  <w:vAlign w:val="center"/>
                </w:tcPr>
                <w:p w14:paraId="09FBD3CC">
                  <w:pPr>
                    <w:widowControl w:val="0"/>
                    <w:overflowPunct w:val="0"/>
                    <w:autoSpaceDE w:val="0"/>
                    <w:autoSpaceDN w:val="0"/>
                    <w:snapToGrid w:val="0"/>
                    <w:jc w:val="center"/>
                    <w:rPr>
                      <w:snapToGrid w:val="0"/>
                    </w:rPr>
                  </w:pPr>
                  <w:r>
                    <w:rPr>
                      <w:rFonts w:hint="eastAsia"/>
                      <w:snapToGrid w:val="0"/>
                    </w:rPr>
                    <w:t>《建筑施工场界环境噪声排放标准》（GB12523-2011）中表1</w:t>
                  </w:r>
                </w:p>
              </w:tc>
            </w:tr>
            <w:tr w14:paraId="4179D2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80" w:type="pct"/>
                  <w:vMerge w:val="continue"/>
                  <w:shd w:val="clear" w:color="auto" w:fill="auto"/>
                  <w:vAlign w:val="center"/>
                </w:tcPr>
                <w:p w14:paraId="15BB5B1B">
                  <w:pPr>
                    <w:widowControl w:val="0"/>
                    <w:overflowPunct w:val="0"/>
                    <w:autoSpaceDE w:val="0"/>
                    <w:autoSpaceDN w:val="0"/>
                    <w:snapToGrid w:val="0"/>
                    <w:jc w:val="center"/>
                    <w:rPr>
                      <w:snapToGrid w:val="0"/>
                    </w:rPr>
                  </w:pPr>
                </w:p>
              </w:tc>
              <w:tc>
                <w:tcPr>
                  <w:tcW w:w="445" w:type="pct"/>
                  <w:vMerge w:val="continue"/>
                  <w:shd w:val="clear" w:color="auto" w:fill="auto"/>
                  <w:vAlign w:val="center"/>
                </w:tcPr>
                <w:p w14:paraId="4FA2D39B">
                  <w:pPr>
                    <w:widowControl w:val="0"/>
                    <w:overflowPunct w:val="0"/>
                    <w:autoSpaceDE w:val="0"/>
                    <w:autoSpaceDN w:val="0"/>
                    <w:snapToGrid w:val="0"/>
                    <w:jc w:val="center"/>
                  </w:pPr>
                </w:p>
              </w:tc>
              <w:tc>
                <w:tcPr>
                  <w:tcW w:w="445" w:type="pct"/>
                  <w:shd w:val="clear" w:color="auto" w:fill="auto"/>
                  <w:vAlign w:val="center"/>
                </w:tcPr>
                <w:p w14:paraId="349CAF03">
                  <w:pPr>
                    <w:widowControl w:val="0"/>
                    <w:overflowPunct w:val="0"/>
                    <w:autoSpaceDE w:val="0"/>
                    <w:autoSpaceDN w:val="0"/>
                    <w:snapToGrid w:val="0"/>
                    <w:jc w:val="center"/>
                  </w:pPr>
                  <w:r>
                    <w:t>夜间</w:t>
                  </w:r>
                </w:p>
              </w:tc>
              <w:tc>
                <w:tcPr>
                  <w:tcW w:w="801" w:type="pct"/>
                  <w:shd w:val="clear" w:color="auto" w:fill="auto"/>
                  <w:vAlign w:val="center"/>
                </w:tcPr>
                <w:p w14:paraId="79F2C76D">
                  <w:pPr>
                    <w:widowControl w:val="0"/>
                    <w:overflowPunct w:val="0"/>
                    <w:autoSpaceDE w:val="0"/>
                    <w:autoSpaceDN w:val="0"/>
                    <w:snapToGrid w:val="0"/>
                    <w:jc w:val="center"/>
                  </w:pPr>
                  <w:r>
                    <w:rPr>
                      <w:rFonts w:hint="eastAsia"/>
                    </w:rPr>
                    <w:t>55</w:t>
                  </w:r>
                </w:p>
              </w:tc>
              <w:tc>
                <w:tcPr>
                  <w:tcW w:w="2229" w:type="pct"/>
                  <w:vMerge w:val="continue"/>
                  <w:shd w:val="clear" w:color="auto" w:fill="auto"/>
                  <w:vAlign w:val="center"/>
                </w:tcPr>
                <w:p w14:paraId="71D9896B">
                  <w:pPr>
                    <w:widowControl w:val="0"/>
                    <w:overflowPunct w:val="0"/>
                    <w:autoSpaceDE w:val="0"/>
                    <w:autoSpaceDN w:val="0"/>
                    <w:snapToGrid w:val="0"/>
                    <w:jc w:val="center"/>
                    <w:rPr>
                      <w:snapToGrid w:val="0"/>
                    </w:rPr>
                  </w:pPr>
                </w:p>
              </w:tc>
            </w:tr>
            <w:tr w14:paraId="63E284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80" w:type="pct"/>
                  <w:vMerge w:val="restart"/>
                  <w:shd w:val="clear" w:color="auto" w:fill="auto"/>
                  <w:vAlign w:val="center"/>
                </w:tcPr>
                <w:p w14:paraId="798FF8E3">
                  <w:pPr>
                    <w:widowControl w:val="0"/>
                    <w:overflowPunct w:val="0"/>
                    <w:autoSpaceDE w:val="0"/>
                    <w:autoSpaceDN w:val="0"/>
                    <w:snapToGrid w:val="0"/>
                    <w:jc w:val="center"/>
                    <w:rPr>
                      <w:snapToGrid w:val="0"/>
                    </w:rPr>
                  </w:pPr>
                  <w:r>
                    <w:rPr>
                      <w:rFonts w:hint="eastAsia"/>
                      <w:snapToGrid w:val="0"/>
                    </w:rPr>
                    <w:t>运营期</w:t>
                  </w:r>
                  <w:r>
                    <w:rPr>
                      <w:snapToGrid w:val="0"/>
                    </w:rPr>
                    <w:t>厂界噪声</w:t>
                  </w:r>
                </w:p>
              </w:tc>
              <w:tc>
                <w:tcPr>
                  <w:tcW w:w="445" w:type="pct"/>
                  <w:vMerge w:val="restart"/>
                  <w:shd w:val="clear" w:color="auto" w:fill="auto"/>
                  <w:vAlign w:val="center"/>
                </w:tcPr>
                <w:p w14:paraId="234C121B">
                  <w:pPr>
                    <w:widowControl w:val="0"/>
                    <w:overflowPunct w:val="0"/>
                    <w:autoSpaceDE w:val="0"/>
                    <w:autoSpaceDN w:val="0"/>
                    <w:snapToGrid w:val="0"/>
                    <w:jc w:val="center"/>
                  </w:pPr>
                  <w:r>
                    <w:t>等效A声级</w:t>
                  </w:r>
                </w:p>
              </w:tc>
              <w:tc>
                <w:tcPr>
                  <w:tcW w:w="445" w:type="pct"/>
                  <w:shd w:val="clear" w:color="auto" w:fill="auto"/>
                  <w:vAlign w:val="center"/>
                </w:tcPr>
                <w:p w14:paraId="385F502E">
                  <w:pPr>
                    <w:widowControl w:val="0"/>
                    <w:overflowPunct w:val="0"/>
                    <w:autoSpaceDE w:val="0"/>
                    <w:autoSpaceDN w:val="0"/>
                    <w:snapToGrid w:val="0"/>
                    <w:jc w:val="center"/>
                    <w:rPr>
                      <w:snapToGrid w:val="0"/>
                    </w:rPr>
                  </w:pPr>
                  <w:r>
                    <w:t>昼间</w:t>
                  </w:r>
                </w:p>
              </w:tc>
              <w:tc>
                <w:tcPr>
                  <w:tcW w:w="801" w:type="pct"/>
                  <w:shd w:val="clear" w:color="auto" w:fill="auto"/>
                  <w:vAlign w:val="center"/>
                </w:tcPr>
                <w:p w14:paraId="3B93BB4B">
                  <w:pPr>
                    <w:widowControl w:val="0"/>
                    <w:overflowPunct w:val="0"/>
                    <w:autoSpaceDE w:val="0"/>
                    <w:autoSpaceDN w:val="0"/>
                    <w:snapToGrid w:val="0"/>
                    <w:jc w:val="center"/>
                    <w:rPr>
                      <w:snapToGrid w:val="0"/>
                    </w:rPr>
                  </w:pPr>
                  <w:r>
                    <w:rPr>
                      <w:rFonts w:hint="eastAsia"/>
                    </w:rPr>
                    <w:t>65</w:t>
                  </w:r>
                </w:p>
              </w:tc>
              <w:tc>
                <w:tcPr>
                  <w:tcW w:w="2229" w:type="pct"/>
                  <w:vMerge w:val="restart"/>
                  <w:shd w:val="clear" w:color="auto" w:fill="auto"/>
                  <w:vAlign w:val="center"/>
                </w:tcPr>
                <w:p w14:paraId="2D850A22">
                  <w:pPr>
                    <w:widowControl w:val="0"/>
                    <w:overflowPunct w:val="0"/>
                    <w:autoSpaceDE w:val="0"/>
                    <w:autoSpaceDN w:val="0"/>
                    <w:snapToGrid w:val="0"/>
                    <w:jc w:val="center"/>
                    <w:rPr>
                      <w:snapToGrid w:val="0"/>
                    </w:rPr>
                  </w:pPr>
                  <w:r>
                    <w:rPr>
                      <w:snapToGrid w:val="0"/>
                    </w:rPr>
                    <w:t>《工业企业厂界环境噪声排放标准》（GB12348-2008）</w:t>
                  </w:r>
                  <w:r>
                    <w:rPr>
                      <w:rFonts w:hint="eastAsia"/>
                      <w:snapToGrid w:val="0"/>
                    </w:rPr>
                    <w:t>3</w:t>
                  </w:r>
                  <w:r>
                    <w:rPr>
                      <w:snapToGrid w:val="0"/>
                    </w:rPr>
                    <w:t>类标准</w:t>
                  </w:r>
                </w:p>
              </w:tc>
            </w:tr>
            <w:tr w14:paraId="0908F1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80" w:type="pct"/>
                  <w:vMerge w:val="continue"/>
                  <w:shd w:val="clear" w:color="auto" w:fill="auto"/>
                  <w:vAlign w:val="center"/>
                </w:tcPr>
                <w:p w14:paraId="0408E83F">
                  <w:pPr>
                    <w:widowControl w:val="0"/>
                    <w:overflowPunct w:val="0"/>
                    <w:autoSpaceDE w:val="0"/>
                    <w:autoSpaceDN w:val="0"/>
                    <w:snapToGrid w:val="0"/>
                    <w:jc w:val="center"/>
                    <w:rPr>
                      <w:snapToGrid w:val="0"/>
                    </w:rPr>
                  </w:pPr>
                </w:p>
              </w:tc>
              <w:tc>
                <w:tcPr>
                  <w:tcW w:w="445" w:type="pct"/>
                  <w:vMerge w:val="continue"/>
                  <w:shd w:val="clear" w:color="auto" w:fill="auto"/>
                  <w:vAlign w:val="center"/>
                </w:tcPr>
                <w:p w14:paraId="64C274FA">
                  <w:pPr>
                    <w:widowControl w:val="0"/>
                    <w:overflowPunct w:val="0"/>
                    <w:autoSpaceDE w:val="0"/>
                    <w:autoSpaceDN w:val="0"/>
                    <w:snapToGrid w:val="0"/>
                    <w:jc w:val="center"/>
                  </w:pPr>
                </w:p>
              </w:tc>
              <w:tc>
                <w:tcPr>
                  <w:tcW w:w="445" w:type="pct"/>
                  <w:shd w:val="clear" w:color="auto" w:fill="auto"/>
                  <w:vAlign w:val="center"/>
                </w:tcPr>
                <w:p w14:paraId="130E8E96">
                  <w:pPr>
                    <w:widowControl w:val="0"/>
                    <w:overflowPunct w:val="0"/>
                    <w:autoSpaceDE w:val="0"/>
                    <w:autoSpaceDN w:val="0"/>
                    <w:snapToGrid w:val="0"/>
                    <w:jc w:val="center"/>
                    <w:rPr>
                      <w:snapToGrid w:val="0"/>
                    </w:rPr>
                  </w:pPr>
                  <w:r>
                    <w:t>夜间</w:t>
                  </w:r>
                </w:p>
              </w:tc>
              <w:tc>
                <w:tcPr>
                  <w:tcW w:w="801" w:type="pct"/>
                  <w:shd w:val="clear" w:color="auto" w:fill="auto"/>
                  <w:vAlign w:val="center"/>
                </w:tcPr>
                <w:p w14:paraId="3080DC52">
                  <w:pPr>
                    <w:widowControl w:val="0"/>
                    <w:overflowPunct w:val="0"/>
                    <w:autoSpaceDE w:val="0"/>
                    <w:autoSpaceDN w:val="0"/>
                    <w:snapToGrid w:val="0"/>
                    <w:jc w:val="center"/>
                    <w:rPr>
                      <w:snapToGrid w:val="0"/>
                    </w:rPr>
                  </w:pPr>
                  <w:r>
                    <w:rPr>
                      <w:rFonts w:hint="eastAsia"/>
                    </w:rPr>
                    <w:t>55</w:t>
                  </w:r>
                </w:p>
              </w:tc>
              <w:tc>
                <w:tcPr>
                  <w:tcW w:w="2229" w:type="pct"/>
                  <w:vMerge w:val="continue"/>
                  <w:shd w:val="clear" w:color="auto" w:fill="auto"/>
                  <w:vAlign w:val="center"/>
                </w:tcPr>
                <w:p w14:paraId="5A9108BC">
                  <w:pPr>
                    <w:widowControl w:val="0"/>
                    <w:overflowPunct w:val="0"/>
                    <w:autoSpaceDE w:val="0"/>
                    <w:autoSpaceDN w:val="0"/>
                    <w:snapToGrid w:val="0"/>
                    <w:jc w:val="center"/>
                    <w:rPr>
                      <w:snapToGrid w:val="0"/>
                    </w:rPr>
                  </w:pPr>
                </w:p>
              </w:tc>
            </w:tr>
          </w:tbl>
          <w:p w14:paraId="3714A158">
            <w:pPr>
              <w:pStyle w:val="7"/>
            </w:pPr>
            <w:r>
              <w:rPr>
                <w:rFonts w:hint="eastAsia"/>
              </w:rPr>
              <w:t>4、固体废物污染控制标准</w:t>
            </w:r>
          </w:p>
          <w:p w14:paraId="2D7E7F17">
            <w:pPr>
              <w:pStyle w:val="3"/>
              <w:ind w:firstLine="480"/>
            </w:pPr>
            <w:r>
              <w:rPr>
                <w:rFonts w:hint="eastAsia"/>
              </w:rPr>
              <w:t>项目产生的固体废物的收集、暂存、运输、处置等环节均应满足《中华人民共和国固体废物污染环境防治法（2020年修订）》有关规定要求；</w:t>
            </w:r>
            <w:bookmarkStart w:id="48" w:name="OLE_LINK37"/>
            <w:bookmarkStart w:id="49" w:name="OLE_LINK30"/>
            <w:r>
              <w:rPr>
                <w:rFonts w:hint="eastAsia"/>
              </w:rPr>
              <w:t>一般固体废物执行《一般工业固体废物贮存和填埋污染控制标准》（GB15899-2020）</w:t>
            </w:r>
            <w:bookmarkEnd w:id="48"/>
            <w:r>
              <w:rPr>
                <w:rFonts w:hint="eastAsia"/>
              </w:rPr>
              <w:t>中防渗漏、防雨淋、防扬尘等环境保护要求；</w:t>
            </w:r>
            <w:bookmarkEnd w:id="49"/>
            <w:bookmarkStart w:id="50" w:name="OLE_LINK28"/>
            <w:r>
              <w:rPr>
                <w:rFonts w:hint="eastAsia"/>
              </w:rPr>
              <w:t>危险</w:t>
            </w:r>
            <w:bookmarkEnd w:id="50"/>
            <w:r>
              <w:rPr>
                <w:rFonts w:hint="eastAsia"/>
              </w:rPr>
              <w:t>废物执行《危险废物贮存污染控制标准》(GB18597-2023)；生活垃圾应实施分类收集管理，执行《中华人民共和国固体废物污染环境防治法（2020年修订）》。</w:t>
            </w:r>
          </w:p>
        </w:tc>
      </w:tr>
      <w:tr w14:paraId="5E212F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440" w:type="pct"/>
            <w:vAlign w:val="center"/>
          </w:tcPr>
          <w:p w14:paraId="38CF9DAA">
            <w:pPr>
              <w:snapToGrid w:val="0"/>
              <w:jc w:val="center"/>
              <w:rPr>
                <w:rFonts w:cs="宋体"/>
                <w:sz w:val="24"/>
              </w:rPr>
            </w:pPr>
            <w:bookmarkStart w:id="51" w:name="OLE_LINK62"/>
            <w:r>
              <w:rPr>
                <w:rFonts w:hint="eastAsia" w:cs="宋体"/>
                <w:sz w:val="24"/>
              </w:rPr>
              <w:t>总量</w:t>
            </w:r>
          </w:p>
          <w:p w14:paraId="0FE050C3">
            <w:pPr>
              <w:snapToGrid w:val="0"/>
              <w:jc w:val="center"/>
              <w:rPr>
                <w:rFonts w:cs="宋体"/>
                <w:sz w:val="24"/>
              </w:rPr>
            </w:pPr>
            <w:r>
              <w:rPr>
                <w:rFonts w:hint="eastAsia" w:cs="宋体"/>
                <w:sz w:val="24"/>
              </w:rPr>
              <w:t>控制</w:t>
            </w:r>
          </w:p>
          <w:p w14:paraId="2B86FFB0">
            <w:pPr>
              <w:snapToGrid w:val="0"/>
              <w:jc w:val="center"/>
              <w:rPr>
                <w:rFonts w:cs="宋体"/>
                <w:sz w:val="24"/>
              </w:rPr>
            </w:pPr>
            <w:r>
              <w:rPr>
                <w:rFonts w:hint="eastAsia" w:cs="宋体"/>
                <w:sz w:val="24"/>
              </w:rPr>
              <w:t>指标</w:t>
            </w:r>
            <w:bookmarkEnd w:id="51"/>
          </w:p>
        </w:tc>
        <w:tc>
          <w:tcPr>
            <w:tcW w:w="4560" w:type="pct"/>
            <w:vAlign w:val="center"/>
          </w:tcPr>
          <w:p w14:paraId="7490846D">
            <w:pPr>
              <w:pStyle w:val="3"/>
              <w:ind w:firstLine="480"/>
              <w:rPr>
                <w:color w:val="auto"/>
              </w:rPr>
            </w:pPr>
            <w:bookmarkStart w:id="52" w:name="OLE_LINK296"/>
            <w:r>
              <w:rPr>
                <w:rFonts w:hint="eastAsia"/>
              </w:rPr>
              <w:t>根据《国务院关于印发“十四五”节能减排综合工作方案的通知》（国发〔2021〕33号）、《广西“十四五”节能减排综合实施方案》（桂政发〔2022〕24 号），“十四五”期间，主要污染物总量控制指标包括氮氧化物、挥发性有机物</w:t>
            </w:r>
            <w:r>
              <w:rPr>
                <w:rFonts w:hint="eastAsia"/>
                <w:color w:val="auto"/>
              </w:rPr>
              <w:t>、化学需氧量、氨氮，均以重点工程减排量形式下达。</w:t>
            </w:r>
          </w:p>
          <w:p w14:paraId="750BDB46">
            <w:pPr>
              <w:pStyle w:val="3"/>
              <w:ind w:firstLine="480"/>
              <w:rPr>
                <w:color w:val="auto"/>
              </w:rPr>
            </w:pPr>
            <w:r>
              <w:rPr>
                <w:rFonts w:hint="eastAsia"/>
                <w:color w:val="auto"/>
              </w:rPr>
              <w:t>本项目喷雾除尘废水全部蒸发消耗无外排；车辆清洗废水经沉淀池收集沉淀后循环使用，不外排；初期雨水经沉淀池收集沉淀处理后用于场地洒水抑尘，不外排。生活污水经化粪池处理后排入园区市政污水管网，最终送到揽平污水处理厂处理。故本项目水污染物不需申请总量控制指标。</w:t>
            </w:r>
            <w:bookmarkEnd w:id="52"/>
          </w:p>
          <w:p w14:paraId="24795792">
            <w:pPr>
              <w:pStyle w:val="3"/>
              <w:ind w:firstLine="480"/>
            </w:pPr>
            <w:r>
              <w:rPr>
                <w:rFonts w:hint="eastAsia"/>
              </w:rPr>
              <w:t>本项目废气污染物为颗粒物，故本项目废气污染物不需申请总量控制指标。</w:t>
            </w:r>
          </w:p>
        </w:tc>
      </w:tr>
    </w:tbl>
    <w:p w14:paraId="7025C34F">
      <w:pPr>
        <w:pStyle w:val="2"/>
        <w:rPr>
          <w:snapToGrid w:val="0"/>
        </w:rPr>
      </w:pPr>
      <w:bookmarkStart w:id="53" w:name="_Toc203094747"/>
      <w:r>
        <w:rPr>
          <w:rFonts w:hint="eastAsia"/>
          <w:snapToGrid w:val="0"/>
        </w:rPr>
        <w:t>主要环境影响和保护措施</w:t>
      </w:r>
      <w:bookmarkEnd w:id="40"/>
      <w:bookmarkEnd w:id="53"/>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699"/>
        <w:gridCol w:w="8126"/>
      </w:tblGrid>
      <w:tr w14:paraId="10BC31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749" w:hRule="atLeast"/>
          <w:jc w:val="center"/>
        </w:trPr>
        <w:tc>
          <w:tcPr>
            <w:tcW w:w="699" w:type="dxa"/>
            <w:tcMar>
              <w:left w:w="28" w:type="dxa"/>
              <w:right w:w="28" w:type="dxa"/>
            </w:tcMar>
            <w:vAlign w:val="center"/>
          </w:tcPr>
          <w:p w14:paraId="0BD7FB30">
            <w:pPr>
              <w:pStyle w:val="61"/>
            </w:pPr>
            <w:bookmarkStart w:id="54" w:name="_Toc175609275"/>
            <w:r>
              <w:rPr>
                <w:rFonts w:hint="eastAsia"/>
              </w:rPr>
              <w:t>施工期环境保护措施</w:t>
            </w:r>
            <w:bookmarkEnd w:id="54"/>
          </w:p>
        </w:tc>
        <w:tc>
          <w:tcPr>
            <w:tcW w:w="8126" w:type="dxa"/>
            <w:vAlign w:val="center"/>
          </w:tcPr>
          <w:p w14:paraId="7B2C63FA">
            <w:pPr>
              <w:pStyle w:val="7"/>
            </w:pPr>
            <w:bookmarkStart w:id="55" w:name="_Ref184685278"/>
            <w:r>
              <w:rPr>
                <w:rFonts w:hint="eastAsia"/>
              </w:rPr>
              <w:t>一、施工期废气污染防治措施</w:t>
            </w:r>
            <w:bookmarkEnd w:id="55"/>
          </w:p>
          <w:p w14:paraId="63E95466">
            <w:pPr>
              <w:pStyle w:val="3"/>
              <w:ind w:firstLine="482"/>
              <w:rPr>
                <w:b/>
                <w:bCs/>
              </w:rPr>
            </w:pPr>
            <w:r>
              <w:rPr>
                <w:rFonts w:hint="eastAsia"/>
                <w:b/>
                <w:bCs/>
              </w:rPr>
              <w:t>1、施工扬尘影响分析</w:t>
            </w:r>
          </w:p>
          <w:p w14:paraId="0957B2E3">
            <w:pPr>
              <w:pStyle w:val="3"/>
              <w:ind w:firstLine="480"/>
            </w:pPr>
            <w:r>
              <w:rPr>
                <w:rFonts w:hint="eastAsia"/>
              </w:rPr>
              <w:t>施工扬尘主要为场区地面平整、运输车辆碾压、建筑材料加工、施工材料装卸、施工机械填挖土方以及弃土临时堆存引起的扬尘。施工扬尘能使局部环境空气中含尘量增加，并可能随风迁移到周围区域，影响附近居民及单位职工的生活和工作。</w:t>
            </w:r>
          </w:p>
          <w:p w14:paraId="04765C2D">
            <w:pPr>
              <w:pStyle w:val="3"/>
              <w:ind w:firstLine="480"/>
            </w:pPr>
            <w:r>
              <w:rPr>
                <w:rFonts w:hint="eastAsia"/>
              </w:rPr>
              <w:t>为有效控制施工期间的扬尘影响，根据本项目具体情况，结合钦州市对施工扬尘防治的最新管理规定等要求，建筑工地要做到工地周边围挡、物料堆放覆盖、土方开挖湿法作业、路面硬化、出入车辆清洗、渣土车辆密闭运输“六个百分之百”。本评价提出在施工中必须采取如下防治措施：</w:t>
            </w:r>
          </w:p>
          <w:p w14:paraId="4BBAD62E">
            <w:pPr>
              <w:pStyle w:val="3"/>
              <w:ind w:firstLine="480"/>
            </w:pPr>
            <w:r>
              <w:rPr>
                <w:rFonts w:hint="eastAsia"/>
              </w:rPr>
              <w:t>①在醒目位置公示扬尘污染防治方案，公示期至施工结束，并保持清晰完整；</w:t>
            </w:r>
          </w:p>
          <w:p w14:paraId="59B78684">
            <w:pPr>
              <w:pStyle w:val="3"/>
              <w:ind w:firstLine="480"/>
            </w:pPr>
            <w:r>
              <w:rPr>
                <w:rFonts w:hint="eastAsia"/>
              </w:rPr>
              <w:t>②施工现场必须封闭围挡，严禁围挡不严或敞开式施工；基坑开挖作业过程中，四周应采取洒水、喷雾等降尘措施；</w:t>
            </w:r>
          </w:p>
          <w:p w14:paraId="70B04DB1">
            <w:pPr>
              <w:pStyle w:val="3"/>
              <w:ind w:firstLine="480"/>
            </w:pPr>
            <w:r>
              <w:rPr>
                <w:rFonts w:hint="eastAsia"/>
              </w:rPr>
              <w:t>③施工前，施工现场出入口和场内主要道路必须混凝土硬化，严禁使用其他软质材料铺设；施工现场出入口、主作业区等处必须安装视频监控系统，对施工扬尘实时监控；</w:t>
            </w:r>
          </w:p>
          <w:p w14:paraId="36A1740A">
            <w:pPr>
              <w:pStyle w:val="3"/>
              <w:ind w:firstLine="480"/>
            </w:pPr>
            <w:r>
              <w:rPr>
                <w:rFonts w:hint="eastAsia"/>
              </w:rPr>
              <w:t>④施工现场出入口对车轮冲洗，减少驶出工地车辆轮胎带的泥土量；加强雨天土方运输管理，严禁车体带泥上路；</w:t>
            </w:r>
          </w:p>
          <w:p w14:paraId="6AED7D78">
            <w:pPr>
              <w:pStyle w:val="3"/>
              <w:ind w:firstLine="480"/>
            </w:pPr>
            <w:r>
              <w:rPr>
                <w:rFonts w:hint="eastAsia"/>
              </w:rPr>
              <w:t>⑤施工现场集中堆放的土方和闲置场地必须覆盖、固化或绿化，严禁裸露；</w:t>
            </w:r>
          </w:p>
          <w:p w14:paraId="33F35CA1">
            <w:pPr>
              <w:pStyle w:val="3"/>
              <w:ind w:firstLine="480"/>
            </w:pPr>
            <w:r>
              <w:rPr>
                <w:rFonts w:hint="eastAsia"/>
              </w:rPr>
              <w:t>⑥施工现场运送土方、渣土的车辆必须封闭或遮盖，严禁沿路遗撒；</w:t>
            </w:r>
          </w:p>
          <w:p w14:paraId="1A356608">
            <w:pPr>
              <w:pStyle w:val="3"/>
              <w:ind w:firstLine="480"/>
            </w:pPr>
            <w:r>
              <w:rPr>
                <w:rFonts w:hint="eastAsia"/>
              </w:rPr>
              <w:t>⑦施工现场必须设置垃圾存放点，集中堆放并覆盖，及时清运，严禁随意丢弃，根据总体布置尽量回填于低凹处，注意土石方挖填平衡，多余弃土及时清运；严禁敞开式长时间堆放废弃物；</w:t>
            </w:r>
          </w:p>
          <w:p w14:paraId="0D97F6B5">
            <w:pPr>
              <w:pStyle w:val="3"/>
              <w:ind w:firstLine="480"/>
            </w:pPr>
            <w:r>
              <w:rPr>
                <w:rFonts w:hint="eastAsia"/>
              </w:rPr>
              <w:t>⑧施工现场使用商品混凝土，现场不设混凝土搅拌站。施工现场的粉料和其他易飞扬的细颗粒建筑材料必须密闭存放或覆盖，严禁露天放置；</w:t>
            </w:r>
          </w:p>
          <w:p w14:paraId="19E04144">
            <w:pPr>
              <w:pStyle w:val="3"/>
              <w:ind w:firstLine="480"/>
            </w:pPr>
            <w:r>
              <w:rPr>
                <w:rFonts w:hint="eastAsia"/>
              </w:rPr>
              <w:t>⑨施工场地采用洒水车洒水降尘措施，施工道路应保持平整，设立施工道路养护、维修、清扫专职人员，保持道路清洁、运行状态良好；</w:t>
            </w:r>
          </w:p>
          <w:p w14:paraId="4B349A6E">
            <w:pPr>
              <w:pStyle w:val="3"/>
              <w:ind w:firstLine="480"/>
            </w:pPr>
            <w:r>
              <w:rPr>
                <w:rFonts w:hint="eastAsia"/>
              </w:rPr>
              <w:t>⑩施工建筑垃圾严禁凌空抛掷；遇有4级以上大风或重度污染天气时，必须采取扬尘应急措施，严禁土方开挖、土方回填等。</w:t>
            </w:r>
          </w:p>
          <w:p w14:paraId="3C1547CD">
            <w:pPr>
              <w:pStyle w:val="3"/>
              <w:ind w:firstLine="482"/>
              <w:rPr>
                <w:b/>
                <w:bCs/>
              </w:rPr>
            </w:pPr>
            <w:r>
              <w:rPr>
                <w:rFonts w:hint="eastAsia"/>
                <w:b/>
                <w:bCs/>
              </w:rPr>
              <w:t>2、施工机械运输车辆尾气影响分析</w:t>
            </w:r>
          </w:p>
          <w:p w14:paraId="17705526">
            <w:pPr>
              <w:pStyle w:val="3"/>
              <w:ind w:firstLine="480"/>
            </w:pPr>
            <w:r>
              <w:rPr>
                <w:rFonts w:hint="eastAsia"/>
              </w:rPr>
              <w:t>施工机械、运输车辆排放的尾气污染物主要包括CO、NOx、THC等，项目施工期间应采取以下措施，减轻尾气影响：</w:t>
            </w:r>
          </w:p>
          <w:p w14:paraId="4B7F45D5">
            <w:pPr>
              <w:pStyle w:val="3"/>
              <w:ind w:firstLine="480"/>
            </w:pPr>
            <w:r>
              <w:rPr>
                <w:rFonts w:hint="eastAsia"/>
              </w:rPr>
              <w:t>①加强对施工机械管理，科学安排其运行时间，严格按照施工时间作业，不允许任意扩大施工路线；</w:t>
            </w:r>
          </w:p>
          <w:p w14:paraId="6CA6CA9A">
            <w:pPr>
              <w:pStyle w:val="3"/>
              <w:ind w:firstLine="480"/>
            </w:pPr>
            <w:r>
              <w:rPr>
                <w:rFonts w:hint="eastAsia"/>
              </w:rPr>
              <w:t>②禁止使用“无标车”、“黄标车”运输建筑材料、弃土、建筑垃圾物料等措施。</w:t>
            </w:r>
          </w:p>
          <w:p w14:paraId="55B7680F">
            <w:pPr>
              <w:pStyle w:val="3"/>
              <w:ind w:firstLine="480"/>
            </w:pPr>
            <w:r>
              <w:rPr>
                <w:rFonts w:hint="eastAsia"/>
              </w:rPr>
              <w:t xml:space="preserve">施工机械、运输车辆尾气短时间内将造成局部环境空气中污染物浓度升高，在大气的稀释扩散作用下不会对周边敏感目标造成影响，并且此类废气为间断排放，随施工期的结束而消失。 </w:t>
            </w:r>
          </w:p>
          <w:p w14:paraId="781FF9DD">
            <w:pPr>
              <w:pStyle w:val="3"/>
              <w:ind w:firstLine="482"/>
              <w:rPr>
                <w:b/>
                <w:bCs/>
              </w:rPr>
            </w:pPr>
            <w:r>
              <w:rPr>
                <w:rFonts w:hint="eastAsia"/>
                <w:b/>
                <w:bCs/>
              </w:rPr>
              <w:t>3、装修废气</w:t>
            </w:r>
          </w:p>
          <w:p w14:paraId="7DC17B22">
            <w:pPr>
              <w:pStyle w:val="3"/>
              <w:ind w:firstLine="480"/>
            </w:pPr>
            <w:r>
              <w:rPr>
                <w:rFonts w:hint="eastAsia"/>
              </w:rPr>
              <w:t>装修废气中主要污染物为装修粉尘和涂料挥发有机废气，项目施工期间应采取以下措施，减轻尾气影响：</w:t>
            </w:r>
          </w:p>
          <w:p w14:paraId="029DBE44">
            <w:pPr>
              <w:pStyle w:val="3"/>
              <w:ind w:firstLine="480"/>
            </w:pPr>
            <w:r>
              <w:rPr>
                <w:rFonts w:hint="eastAsia"/>
              </w:rPr>
              <w:t>①装修期间使用绿色环保装修材料和水性涂料，尽量避免色彩鲜艳的涂料，关注涂料中铅的指标；</w:t>
            </w:r>
          </w:p>
          <w:p w14:paraId="7898F45E">
            <w:pPr>
              <w:pStyle w:val="3"/>
              <w:ind w:firstLine="480"/>
            </w:pPr>
            <w:r>
              <w:rPr>
                <w:rFonts w:hint="eastAsia"/>
              </w:rPr>
              <w:t>②装修完成后及时清除建渣、装饰垃圾，清扫施工场地。</w:t>
            </w:r>
          </w:p>
          <w:p w14:paraId="1EE3A6CD">
            <w:pPr>
              <w:pStyle w:val="3"/>
              <w:ind w:firstLine="480"/>
            </w:pPr>
            <w:r>
              <w:rPr>
                <w:rFonts w:hint="eastAsia"/>
              </w:rPr>
              <w:t>在采取上述措施后，施工期产生的扬尘、施工机械车辆尾气及装修废气对周围环境的影响可以得到有效控制，且施工作业产生的粉尘和尾气污染也会随施工期的结束而消除。</w:t>
            </w:r>
          </w:p>
          <w:p w14:paraId="1E82B934">
            <w:pPr>
              <w:pStyle w:val="7"/>
              <w:rPr>
                <w:snapToGrid w:val="0"/>
              </w:rPr>
            </w:pPr>
            <w:r>
              <w:rPr>
                <w:rFonts w:hint="eastAsia"/>
                <w:snapToGrid w:val="0"/>
              </w:rPr>
              <w:t>二、施工期废水污染防治措施</w:t>
            </w:r>
          </w:p>
          <w:p w14:paraId="1807B23F">
            <w:pPr>
              <w:pStyle w:val="3"/>
              <w:ind w:firstLine="480"/>
            </w:pPr>
            <w:r>
              <w:rPr>
                <w:rFonts w:hint="eastAsia"/>
              </w:rPr>
              <w:t>项目施工期废水主要为施工作业废水和施工人员的生活污水。</w:t>
            </w:r>
          </w:p>
          <w:p w14:paraId="7A4DD0C2">
            <w:pPr>
              <w:pStyle w:val="3"/>
              <w:ind w:firstLine="480"/>
            </w:pPr>
            <w:r>
              <w:rPr>
                <w:rFonts w:hint="eastAsia"/>
              </w:rPr>
              <w:t>施工作业废水主要来自车辆、设备冲洗等过程，间歇排放，这部分废水主要污染物为SS及少量油污和泥沙，基本没有其他污染指标。工程施工期间，施工单位应严格遵守建筑工程施工场地文明施工及环境管理要求，采取以下施工废水污染防治措施：</w:t>
            </w:r>
          </w:p>
          <w:p w14:paraId="164E9352">
            <w:pPr>
              <w:pStyle w:val="3"/>
              <w:ind w:firstLine="480"/>
            </w:pPr>
            <w:r>
              <w:rPr>
                <w:rFonts w:hint="eastAsia"/>
              </w:rPr>
              <w:t>①施工时产生的场地冲洗水以及机械设备运转的冷却水和洗涤水等应设置临时沉砂池，经沉砂池沉淀处理后回用于场地冲洗、场地及道路降尘用水，禁止排入地表水体系内污染水体。工程完工后，尽快对场地进行绿化或地面硬化。</w:t>
            </w:r>
          </w:p>
          <w:p w14:paraId="5F76798B">
            <w:pPr>
              <w:pStyle w:val="3"/>
              <w:ind w:firstLine="480"/>
            </w:pPr>
            <w:r>
              <w:rPr>
                <w:rFonts w:hint="eastAsia"/>
              </w:rPr>
              <w:t>②对施工流动机械的冲洗设固定场所，冲洗水进入沉淀池处理后全部回用于场地及道路降尘用水，禁止排入地表水体。</w:t>
            </w:r>
          </w:p>
          <w:p w14:paraId="5F21B1A5">
            <w:pPr>
              <w:pStyle w:val="3"/>
              <w:ind w:firstLine="480"/>
            </w:pPr>
            <w:r>
              <w:rPr>
                <w:rFonts w:hint="eastAsia"/>
              </w:rPr>
              <w:t>③施工单位对施工场地用水应严格管理，贯彻“一水多用、重复利用、节约用水”的原则，尽量减少废水的排放量，减轻废水排放对周围环境的影响。</w:t>
            </w:r>
          </w:p>
          <w:p w14:paraId="2AA8F337">
            <w:pPr>
              <w:pStyle w:val="3"/>
              <w:ind w:firstLine="480"/>
            </w:pPr>
            <w:r>
              <w:rPr>
                <w:rFonts w:hint="eastAsia"/>
              </w:rPr>
              <w:t>④加强施工期工地用水管理，节约用水，尽可能避免施工用水过程中的“跑、冒、滴、漏”，减少施工废水外排量。</w:t>
            </w:r>
          </w:p>
          <w:p w14:paraId="2E874A84">
            <w:pPr>
              <w:pStyle w:val="3"/>
              <w:ind w:firstLine="480"/>
            </w:pPr>
            <w:r>
              <w:rPr>
                <w:rFonts w:hint="eastAsia"/>
              </w:rPr>
              <w:t>施工人员的生活污水采取以下措施：施工人员统一安排、统一管理，项目工程人员生活居住均安排在附近具有生活配套设施的地方，产生的生活污水及粪便统一依托集中处理设施。</w:t>
            </w:r>
          </w:p>
          <w:p w14:paraId="17427303">
            <w:pPr>
              <w:pStyle w:val="3"/>
              <w:ind w:firstLine="480"/>
            </w:pPr>
            <w:r>
              <w:rPr>
                <w:rFonts w:hint="eastAsia"/>
              </w:rPr>
              <w:t>综上所述，施工期废水的环境影响是短期的，且受人为影响较大，只要加强现场施工管理，并采取以上防护措施后，项目施工期废水对区域水环境影响较小。</w:t>
            </w:r>
          </w:p>
          <w:p w14:paraId="6B42F162">
            <w:pPr>
              <w:pStyle w:val="7"/>
              <w:rPr>
                <w:snapToGrid w:val="0"/>
              </w:rPr>
            </w:pPr>
            <w:r>
              <w:rPr>
                <w:rFonts w:hint="eastAsia"/>
                <w:snapToGrid w:val="0"/>
              </w:rPr>
              <w:t>三、施工期声环境保护措施</w:t>
            </w:r>
          </w:p>
          <w:p w14:paraId="02333EC2">
            <w:pPr>
              <w:pStyle w:val="3"/>
              <w:ind w:firstLine="480"/>
            </w:pPr>
            <w:r>
              <w:rPr>
                <w:rFonts w:hint="eastAsia"/>
              </w:rPr>
              <w:t>根据目前的机械制造水平，施工噪声既不能避免，又不能从根本上采取措施予以消除，只能通过加强对施工设备管理、合理组织施工，尽可能减轻施工噪声对周边声环境影响，本评价建议采取以下噪声防治措施：</w:t>
            </w:r>
          </w:p>
          <w:p w14:paraId="02FB3939">
            <w:pPr>
              <w:pStyle w:val="3"/>
              <w:ind w:firstLine="480"/>
            </w:pPr>
            <w:r>
              <w:rPr>
                <w:rFonts w:hint="eastAsia"/>
              </w:rPr>
              <w:t>①噪声源控制：优先选用低噪声设备和工艺，闲置不用的设备立即关闭；加强检查、维护和保养机械设备，保持润滑，紧固各部件，对脱焊和松动的架构件，补焊加固，减少运行振动噪声；整体设备应安放平稳，并与地面保持良好接触，有条件的使用减震机座，降低噪声；合理安排设备位置，高机械噪声强度设备运行点布置在距敏感点较远处。</w:t>
            </w:r>
          </w:p>
          <w:p w14:paraId="7ACF01A5">
            <w:pPr>
              <w:pStyle w:val="3"/>
              <w:ind w:firstLine="480"/>
            </w:pPr>
            <w:r>
              <w:rPr>
                <w:rFonts w:hint="eastAsia"/>
              </w:rPr>
              <w:t>②传声途径控制：对于机械运行噪声超过施工场界噪声限值的机械设备，其附近设置隔声屏障、隔声棚，选用砖石料、混凝土、木材、金属、轻型多孔吸声复合材料建造。</w:t>
            </w:r>
          </w:p>
          <w:p w14:paraId="727F01C8">
            <w:pPr>
              <w:pStyle w:val="3"/>
              <w:ind w:firstLine="480"/>
            </w:pPr>
            <w:r>
              <w:rPr>
                <w:rFonts w:hint="eastAsia"/>
              </w:rPr>
              <w:t>③施工管理：合理安排施工时间，避免在中午休息时间（12：00-14：00）施工，在夜间（22：00-8：00）停工，尽量加快施工进度，缩短整个工期；对运输车辆应做好妥善管理，尽量减少车辆在夜间行驶，并对车速进行了限制，减少鸣笛。</w:t>
            </w:r>
          </w:p>
          <w:p w14:paraId="0D744F1E">
            <w:pPr>
              <w:pStyle w:val="3"/>
              <w:ind w:firstLine="480"/>
            </w:pPr>
            <w:r>
              <w:rPr>
                <w:rFonts w:hint="eastAsia"/>
              </w:rPr>
              <w:t>综上所述，本项目采取的施工期噪声污染防治措施是可行的，施工期噪声不会对周边声环境造成明显不良影响，且随着施工期的结束而消失。</w:t>
            </w:r>
          </w:p>
          <w:p w14:paraId="420BF64F">
            <w:pPr>
              <w:pStyle w:val="7"/>
              <w:rPr>
                <w:snapToGrid w:val="0"/>
              </w:rPr>
            </w:pPr>
            <w:r>
              <w:rPr>
                <w:rFonts w:hint="eastAsia"/>
                <w:snapToGrid w:val="0"/>
              </w:rPr>
              <w:t>四、施工期固体废物影响的减缓措施</w:t>
            </w:r>
          </w:p>
          <w:p w14:paraId="5FF50851">
            <w:pPr>
              <w:pStyle w:val="3"/>
              <w:ind w:firstLine="480"/>
            </w:pPr>
            <w:r>
              <w:rPr>
                <w:rFonts w:hint="eastAsia"/>
              </w:rPr>
              <w:t>施工期固体废物主要为施工建筑垃圾和施工人员产生的生活垃圾。施工期开挖土方将全部作为回填用土；建筑垃圾可回收利用部分单独分类收集使用或销售到废品收购站处理，其余不可回收利用的建筑垃圾清运至环境卫生行政管理部门指定的消纳场地处理，不随意堆放、抛弃，避免对周围环境造成不利影响；在运输过程中还应做好卫生防护工作，避免产生扬尘或洒落废料；施工人员所产生的生活垃圾必须及时清运处置。为严格控制本项目施工期固体废物对周围环境的影响，本评价建议加强管理，并采取以下防治措施：</w:t>
            </w:r>
          </w:p>
          <w:p w14:paraId="564D008A">
            <w:pPr>
              <w:pStyle w:val="3"/>
              <w:ind w:firstLine="480"/>
            </w:pPr>
            <w:r>
              <w:rPr>
                <w:rFonts w:hint="eastAsia"/>
              </w:rPr>
              <w:t>①在施工场地内设置固定场所暂存施工产生的建筑垃圾。</w:t>
            </w:r>
          </w:p>
          <w:p w14:paraId="631A844C">
            <w:pPr>
              <w:pStyle w:val="3"/>
              <w:ind w:firstLine="480"/>
            </w:pPr>
            <w:r>
              <w:rPr>
                <w:rFonts w:hint="eastAsia"/>
              </w:rPr>
              <w:t>②土方开挖时应避开雨季施工，并设立指定的渣土堆放点，设专人管理，防止渣土随意堆放。</w:t>
            </w:r>
          </w:p>
          <w:p w14:paraId="0B525378">
            <w:pPr>
              <w:pStyle w:val="3"/>
              <w:ind w:firstLine="480"/>
            </w:pPr>
            <w:r>
              <w:rPr>
                <w:rFonts w:hint="eastAsia"/>
              </w:rPr>
              <w:t>③抛洒、遗弃的砂石、建材、钢材、建筑材料等应有专人管理回收，及时清理，并禁止随意抛撒。</w:t>
            </w:r>
          </w:p>
          <w:p w14:paraId="7058DFBC">
            <w:pPr>
              <w:pStyle w:val="3"/>
              <w:ind w:firstLine="480"/>
            </w:pPr>
            <w:r>
              <w:rPr>
                <w:rFonts w:hint="eastAsia"/>
              </w:rPr>
              <w:t>④生活垃圾要集中定点收集，不得任意堆放和丢弃，及时清运，以减少对周边环境的影响。</w:t>
            </w:r>
          </w:p>
          <w:p w14:paraId="1C8C1188">
            <w:pPr>
              <w:pStyle w:val="3"/>
              <w:ind w:firstLine="482"/>
              <w:rPr>
                <w:b/>
                <w:bCs/>
              </w:rPr>
            </w:pPr>
            <w:r>
              <w:rPr>
                <w:rFonts w:hint="eastAsia"/>
                <w:b/>
                <w:bCs/>
              </w:rPr>
              <w:t>五、施工期生态环境保护措施</w:t>
            </w:r>
          </w:p>
          <w:p w14:paraId="448946FA">
            <w:pPr>
              <w:pStyle w:val="3"/>
              <w:ind w:firstLine="480"/>
            </w:pPr>
            <w:r>
              <w:rPr>
                <w:rFonts w:hint="eastAsia"/>
              </w:rPr>
              <w:t>施工期对生态环境的影响主要表现在地面平整、地基挖槽时破坏了场地原有地貌和植被，扰动土壤表土结构，可能造成水土流失等。</w:t>
            </w:r>
          </w:p>
          <w:p w14:paraId="6174C3FA">
            <w:pPr>
              <w:pStyle w:val="3"/>
              <w:ind w:firstLine="480"/>
            </w:pPr>
            <w:r>
              <w:rPr>
                <w:rFonts w:hint="eastAsia"/>
              </w:rPr>
              <w:t>针对施工期可能产生的生态影响，提出如下生态环境保护和恢复措施：</w:t>
            </w:r>
          </w:p>
          <w:p w14:paraId="578F41E2">
            <w:pPr>
              <w:pStyle w:val="3"/>
              <w:ind w:firstLine="480"/>
            </w:pPr>
            <w:r>
              <w:rPr>
                <w:rFonts w:hint="eastAsia"/>
              </w:rPr>
              <w:t>①合理确定基础标高，尽量减少挖方和填方量，减少取土、弃土量。</w:t>
            </w:r>
          </w:p>
          <w:p w14:paraId="2DDF62CE">
            <w:pPr>
              <w:pStyle w:val="3"/>
              <w:ind w:firstLine="480"/>
            </w:pPr>
            <w:r>
              <w:rPr>
                <w:rFonts w:hint="eastAsia"/>
              </w:rPr>
              <w:t>②合理安排施工期，避免在雨季进行平整场地和开挖地基的施工。</w:t>
            </w:r>
          </w:p>
          <w:p w14:paraId="6DDE3B4B">
            <w:pPr>
              <w:pStyle w:val="3"/>
              <w:ind w:firstLine="480"/>
            </w:pPr>
            <w:r>
              <w:rPr>
                <w:rFonts w:hint="eastAsia"/>
              </w:rPr>
              <w:t>③对堆放量大、堆置时间较长的施工材料或弃土堆，要采取设置围堰挡护和篷布覆盖措施，避免地表径流冲刷，减少水土流失。</w:t>
            </w:r>
          </w:p>
          <w:p w14:paraId="0195B0E0">
            <w:pPr>
              <w:pStyle w:val="3"/>
              <w:ind w:firstLine="480"/>
            </w:pPr>
            <w:r>
              <w:rPr>
                <w:rFonts w:hint="eastAsia"/>
              </w:rPr>
              <w:t>④搞好绿化工作，植物搭配注重层次及空间变化，同时考虑季节变化，建筑物之间和其他边角地带种植草坪和花卉，并散落点缀栽种松类、花木形成一个有机结合的绿化空间，既有防风、降尘、隔声作用，又可起到保护环境的目的。</w:t>
            </w:r>
          </w:p>
          <w:p w14:paraId="66AF21F7">
            <w:pPr>
              <w:pStyle w:val="3"/>
              <w:ind w:firstLine="480"/>
            </w:pPr>
            <w:r>
              <w:rPr>
                <w:rFonts w:hint="eastAsia"/>
              </w:rPr>
              <w:t>通过采取上述措施，可有效减轻施工对区域生态环境的不利影响。</w:t>
            </w:r>
          </w:p>
          <w:p w14:paraId="6CFF1457">
            <w:pPr>
              <w:pStyle w:val="3"/>
              <w:ind w:firstLine="480"/>
            </w:pPr>
            <w:r>
              <w:rPr>
                <w:rFonts w:hint="eastAsia"/>
              </w:rPr>
              <w:t>综上所述，施工期影响不是长期影响，施工期结束后，施工影响也随之消失，不会降低当地环境质量现状类别。</w:t>
            </w:r>
          </w:p>
        </w:tc>
      </w:tr>
    </w:tbl>
    <w:p w14:paraId="2B42DD56">
      <w:pPr>
        <w:sectPr>
          <w:pgSz w:w="11907" w:h="16840"/>
          <w:pgMar w:top="1701" w:right="1531" w:bottom="2127" w:left="1531" w:header="851" w:footer="851" w:gutter="0"/>
          <w:cols w:space="720" w:num="1"/>
          <w:docGrid w:linePitch="312" w:charSpace="0"/>
        </w:sect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2576"/>
      </w:tblGrid>
      <w:tr w14:paraId="12B0E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 w:type="dxa"/>
            <w:vAlign w:val="center"/>
          </w:tcPr>
          <w:p w14:paraId="2FE5DA4B">
            <w:pPr>
              <w:snapToGrid w:val="0"/>
              <w:rPr>
                <w:rFonts w:cs="宋体"/>
                <w:bCs/>
                <w:sz w:val="24"/>
              </w:rPr>
            </w:pPr>
            <w:r>
              <w:rPr>
                <w:rFonts w:hint="eastAsia" w:cs="宋体"/>
                <w:bCs/>
                <w:sz w:val="24"/>
              </w:rPr>
              <w:t>运营期环境影响和保护措施</w:t>
            </w:r>
          </w:p>
        </w:tc>
        <w:tc>
          <w:tcPr>
            <w:tcW w:w="12555" w:type="dxa"/>
            <w:vAlign w:val="center"/>
          </w:tcPr>
          <w:p w14:paraId="1FF43575">
            <w:pPr>
              <w:pStyle w:val="3"/>
              <w:ind w:firstLine="482"/>
              <w:rPr>
                <w:b/>
                <w:bCs/>
                <w:color w:val="auto"/>
              </w:rPr>
            </w:pPr>
            <w:r>
              <w:rPr>
                <w:rFonts w:hint="eastAsia"/>
                <w:b/>
                <w:bCs/>
                <w:color w:val="auto"/>
              </w:rPr>
              <w:t>一、废气</w:t>
            </w:r>
          </w:p>
          <w:p w14:paraId="0D69FE18">
            <w:pPr>
              <w:pStyle w:val="3"/>
              <w:ind w:firstLine="482"/>
              <w:rPr>
                <w:b/>
                <w:bCs/>
                <w:color w:val="auto"/>
              </w:rPr>
            </w:pPr>
            <w:r>
              <w:rPr>
                <w:rFonts w:hint="eastAsia"/>
                <w:b/>
                <w:bCs/>
                <w:color w:val="auto"/>
              </w:rPr>
              <w:t>1、废气污染物产排情况</w:t>
            </w:r>
          </w:p>
          <w:p w14:paraId="0E84895C">
            <w:pPr>
              <w:pStyle w:val="48"/>
              <w:rPr>
                <w:color w:val="auto"/>
              </w:rPr>
            </w:pPr>
            <w:bookmarkStart w:id="56" w:name="_Ref175518954"/>
            <w:bookmarkStart w:id="57" w:name="_Ref176880438"/>
            <w:r>
              <w:rPr>
                <w:rFonts w:hint="eastAsia"/>
                <w:color w:val="auto"/>
              </w:rPr>
              <w:t xml:space="preserve">表4- </w:t>
            </w:r>
            <w:r>
              <w:rPr>
                <w:color w:val="auto"/>
              </w:rPr>
              <w:fldChar w:fldCharType="begin"/>
            </w:r>
            <w:r>
              <w:rPr>
                <w:color w:val="auto"/>
              </w:rPr>
              <w:instrText xml:space="preserve"> </w:instrText>
            </w:r>
            <w:r>
              <w:rPr>
                <w:rFonts w:hint="eastAsia"/>
                <w:color w:val="auto"/>
              </w:rPr>
              <w:instrText xml:space="preserve">SEQ 表4- \* ARABIC</w:instrText>
            </w:r>
            <w:r>
              <w:rPr>
                <w:color w:val="auto"/>
              </w:rPr>
              <w:instrText xml:space="preserve"> </w:instrText>
            </w:r>
            <w:r>
              <w:rPr>
                <w:color w:val="auto"/>
              </w:rPr>
              <w:fldChar w:fldCharType="separate"/>
            </w:r>
            <w:r>
              <w:rPr>
                <w:color w:val="auto"/>
              </w:rPr>
              <w:t>1</w:t>
            </w:r>
            <w:r>
              <w:rPr>
                <w:color w:val="auto"/>
              </w:rPr>
              <w:fldChar w:fldCharType="end"/>
            </w:r>
            <w:bookmarkEnd w:id="56"/>
            <w:r>
              <w:rPr>
                <w:rFonts w:hint="eastAsia"/>
                <w:color w:val="auto"/>
              </w:rPr>
              <w:t>：废气产生治理排放情况一览表</w:t>
            </w:r>
            <w:bookmarkEnd w:id="57"/>
          </w:p>
          <w:tbl>
            <w:tblPr>
              <w:tblStyle w:val="49"/>
              <w:tblW w:w="1236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006"/>
              <w:gridCol w:w="830"/>
              <w:gridCol w:w="1396"/>
              <w:gridCol w:w="753"/>
              <w:gridCol w:w="778"/>
              <w:gridCol w:w="1063"/>
              <w:gridCol w:w="1086"/>
              <w:gridCol w:w="829"/>
              <w:gridCol w:w="1387"/>
              <w:gridCol w:w="1223"/>
              <w:gridCol w:w="723"/>
              <w:gridCol w:w="723"/>
              <w:gridCol w:w="563"/>
            </w:tblGrid>
            <w:tr w14:paraId="2AD17D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18" w:hRule="exact"/>
                <w:jc w:val="center"/>
              </w:trPr>
              <w:tc>
                <w:tcPr>
                  <w:tcW w:w="1006" w:type="dxa"/>
                  <w:vMerge w:val="restar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4985FCE4">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14:ligatures w14:val="standardContextual"/>
                    </w:rPr>
                  </w:pPr>
                  <w:r>
                    <w:rPr>
                      <w:rFonts w:hint="default" w:ascii="Times New Roman" w:hAnsi="Times New Roman" w:eastAsia="宋体" w:cs="Times New Roman"/>
                      <w:b/>
                      <w:i w:val="0"/>
                      <w:color w:val="auto"/>
                      <w14:ligatures w14:val="standardContextual"/>
                    </w:rPr>
                    <w:t>产污环节</w:t>
                  </w:r>
                </w:p>
              </w:tc>
              <w:tc>
                <w:tcPr>
                  <w:tcW w:w="830" w:type="dxa"/>
                  <w:vMerge w:val="restar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344393AA">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14:ligatures w14:val="standardContextual"/>
                    </w:rPr>
                  </w:pPr>
                  <w:r>
                    <w:rPr>
                      <w:rFonts w:hint="default" w:ascii="Times New Roman" w:hAnsi="Times New Roman" w:eastAsia="宋体" w:cs="Times New Roman"/>
                      <w:b/>
                      <w:i w:val="0"/>
                      <w:color w:val="auto"/>
                      <w14:ligatures w14:val="standardContextual"/>
                    </w:rPr>
                    <w:t>污染物</w:t>
                  </w:r>
                </w:p>
                <w:p w14:paraId="1F84BC9F">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14:ligatures w14:val="standardContextual"/>
                    </w:rPr>
                  </w:pPr>
                  <w:r>
                    <w:rPr>
                      <w:rFonts w:hint="default" w:ascii="Times New Roman" w:hAnsi="Times New Roman" w:eastAsia="宋体" w:cs="Times New Roman"/>
                      <w:b/>
                      <w:i w:val="0"/>
                      <w:color w:val="auto"/>
                      <w14:ligatures w14:val="standardContextual"/>
                    </w:rPr>
                    <w:t>种</w:t>
                  </w:r>
                </w:p>
              </w:tc>
              <w:tc>
                <w:tcPr>
                  <w:tcW w:w="2149" w:type="dxa"/>
                  <w:gridSpan w:val="2"/>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4244EDC3">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14:ligatures w14:val="standardContextual"/>
                    </w:rPr>
                  </w:pPr>
                  <w:r>
                    <w:rPr>
                      <w:rFonts w:hint="default" w:ascii="Times New Roman" w:hAnsi="Times New Roman" w:eastAsia="宋体" w:cs="Times New Roman"/>
                      <w:b/>
                      <w:i w:val="0"/>
                      <w:color w:val="auto"/>
                      <w14:ligatures w14:val="standardContextual"/>
                    </w:rPr>
                    <w:t>产生情况</w:t>
                  </w:r>
                </w:p>
              </w:tc>
              <w:tc>
                <w:tcPr>
                  <w:tcW w:w="778" w:type="dxa"/>
                  <w:vMerge w:val="restar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69622F0C">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14:ligatures w14:val="standardContextual"/>
                    </w:rPr>
                  </w:pPr>
                  <w:r>
                    <w:rPr>
                      <w:rFonts w:hint="default" w:ascii="Times New Roman" w:hAnsi="Times New Roman" w:eastAsia="宋体" w:cs="Times New Roman"/>
                      <w:b/>
                      <w:i w:val="0"/>
                      <w:color w:val="auto"/>
                      <w14:ligatures w14:val="standardContextual"/>
                    </w:rPr>
                    <w:t>排放</w:t>
                  </w:r>
                </w:p>
                <w:p w14:paraId="76B3DE0F">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14:ligatures w14:val="standardContextual"/>
                    </w:rPr>
                  </w:pPr>
                  <w:r>
                    <w:rPr>
                      <w:rFonts w:hint="default" w:ascii="Times New Roman" w:hAnsi="Times New Roman" w:eastAsia="宋体" w:cs="Times New Roman"/>
                      <w:b/>
                      <w:i w:val="0"/>
                      <w:color w:val="auto"/>
                      <w14:ligatures w14:val="standardContextual"/>
                    </w:rPr>
                    <w:t>形式</w:t>
                  </w:r>
                </w:p>
              </w:tc>
              <w:tc>
                <w:tcPr>
                  <w:tcW w:w="4365" w:type="dxa"/>
                  <w:gridSpan w:val="4"/>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6D5AEB92">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14:ligatures w14:val="standardContextual"/>
                    </w:rPr>
                  </w:pPr>
                  <w:r>
                    <w:rPr>
                      <w:rFonts w:hint="default" w:ascii="Times New Roman" w:hAnsi="Times New Roman" w:eastAsia="宋体" w:cs="Times New Roman"/>
                      <w:b/>
                      <w:i w:val="0"/>
                      <w:color w:val="auto"/>
                      <w14:ligatures w14:val="standardContextual"/>
                    </w:rPr>
                    <w:t>污染治理设施</w:t>
                  </w:r>
                </w:p>
              </w:tc>
              <w:tc>
                <w:tcPr>
                  <w:tcW w:w="1946" w:type="dxa"/>
                  <w:gridSpan w:val="2"/>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540C1F46">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14:ligatures w14:val="standardContextual"/>
                    </w:rPr>
                  </w:pPr>
                  <w:r>
                    <w:rPr>
                      <w:rFonts w:hint="default" w:ascii="Times New Roman" w:hAnsi="Times New Roman" w:eastAsia="宋体" w:cs="Times New Roman"/>
                      <w:b/>
                      <w:i w:val="0"/>
                      <w:color w:val="auto"/>
                      <w14:ligatures w14:val="standardContextual"/>
                    </w:rPr>
                    <w:t>排放情况</w:t>
                  </w:r>
                </w:p>
              </w:tc>
              <w:tc>
                <w:tcPr>
                  <w:tcW w:w="1286" w:type="dxa"/>
                  <w:gridSpan w:val="2"/>
                  <w:tcBorders>
                    <w:top w:val="single" w:color="auto" w:sz="12" w:space="0"/>
                    <w:bottom w:val="single" w:color="auto" w:sz="12" w:space="0"/>
                    <w:right w:val="nil"/>
                    <w:insideH w:val="single" w:sz="12" w:space="0"/>
                    <w:insideV w:val="single" w:sz="4" w:space="0"/>
                    <w:tl2br w:val="nil"/>
                    <w:tr2bl w:val="nil"/>
                  </w:tcBorders>
                  <w:vAlign w:val="center"/>
                </w:tcPr>
                <w:p w14:paraId="7A1FA387">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14:ligatures w14:val="standardContextual"/>
                    </w:rPr>
                  </w:pPr>
                  <w:r>
                    <w:rPr>
                      <w:rFonts w:hint="default" w:ascii="Times New Roman" w:hAnsi="Times New Roman" w:eastAsia="宋体" w:cs="Times New Roman"/>
                      <w:b/>
                      <w:i w:val="0"/>
                      <w:color w:val="auto"/>
                      <w14:ligatures w14:val="standardContextual"/>
                    </w:rPr>
                    <w:t>排放标准</w:t>
                  </w:r>
                </w:p>
              </w:tc>
            </w:tr>
            <w:tr w14:paraId="457E4B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26" w:hRule="atLeast"/>
                <w:jc w:val="center"/>
              </w:trPr>
              <w:tc>
                <w:tcPr>
                  <w:tcW w:w="1006" w:type="dxa"/>
                  <w:vMerge w:val="continue"/>
                  <w:vAlign w:val="center"/>
                </w:tcPr>
                <w:p w14:paraId="41CD98FA">
                  <w:pPr>
                    <w:widowControl w:val="0"/>
                    <w:overflowPunct w:val="0"/>
                    <w:autoSpaceDE w:val="0"/>
                    <w:autoSpaceDN w:val="0"/>
                    <w:snapToGrid w:val="0"/>
                    <w:jc w:val="center"/>
                    <w:rPr>
                      <w:color w:val="auto"/>
                      <w14:ligatures w14:val="standardContextual"/>
                    </w:rPr>
                  </w:pPr>
                </w:p>
              </w:tc>
              <w:tc>
                <w:tcPr>
                  <w:tcW w:w="830" w:type="dxa"/>
                  <w:vMerge w:val="continue"/>
                  <w:vAlign w:val="center"/>
                </w:tcPr>
                <w:p w14:paraId="07728298">
                  <w:pPr>
                    <w:widowControl w:val="0"/>
                    <w:overflowPunct w:val="0"/>
                    <w:autoSpaceDE w:val="0"/>
                    <w:autoSpaceDN w:val="0"/>
                    <w:snapToGrid w:val="0"/>
                    <w:jc w:val="center"/>
                    <w:rPr>
                      <w:color w:val="auto"/>
                      <w14:ligatures w14:val="standardContextual"/>
                    </w:rPr>
                  </w:pPr>
                </w:p>
              </w:tc>
              <w:tc>
                <w:tcPr>
                  <w:tcW w:w="1396" w:type="dxa"/>
                  <w:vAlign w:val="center"/>
                </w:tcPr>
                <w:p w14:paraId="4F08B78B">
                  <w:pPr>
                    <w:widowControl w:val="0"/>
                    <w:overflowPunct w:val="0"/>
                    <w:autoSpaceDE w:val="0"/>
                    <w:autoSpaceDN w:val="0"/>
                    <w:snapToGrid w:val="0"/>
                    <w:jc w:val="center"/>
                    <w:rPr>
                      <w:color w:val="auto"/>
                      <w14:ligatures w14:val="standardContextual"/>
                    </w:rPr>
                  </w:pPr>
                  <w:r>
                    <w:rPr>
                      <w:color w:val="auto"/>
                      <w14:ligatures w14:val="standardContextual"/>
                    </w:rPr>
                    <w:t>产生量t/a</w:t>
                  </w:r>
                </w:p>
                <w:p w14:paraId="1C761D6D">
                  <w:pPr>
                    <w:widowControl w:val="0"/>
                    <w:overflowPunct w:val="0"/>
                    <w:autoSpaceDE w:val="0"/>
                    <w:autoSpaceDN w:val="0"/>
                    <w:snapToGrid w:val="0"/>
                    <w:jc w:val="center"/>
                    <w:rPr>
                      <w:color w:val="auto"/>
                      <w14:ligatures w14:val="standardContextual"/>
                    </w:rPr>
                  </w:pPr>
                  <w:r>
                    <w:rPr>
                      <w:color w:val="auto"/>
                      <w14:ligatures w14:val="standardContextual"/>
                    </w:rPr>
                    <w:t>速率kg/h</w:t>
                  </w:r>
                </w:p>
              </w:tc>
              <w:tc>
                <w:tcPr>
                  <w:tcW w:w="753" w:type="dxa"/>
                  <w:vAlign w:val="center"/>
                </w:tcPr>
                <w:p w14:paraId="7A538E79">
                  <w:pPr>
                    <w:widowControl w:val="0"/>
                    <w:overflowPunct w:val="0"/>
                    <w:autoSpaceDE w:val="0"/>
                    <w:autoSpaceDN w:val="0"/>
                    <w:snapToGrid w:val="0"/>
                    <w:jc w:val="center"/>
                    <w:rPr>
                      <w:color w:val="auto"/>
                      <w14:ligatures w14:val="standardContextual"/>
                    </w:rPr>
                  </w:pPr>
                  <w:r>
                    <w:rPr>
                      <w:color w:val="auto"/>
                      <w14:ligatures w14:val="standardContextual"/>
                    </w:rPr>
                    <w:t>产生</w:t>
                  </w:r>
                </w:p>
                <w:p w14:paraId="728DBAC7">
                  <w:pPr>
                    <w:widowControl w:val="0"/>
                    <w:overflowPunct w:val="0"/>
                    <w:autoSpaceDE w:val="0"/>
                    <w:autoSpaceDN w:val="0"/>
                    <w:snapToGrid w:val="0"/>
                    <w:jc w:val="center"/>
                    <w:rPr>
                      <w:color w:val="auto"/>
                      <w14:ligatures w14:val="standardContextual"/>
                    </w:rPr>
                  </w:pPr>
                  <w:r>
                    <w:rPr>
                      <w:color w:val="auto"/>
                      <w14:ligatures w14:val="standardContextual"/>
                    </w:rPr>
                    <w:t>浓度mg/m</w:t>
                  </w:r>
                  <w:r>
                    <w:rPr>
                      <w:color w:val="auto"/>
                      <w:vertAlign w:val="superscript"/>
                      <w14:ligatures w14:val="standardContextual"/>
                    </w:rPr>
                    <w:t>3</w:t>
                  </w:r>
                </w:p>
              </w:tc>
              <w:tc>
                <w:tcPr>
                  <w:tcW w:w="778" w:type="dxa"/>
                  <w:vMerge w:val="continue"/>
                  <w:vAlign w:val="center"/>
                </w:tcPr>
                <w:p w14:paraId="42436A31">
                  <w:pPr>
                    <w:widowControl w:val="0"/>
                    <w:overflowPunct w:val="0"/>
                    <w:autoSpaceDE w:val="0"/>
                    <w:autoSpaceDN w:val="0"/>
                    <w:snapToGrid w:val="0"/>
                    <w:jc w:val="center"/>
                    <w:rPr>
                      <w:color w:val="auto"/>
                      <w14:ligatures w14:val="standardContextual"/>
                    </w:rPr>
                  </w:pPr>
                </w:p>
              </w:tc>
              <w:tc>
                <w:tcPr>
                  <w:tcW w:w="1063" w:type="dxa"/>
                  <w:vAlign w:val="center"/>
                </w:tcPr>
                <w:p w14:paraId="2F4DA40E">
                  <w:pPr>
                    <w:widowControl w:val="0"/>
                    <w:overflowPunct w:val="0"/>
                    <w:autoSpaceDE w:val="0"/>
                    <w:autoSpaceDN w:val="0"/>
                    <w:snapToGrid w:val="0"/>
                    <w:jc w:val="center"/>
                    <w:rPr>
                      <w:color w:val="auto"/>
                      <w14:ligatures w14:val="standardContextual"/>
                    </w:rPr>
                  </w:pPr>
                  <w:r>
                    <w:rPr>
                      <w:rFonts w:hint="eastAsia"/>
                      <w:color w:val="auto"/>
                      <w14:ligatures w14:val="standardContextual"/>
                    </w:rPr>
                    <w:t>废气量</w:t>
                  </w:r>
                  <w:r>
                    <w:rPr>
                      <w:color w:val="auto"/>
                      <w14:ligatures w14:val="standardContextual"/>
                    </w:rPr>
                    <w:t>m</w:t>
                  </w:r>
                  <w:r>
                    <w:rPr>
                      <w:color w:val="auto"/>
                      <w:vertAlign w:val="superscript"/>
                      <w14:ligatures w14:val="standardContextual"/>
                    </w:rPr>
                    <w:t>3</w:t>
                  </w:r>
                  <w:r>
                    <w:rPr>
                      <w:color w:val="auto"/>
                      <w14:ligatures w14:val="standardContextual"/>
                    </w:rPr>
                    <w:t>/h</w:t>
                  </w:r>
                </w:p>
              </w:tc>
              <w:tc>
                <w:tcPr>
                  <w:tcW w:w="1086" w:type="dxa"/>
                  <w:vAlign w:val="center"/>
                </w:tcPr>
                <w:p w14:paraId="799CA361">
                  <w:pPr>
                    <w:widowControl w:val="0"/>
                    <w:overflowPunct w:val="0"/>
                    <w:autoSpaceDE w:val="0"/>
                    <w:autoSpaceDN w:val="0"/>
                    <w:snapToGrid w:val="0"/>
                    <w:jc w:val="center"/>
                    <w:rPr>
                      <w:color w:val="auto"/>
                      <w14:ligatures w14:val="standardContextual"/>
                    </w:rPr>
                  </w:pPr>
                  <w:r>
                    <w:rPr>
                      <w:color w:val="auto"/>
                      <w14:ligatures w14:val="standardContextual"/>
                    </w:rPr>
                    <w:t>去除效率</w:t>
                  </w:r>
                </w:p>
              </w:tc>
              <w:tc>
                <w:tcPr>
                  <w:tcW w:w="829" w:type="dxa"/>
                  <w:vAlign w:val="center"/>
                </w:tcPr>
                <w:p w14:paraId="0934B3A2">
                  <w:pPr>
                    <w:widowControl w:val="0"/>
                    <w:overflowPunct w:val="0"/>
                    <w:autoSpaceDE w:val="0"/>
                    <w:autoSpaceDN w:val="0"/>
                    <w:snapToGrid w:val="0"/>
                    <w:jc w:val="center"/>
                    <w:rPr>
                      <w:color w:val="auto"/>
                      <w14:ligatures w14:val="standardContextual"/>
                    </w:rPr>
                  </w:pPr>
                  <w:r>
                    <w:rPr>
                      <w:color w:val="auto"/>
                      <w14:ligatures w14:val="standardContextual"/>
                    </w:rPr>
                    <w:t>是否可行技术</w:t>
                  </w:r>
                </w:p>
              </w:tc>
              <w:tc>
                <w:tcPr>
                  <w:tcW w:w="1387" w:type="dxa"/>
                  <w:vAlign w:val="center"/>
                </w:tcPr>
                <w:p w14:paraId="45DBF6D6">
                  <w:pPr>
                    <w:widowControl w:val="0"/>
                    <w:overflowPunct w:val="0"/>
                    <w:autoSpaceDE w:val="0"/>
                    <w:autoSpaceDN w:val="0"/>
                    <w:snapToGrid w:val="0"/>
                    <w:jc w:val="center"/>
                    <w:rPr>
                      <w:color w:val="auto"/>
                      <w14:ligatures w14:val="standardContextual"/>
                    </w:rPr>
                  </w:pPr>
                  <w:r>
                    <w:rPr>
                      <w:color w:val="auto"/>
                      <w14:ligatures w14:val="standardContextual"/>
                    </w:rPr>
                    <w:t>处理</w:t>
                  </w:r>
                </w:p>
                <w:p w14:paraId="2299574C">
                  <w:pPr>
                    <w:widowControl w:val="0"/>
                    <w:overflowPunct w:val="0"/>
                    <w:autoSpaceDE w:val="0"/>
                    <w:autoSpaceDN w:val="0"/>
                    <w:snapToGrid w:val="0"/>
                    <w:jc w:val="center"/>
                    <w:rPr>
                      <w:color w:val="auto"/>
                      <w14:ligatures w14:val="standardContextual"/>
                    </w:rPr>
                  </w:pPr>
                  <w:r>
                    <w:rPr>
                      <w:color w:val="auto"/>
                      <w14:ligatures w14:val="standardContextual"/>
                    </w:rPr>
                    <w:t>工艺</w:t>
                  </w:r>
                </w:p>
              </w:tc>
              <w:tc>
                <w:tcPr>
                  <w:tcW w:w="1223" w:type="dxa"/>
                  <w:vAlign w:val="center"/>
                </w:tcPr>
                <w:p w14:paraId="6FB6B322">
                  <w:pPr>
                    <w:widowControl w:val="0"/>
                    <w:overflowPunct w:val="0"/>
                    <w:autoSpaceDE w:val="0"/>
                    <w:autoSpaceDN w:val="0"/>
                    <w:snapToGrid w:val="0"/>
                    <w:jc w:val="center"/>
                    <w:rPr>
                      <w:color w:val="auto"/>
                      <w14:ligatures w14:val="standardContextual"/>
                    </w:rPr>
                  </w:pPr>
                  <w:r>
                    <w:rPr>
                      <w:color w:val="auto"/>
                      <w14:ligatures w14:val="standardContextual"/>
                    </w:rPr>
                    <w:t>排放量t/a</w:t>
                  </w:r>
                </w:p>
                <w:p w14:paraId="4F0305DA">
                  <w:pPr>
                    <w:widowControl w:val="0"/>
                    <w:overflowPunct w:val="0"/>
                    <w:autoSpaceDE w:val="0"/>
                    <w:autoSpaceDN w:val="0"/>
                    <w:snapToGrid w:val="0"/>
                    <w:jc w:val="center"/>
                    <w:rPr>
                      <w:color w:val="auto"/>
                      <w14:ligatures w14:val="standardContextual"/>
                    </w:rPr>
                  </w:pPr>
                  <w:r>
                    <w:rPr>
                      <w:color w:val="auto"/>
                      <w14:ligatures w14:val="standardContextual"/>
                    </w:rPr>
                    <w:t>(速率kg/h)</w:t>
                  </w:r>
                </w:p>
              </w:tc>
              <w:tc>
                <w:tcPr>
                  <w:tcW w:w="723" w:type="dxa"/>
                  <w:vAlign w:val="center"/>
                </w:tcPr>
                <w:p w14:paraId="4204689E">
                  <w:pPr>
                    <w:widowControl w:val="0"/>
                    <w:overflowPunct w:val="0"/>
                    <w:autoSpaceDE w:val="0"/>
                    <w:autoSpaceDN w:val="0"/>
                    <w:snapToGrid w:val="0"/>
                    <w:jc w:val="center"/>
                    <w:rPr>
                      <w:color w:val="auto"/>
                      <w14:ligatures w14:val="standardContextual"/>
                    </w:rPr>
                  </w:pPr>
                  <w:r>
                    <w:rPr>
                      <w:color w:val="auto"/>
                      <w14:ligatures w14:val="standardContextual"/>
                    </w:rPr>
                    <w:t>排放</w:t>
                  </w:r>
                </w:p>
                <w:p w14:paraId="3E2E48DE">
                  <w:pPr>
                    <w:widowControl w:val="0"/>
                    <w:overflowPunct w:val="0"/>
                    <w:autoSpaceDE w:val="0"/>
                    <w:autoSpaceDN w:val="0"/>
                    <w:snapToGrid w:val="0"/>
                    <w:jc w:val="center"/>
                    <w:rPr>
                      <w:color w:val="auto"/>
                      <w14:ligatures w14:val="standardContextual"/>
                    </w:rPr>
                  </w:pPr>
                  <w:r>
                    <w:rPr>
                      <w:color w:val="auto"/>
                      <w14:ligatures w14:val="standardContextual"/>
                    </w:rPr>
                    <w:t>浓度mg/m</w:t>
                  </w:r>
                  <w:r>
                    <w:rPr>
                      <w:color w:val="auto"/>
                      <w:vertAlign w:val="superscript"/>
                      <w14:ligatures w14:val="standardContextual"/>
                    </w:rPr>
                    <w:t>3</w:t>
                  </w:r>
                </w:p>
              </w:tc>
              <w:tc>
                <w:tcPr>
                  <w:tcW w:w="723" w:type="dxa"/>
                  <w:vAlign w:val="center"/>
                </w:tcPr>
                <w:p w14:paraId="17F59E13">
                  <w:pPr>
                    <w:widowControl w:val="0"/>
                    <w:overflowPunct w:val="0"/>
                    <w:autoSpaceDE w:val="0"/>
                    <w:autoSpaceDN w:val="0"/>
                    <w:snapToGrid w:val="0"/>
                    <w:jc w:val="center"/>
                    <w:rPr>
                      <w:color w:val="auto"/>
                      <w14:ligatures w14:val="standardContextual"/>
                    </w:rPr>
                  </w:pPr>
                  <w:r>
                    <w:rPr>
                      <w:color w:val="auto"/>
                      <w14:ligatures w14:val="standardContextual"/>
                    </w:rPr>
                    <w:t>浓度mg/m</w:t>
                  </w:r>
                  <w:r>
                    <w:rPr>
                      <w:color w:val="auto"/>
                      <w:vertAlign w:val="superscript"/>
                      <w14:ligatures w14:val="standardContextual"/>
                    </w:rPr>
                    <w:t>3</w:t>
                  </w:r>
                </w:p>
              </w:tc>
              <w:tc>
                <w:tcPr>
                  <w:tcW w:w="563" w:type="dxa"/>
                  <w:vAlign w:val="center"/>
                </w:tcPr>
                <w:p w14:paraId="44BDEEC8">
                  <w:pPr>
                    <w:widowControl w:val="0"/>
                    <w:overflowPunct w:val="0"/>
                    <w:autoSpaceDE w:val="0"/>
                    <w:autoSpaceDN w:val="0"/>
                    <w:snapToGrid w:val="0"/>
                    <w:jc w:val="center"/>
                    <w:rPr>
                      <w:color w:val="auto"/>
                      <w14:ligatures w14:val="standardContextual"/>
                    </w:rPr>
                  </w:pPr>
                  <w:r>
                    <w:rPr>
                      <w:color w:val="auto"/>
                      <w14:ligatures w14:val="standardContextual"/>
                    </w:rPr>
                    <w:t>速率kg/h</w:t>
                  </w:r>
                </w:p>
              </w:tc>
            </w:tr>
            <w:tr w14:paraId="2CF8F2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00" w:hRule="atLeast"/>
                <w:jc w:val="center"/>
              </w:trPr>
              <w:tc>
                <w:tcPr>
                  <w:tcW w:w="1006" w:type="dxa"/>
                  <w:vAlign w:val="center"/>
                </w:tcPr>
                <w:p w14:paraId="17E17CB1">
                  <w:pPr>
                    <w:widowControl w:val="0"/>
                    <w:overflowPunct w:val="0"/>
                    <w:autoSpaceDE w:val="0"/>
                    <w:autoSpaceDN w:val="0"/>
                    <w:snapToGrid w:val="0"/>
                    <w:jc w:val="center"/>
                    <w:rPr>
                      <w:color w:val="auto"/>
                      <w14:ligatures w14:val="standardContextual"/>
                    </w:rPr>
                  </w:pPr>
                  <w:bookmarkStart w:id="58" w:name="OLE_LINK129"/>
                  <w:bookmarkStart w:id="59" w:name="_Hlk191837376"/>
                  <w:r>
                    <w:rPr>
                      <w:rFonts w:hint="eastAsia"/>
                      <w:color w:val="auto"/>
                      <w14:ligatures w14:val="standardContextual"/>
                    </w:rPr>
                    <w:t>DA001</w:t>
                  </w:r>
                  <w:bookmarkStart w:id="60" w:name="OLE_LINK4"/>
                  <w:r>
                    <w:rPr>
                      <w:rFonts w:hint="eastAsia"/>
                      <w:color w:val="auto"/>
                      <w14:ligatures w14:val="standardContextual"/>
                    </w:rPr>
                    <w:t>破碎、筛分、磁选、风选</w:t>
                  </w:r>
                  <w:bookmarkEnd w:id="60"/>
                  <w:r>
                    <w:rPr>
                      <w:rFonts w:hint="eastAsia"/>
                      <w:color w:val="auto"/>
                      <w14:ligatures w14:val="standardContextual"/>
                    </w:rPr>
                    <w:t>粉尘</w:t>
                  </w:r>
                  <w:bookmarkEnd w:id="58"/>
                </w:p>
              </w:tc>
              <w:tc>
                <w:tcPr>
                  <w:tcW w:w="830" w:type="dxa"/>
                  <w:vAlign w:val="center"/>
                </w:tcPr>
                <w:p w14:paraId="40795F8D">
                  <w:pPr>
                    <w:widowControl w:val="0"/>
                    <w:overflowPunct w:val="0"/>
                    <w:autoSpaceDE w:val="0"/>
                    <w:autoSpaceDN w:val="0"/>
                    <w:snapToGrid w:val="0"/>
                    <w:jc w:val="center"/>
                    <w:rPr>
                      <w:color w:val="auto"/>
                      <w14:ligatures w14:val="standardContextual"/>
                    </w:rPr>
                  </w:pPr>
                  <w:r>
                    <w:rPr>
                      <w:rFonts w:hint="eastAsia"/>
                      <w:color w:val="auto"/>
                      <w14:ligatures w14:val="standardContextual"/>
                    </w:rPr>
                    <w:t>颗粒物</w:t>
                  </w:r>
                </w:p>
              </w:tc>
              <w:tc>
                <w:tcPr>
                  <w:tcW w:w="1396" w:type="dxa"/>
                  <w:vAlign w:val="center"/>
                </w:tcPr>
                <w:p w14:paraId="3A0DFA9B">
                  <w:pPr>
                    <w:widowControl w:val="0"/>
                    <w:overflowPunct w:val="0"/>
                    <w:autoSpaceDE w:val="0"/>
                    <w:autoSpaceDN w:val="0"/>
                    <w:snapToGrid w:val="0"/>
                    <w:jc w:val="center"/>
                    <w:rPr>
                      <w:color w:val="auto"/>
                      <w14:ligatures w14:val="standardContextual"/>
                    </w:rPr>
                  </w:pPr>
                  <w:r>
                    <w:rPr>
                      <w:color w:val="auto"/>
                      <w14:ligatures w14:val="standardContextual"/>
                    </w:rPr>
                    <w:t>107.716t/a</w:t>
                  </w:r>
                </w:p>
                <w:p w14:paraId="1EA78B83">
                  <w:pPr>
                    <w:widowControl w:val="0"/>
                    <w:overflowPunct w:val="0"/>
                    <w:autoSpaceDE w:val="0"/>
                    <w:autoSpaceDN w:val="0"/>
                    <w:snapToGrid w:val="0"/>
                    <w:jc w:val="center"/>
                    <w:rPr>
                      <w:color w:val="auto"/>
                      <w14:ligatures w14:val="standardContextual"/>
                    </w:rPr>
                  </w:pPr>
                  <w:r>
                    <w:rPr>
                      <w:color w:val="auto"/>
                      <w14:ligatures w14:val="standardContextual"/>
                    </w:rPr>
                    <w:t>44.882kg/h</w:t>
                  </w:r>
                </w:p>
              </w:tc>
              <w:tc>
                <w:tcPr>
                  <w:tcW w:w="753" w:type="dxa"/>
                  <w:vAlign w:val="center"/>
                </w:tcPr>
                <w:p w14:paraId="1C9FD63E">
                  <w:pPr>
                    <w:widowControl w:val="0"/>
                    <w:overflowPunct w:val="0"/>
                    <w:autoSpaceDE w:val="0"/>
                    <w:autoSpaceDN w:val="0"/>
                    <w:snapToGrid w:val="0"/>
                    <w:jc w:val="center"/>
                    <w:rPr>
                      <w:color w:val="auto"/>
                      <w14:ligatures w14:val="standardContextual"/>
                    </w:rPr>
                  </w:pPr>
                  <w:r>
                    <w:rPr>
                      <w:color w:val="auto"/>
                      <w14:ligatures w14:val="standardContextual"/>
                    </w:rPr>
                    <w:t>4488.2</w:t>
                  </w:r>
                </w:p>
              </w:tc>
              <w:tc>
                <w:tcPr>
                  <w:tcW w:w="778" w:type="dxa"/>
                  <w:vAlign w:val="center"/>
                </w:tcPr>
                <w:p w14:paraId="3AEABE19">
                  <w:pPr>
                    <w:widowControl w:val="0"/>
                    <w:overflowPunct w:val="0"/>
                    <w:autoSpaceDE w:val="0"/>
                    <w:autoSpaceDN w:val="0"/>
                    <w:snapToGrid w:val="0"/>
                    <w:jc w:val="center"/>
                    <w:rPr>
                      <w:color w:val="auto"/>
                      <w14:ligatures w14:val="standardContextual"/>
                    </w:rPr>
                  </w:pPr>
                  <w:r>
                    <w:rPr>
                      <w:color w:val="auto"/>
                      <w14:ligatures w14:val="standardContextual"/>
                    </w:rPr>
                    <w:t>有组织</w:t>
                  </w:r>
                </w:p>
              </w:tc>
              <w:tc>
                <w:tcPr>
                  <w:tcW w:w="1063" w:type="dxa"/>
                  <w:vAlign w:val="center"/>
                </w:tcPr>
                <w:p w14:paraId="5A8B9A0D">
                  <w:pPr>
                    <w:widowControl w:val="0"/>
                    <w:overflowPunct w:val="0"/>
                    <w:autoSpaceDE w:val="0"/>
                    <w:autoSpaceDN w:val="0"/>
                    <w:snapToGrid w:val="0"/>
                    <w:jc w:val="center"/>
                    <w:rPr>
                      <w:color w:val="auto"/>
                      <w14:ligatures w14:val="standardContextual"/>
                    </w:rPr>
                  </w:pPr>
                  <w:r>
                    <w:rPr>
                      <w:rFonts w:hint="eastAsia"/>
                      <w:color w:val="auto"/>
                      <w14:ligatures w14:val="standardContextual"/>
                    </w:rPr>
                    <w:t>10000</w:t>
                  </w:r>
                </w:p>
              </w:tc>
              <w:tc>
                <w:tcPr>
                  <w:tcW w:w="1086" w:type="dxa"/>
                  <w:vAlign w:val="center"/>
                </w:tcPr>
                <w:p w14:paraId="2FFBAD47">
                  <w:pPr>
                    <w:widowControl w:val="0"/>
                    <w:overflowPunct w:val="0"/>
                    <w:autoSpaceDE w:val="0"/>
                    <w:autoSpaceDN w:val="0"/>
                    <w:snapToGrid w:val="0"/>
                    <w:jc w:val="center"/>
                    <w:rPr>
                      <w:color w:val="auto"/>
                      <w14:ligatures w14:val="standardContextual"/>
                    </w:rPr>
                  </w:pPr>
                  <w:r>
                    <w:rPr>
                      <w:rFonts w:hint="eastAsia"/>
                      <w:color w:val="auto"/>
                      <w14:ligatures w14:val="standardContextual"/>
                    </w:rPr>
                    <w:t>99.0%</w:t>
                  </w:r>
                </w:p>
              </w:tc>
              <w:tc>
                <w:tcPr>
                  <w:tcW w:w="829" w:type="dxa"/>
                  <w:vAlign w:val="center"/>
                </w:tcPr>
                <w:p w14:paraId="65335907">
                  <w:pPr>
                    <w:widowControl w:val="0"/>
                    <w:overflowPunct w:val="0"/>
                    <w:autoSpaceDE w:val="0"/>
                    <w:autoSpaceDN w:val="0"/>
                    <w:snapToGrid w:val="0"/>
                    <w:jc w:val="center"/>
                    <w:rPr>
                      <w:color w:val="auto"/>
                      <w14:ligatures w14:val="standardContextual"/>
                    </w:rPr>
                  </w:pPr>
                  <w:r>
                    <w:rPr>
                      <w:color w:val="auto"/>
                      <w14:ligatures w14:val="standardContextual"/>
                    </w:rPr>
                    <w:t>是</w:t>
                  </w:r>
                </w:p>
              </w:tc>
              <w:tc>
                <w:tcPr>
                  <w:tcW w:w="1387" w:type="dxa"/>
                  <w:vAlign w:val="center"/>
                </w:tcPr>
                <w:p w14:paraId="7DEB5262">
                  <w:pPr>
                    <w:widowControl w:val="0"/>
                    <w:overflowPunct w:val="0"/>
                    <w:autoSpaceDE w:val="0"/>
                    <w:autoSpaceDN w:val="0"/>
                    <w:snapToGrid w:val="0"/>
                    <w:jc w:val="center"/>
                    <w:rPr>
                      <w:color w:val="auto"/>
                      <w14:ligatures w14:val="standardContextual"/>
                    </w:rPr>
                  </w:pPr>
                  <w:r>
                    <w:rPr>
                      <w:rFonts w:hint="eastAsia"/>
                      <w:color w:val="auto"/>
                      <w14:ligatures w14:val="standardContextual"/>
                    </w:rPr>
                    <w:t>布袋除尘+15m排气筒</w:t>
                  </w:r>
                </w:p>
              </w:tc>
              <w:tc>
                <w:tcPr>
                  <w:tcW w:w="1223" w:type="dxa"/>
                  <w:vAlign w:val="center"/>
                </w:tcPr>
                <w:p w14:paraId="12CD2BA0">
                  <w:pPr>
                    <w:widowControl w:val="0"/>
                    <w:overflowPunct w:val="0"/>
                    <w:autoSpaceDE w:val="0"/>
                    <w:autoSpaceDN w:val="0"/>
                    <w:snapToGrid w:val="0"/>
                    <w:jc w:val="center"/>
                    <w:rPr>
                      <w:color w:val="auto"/>
                      <w14:ligatures w14:val="standardContextual"/>
                    </w:rPr>
                  </w:pPr>
                  <w:r>
                    <w:rPr>
                      <w:color w:val="auto"/>
                      <w14:ligatures w14:val="standardContextual"/>
                    </w:rPr>
                    <w:t>1.077t/a</w:t>
                  </w:r>
                </w:p>
                <w:p w14:paraId="54EC8354">
                  <w:pPr>
                    <w:widowControl w:val="0"/>
                    <w:overflowPunct w:val="0"/>
                    <w:autoSpaceDE w:val="0"/>
                    <w:autoSpaceDN w:val="0"/>
                    <w:snapToGrid w:val="0"/>
                    <w:jc w:val="center"/>
                    <w:rPr>
                      <w:color w:val="auto"/>
                      <w14:ligatures w14:val="standardContextual"/>
                    </w:rPr>
                  </w:pPr>
                  <w:r>
                    <w:rPr>
                      <w:color w:val="auto"/>
                      <w14:ligatures w14:val="standardContextual"/>
                    </w:rPr>
                    <w:t>0.449kg/h</w:t>
                  </w:r>
                </w:p>
              </w:tc>
              <w:tc>
                <w:tcPr>
                  <w:tcW w:w="723" w:type="dxa"/>
                  <w:vAlign w:val="center"/>
                </w:tcPr>
                <w:p w14:paraId="107702A3">
                  <w:pPr>
                    <w:widowControl w:val="0"/>
                    <w:overflowPunct w:val="0"/>
                    <w:autoSpaceDE w:val="0"/>
                    <w:autoSpaceDN w:val="0"/>
                    <w:snapToGrid w:val="0"/>
                    <w:jc w:val="center"/>
                    <w:rPr>
                      <w:color w:val="auto"/>
                      <w14:ligatures w14:val="standardContextual"/>
                    </w:rPr>
                  </w:pPr>
                  <w:r>
                    <w:rPr>
                      <w:color w:val="auto"/>
                      <w14:ligatures w14:val="standardContextual"/>
                    </w:rPr>
                    <w:t>44.9</w:t>
                  </w:r>
                </w:p>
              </w:tc>
              <w:tc>
                <w:tcPr>
                  <w:tcW w:w="723" w:type="dxa"/>
                  <w:vAlign w:val="center"/>
                </w:tcPr>
                <w:p w14:paraId="36A02E96">
                  <w:pPr>
                    <w:widowControl w:val="0"/>
                    <w:overflowPunct w:val="0"/>
                    <w:autoSpaceDE w:val="0"/>
                    <w:autoSpaceDN w:val="0"/>
                    <w:snapToGrid w:val="0"/>
                    <w:jc w:val="center"/>
                    <w:rPr>
                      <w:color w:val="auto"/>
                      <w14:ligatures w14:val="standardContextual"/>
                    </w:rPr>
                  </w:pPr>
                  <w:r>
                    <w:rPr>
                      <w:rFonts w:hint="eastAsia"/>
                      <w:color w:val="auto"/>
                      <w14:ligatures w14:val="standardContextual"/>
                    </w:rPr>
                    <w:t>120</w:t>
                  </w:r>
                </w:p>
              </w:tc>
              <w:tc>
                <w:tcPr>
                  <w:tcW w:w="563" w:type="dxa"/>
                  <w:vAlign w:val="center"/>
                </w:tcPr>
                <w:p w14:paraId="3A280948">
                  <w:pPr>
                    <w:widowControl w:val="0"/>
                    <w:overflowPunct w:val="0"/>
                    <w:autoSpaceDE w:val="0"/>
                    <w:autoSpaceDN w:val="0"/>
                    <w:snapToGrid w:val="0"/>
                    <w:jc w:val="center"/>
                    <w:rPr>
                      <w:color w:val="auto"/>
                      <w14:ligatures w14:val="standardContextual"/>
                    </w:rPr>
                  </w:pPr>
                  <w:r>
                    <w:rPr>
                      <w:rFonts w:hint="eastAsia"/>
                      <w:color w:val="auto"/>
                      <w14:ligatures w14:val="standardContextual"/>
                    </w:rPr>
                    <w:t>3.5</w:t>
                  </w:r>
                </w:p>
              </w:tc>
            </w:tr>
            <w:tr w14:paraId="218F2D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006" w:type="dxa"/>
                  <w:vAlign w:val="center"/>
                </w:tcPr>
                <w:p w14:paraId="2A3CC08C">
                  <w:pPr>
                    <w:widowControl w:val="0"/>
                    <w:overflowPunct w:val="0"/>
                    <w:autoSpaceDE w:val="0"/>
                    <w:autoSpaceDN w:val="0"/>
                    <w:snapToGrid w:val="0"/>
                    <w:jc w:val="center"/>
                    <w:rPr>
                      <w:color w:val="auto"/>
                      <w14:ligatures w14:val="standardContextual"/>
                    </w:rPr>
                  </w:pPr>
                  <w:bookmarkStart w:id="61" w:name="_Hlk192784239"/>
                  <w:r>
                    <w:rPr>
                      <w:rFonts w:hint="eastAsia"/>
                      <w:color w:val="auto"/>
                      <w14:ligatures w14:val="standardContextual"/>
                    </w:rPr>
                    <w:t>破碎、筛分、磁选、风选粉尘</w:t>
                  </w:r>
                </w:p>
              </w:tc>
              <w:tc>
                <w:tcPr>
                  <w:tcW w:w="830" w:type="dxa"/>
                  <w:vAlign w:val="center"/>
                </w:tcPr>
                <w:p w14:paraId="77B39632">
                  <w:pPr>
                    <w:widowControl w:val="0"/>
                    <w:overflowPunct w:val="0"/>
                    <w:autoSpaceDE w:val="0"/>
                    <w:autoSpaceDN w:val="0"/>
                    <w:snapToGrid w:val="0"/>
                    <w:jc w:val="center"/>
                    <w:rPr>
                      <w:color w:val="auto"/>
                      <w14:ligatures w14:val="standardContextual"/>
                    </w:rPr>
                  </w:pPr>
                  <w:r>
                    <w:rPr>
                      <w:rFonts w:hint="eastAsia"/>
                      <w:color w:val="auto"/>
                      <w14:ligatures w14:val="standardContextual"/>
                    </w:rPr>
                    <w:t>颗粒物</w:t>
                  </w:r>
                </w:p>
              </w:tc>
              <w:tc>
                <w:tcPr>
                  <w:tcW w:w="1396" w:type="dxa"/>
                  <w:vAlign w:val="center"/>
                </w:tcPr>
                <w:p w14:paraId="3275838D">
                  <w:pPr>
                    <w:widowControl w:val="0"/>
                    <w:overflowPunct w:val="0"/>
                    <w:autoSpaceDE w:val="0"/>
                    <w:autoSpaceDN w:val="0"/>
                    <w:snapToGrid w:val="0"/>
                    <w:jc w:val="center"/>
                    <w:rPr>
                      <w:color w:val="auto"/>
                      <w14:ligatures w14:val="standardContextual"/>
                    </w:rPr>
                  </w:pPr>
                  <w:r>
                    <w:rPr>
                      <w:color w:val="auto"/>
                      <w14:ligatures w14:val="standardContextual"/>
                    </w:rPr>
                    <w:t>26.929t/a</w:t>
                  </w:r>
                </w:p>
                <w:p w14:paraId="3F95E61D">
                  <w:pPr>
                    <w:widowControl w:val="0"/>
                    <w:overflowPunct w:val="0"/>
                    <w:autoSpaceDE w:val="0"/>
                    <w:autoSpaceDN w:val="0"/>
                    <w:snapToGrid w:val="0"/>
                    <w:jc w:val="center"/>
                    <w:rPr>
                      <w:color w:val="auto"/>
                      <w14:ligatures w14:val="standardContextual"/>
                    </w:rPr>
                  </w:pPr>
                  <w:r>
                    <w:rPr>
                      <w:color w:val="auto"/>
                      <w14:ligatures w14:val="standardContextual"/>
                    </w:rPr>
                    <w:t>11.22kg/h</w:t>
                  </w:r>
                </w:p>
              </w:tc>
              <w:tc>
                <w:tcPr>
                  <w:tcW w:w="753" w:type="dxa"/>
                  <w:vAlign w:val="center"/>
                </w:tcPr>
                <w:p w14:paraId="74A9BA61">
                  <w:pPr>
                    <w:widowControl w:val="0"/>
                    <w:overflowPunct w:val="0"/>
                    <w:autoSpaceDE w:val="0"/>
                    <w:autoSpaceDN w:val="0"/>
                    <w:snapToGrid w:val="0"/>
                    <w:jc w:val="center"/>
                    <w:rPr>
                      <w:color w:val="auto"/>
                      <w14:ligatures w14:val="standardContextual"/>
                    </w:rPr>
                  </w:pPr>
                  <w:r>
                    <w:rPr>
                      <w:rFonts w:hint="eastAsia"/>
                      <w:color w:val="auto"/>
                      <w14:ligatures w14:val="standardContextual"/>
                    </w:rPr>
                    <w:t>/</w:t>
                  </w:r>
                </w:p>
              </w:tc>
              <w:tc>
                <w:tcPr>
                  <w:tcW w:w="778" w:type="dxa"/>
                  <w:vMerge w:val="restart"/>
                  <w:vAlign w:val="center"/>
                </w:tcPr>
                <w:p w14:paraId="2E5FFEE5">
                  <w:pPr>
                    <w:widowControl w:val="0"/>
                    <w:overflowPunct w:val="0"/>
                    <w:autoSpaceDE w:val="0"/>
                    <w:autoSpaceDN w:val="0"/>
                    <w:snapToGrid w:val="0"/>
                    <w:jc w:val="center"/>
                    <w:rPr>
                      <w:color w:val="auto"/>
                      <w14:ligatures w14:val="standardContextual"/>
                    </w:rPr>
                  </w:pPr>
                  <w:r>
                    <w:rPr>
                      <w:rFonts w:hint="eastAsia"/>
                      <w:color w:val="auto"/>
                      <w14:ligatures w14:val="standardContextual"/>
                    </w:rPr>
                    <w:t>无组织</w:t>
                  </w:r>
                </w:p>
              </w:tc>
              <w:tc>
                <w:tcPr>
                  <w:tcW w:w="1063" w:type="dxa"/>
                  <w:vAlign w:val="center"/>
                </w:tcPr>
                <w:p w14:paraId="33C26126">
                  <w:pPr>
                    <w:widowControl w:val="0"/>
                    <w:overflowPunct w:val="0"/>
                    <w:autoSpaceDE w:val="0"/>
                    <w:autoSpaceDN w:val="0"/>
                    <w:snapToGrid w:val="0"/>
                    <w:jc w:val="center"/>
                    <w:rPr>
                      <w:color w:val="auto"/>
                      <w14:ligatures w14:val="standardContextual"/>
                    </w:rPr>
                  </w:pPr>
                  <w:r>
                    <w:rPr>
                      <w:rFonts w:hint="eastAsia"/>
                      <w:color w:val="auto"/>
                      <w14:ligatures w14:val="standardContextual"/>
                    </w:rPr>
                    <w:t>/</w:t>
                  </w:r>
                </w:p>
              </w:tc>
              <w:tc>
                <w:tcPr>
                  <w:tcW w:w="1086" w:type="dxa"/>
                  <w:vAlign w:val="center"/>
                </w:tcPr>
                <w:p w14:paraId="4315ACFF">
                  <w:pPr>
                    <w:widowControl w:val="0"/>
                    <w:overflowPunct w:val="0"/>
                    <w:autoSpaceDE w:val="0"/>
                    <w:autoSpaceDN w:val="0"/>
                    <w:snapToGrid w:val="0"/>
                    <w:jc w:val="center"/>
                    <w:rPr>
                      <w:color w:val="auto"/>
                      <w14:ligatures w14:val="standardContextual"/>
                    </w:rPr>
                  </w:pPr>
                  <w:r>
                    <w:rPr>
                      <w:rFonts w:hint="eastAsia"/>
                      <w:color w:val="auto"/>
                      <w14:ligatures w14:val="standardContextual"/>
                    </w:rPr>
                    <w:t>90%</w:t>
                  </w:r>
                </w:p>
              </w:tc>
              <w:tc>
                <w:tcPr>
                  <w:tcW w:w="829" w:type="dxa"/>
                  <w:vAlign w:val="center"/>
                </w:tcPr>
                <w:p w14:paraId="319A8356">
                  <w:pPr>
                    <w:widowControl w:val="0"/>
                    <w:overflowPunct w:val="0"/>
                    <w:autoSpaceDE w:val="0"/>
                    <w:autoSpaceDN w:val="0"/>
                    <w:snapToGrid w:val="0"/>
                    <w:jc w:val="center"/>
                    <w:rPr>
                      <w:color w:val="auto"/>
                      <w14:ligatures w14:val="standardContextual"/>
                    </w:rPr>
                  </w:pPr>
                  <w:r>
                    <w:rPr>
                      <w:color w:val="auto"/>
                      <w14:ligatures w14:val="standardContextual"/>
                    </w:rPr>
                    <w:t>是</w:t>
                  </w:r>
                </w:p>
              </w:tc>
              <w:tc>
                <w:tcPr>
                  <w:tcW w:w="1387" w:type="dxa"/>
                  <w:vAlign w:val="center"/>
                </w:tcPr>
                <w:p w14:paraId="0FAD45C6">
                  <w:pPr>
                    <w:widowControl w:val="0"/>
                    <w:overflowPunct w:val="0"/>
                    <w:autoSpaceDE w:val="0"/>
                    <w:autoSpaceDN w:val="0"/>
                    <w:snapToGrid w:val="0"/>
                    <w:jc w:val="center"/>
                    <w:rPr>
                      <w:color w:val="auto"/>
                      <w14:ligatures w14:val="standardContextual"/>
                    </w:rPr>
                  </w:pPr>
                  <w:r>
                    <w:rPr>
                      <w:rFonts w:hint="eastAsia"/>
                      <w:color w:val="auto"/>
                      <w14:ligatures w14:val="standardContextual"/>
                    </w:rPr>
                    <w:t>车间密闭，内部清扫</w:t>
                  </w:r>
                </w:p>
              </w:tc>
              <w:tc>
                <w:tcPr>
                  <w:tcW w:w="1223" w:type="dxa"/>
                  <w:vAlign w:val="center"/>
                </w:tcPr>
                <w:p w14:paraId="1000E651">
                  <w:pPr>
                    <w:widowControl w:val="0"/>
                    <w:overflowPunct w:val="0"/>
                    <w:autoSpaceDE w:val="0"/>
                    <w:autoSpaceDN w:val="0"/>
                    <w:snapToGrid w:val="0"/>
                    <w:jc w:val="center"/>
                    <w:rPr>
                      <w:color w:val="auto"/>
                      <w14:ligatures w14:val="standardContextual"/>
                    </w:rPr>
                  </w:pPr>
                  <w:r>
                    <w:rPr>
                      <w:color w:val="auto"/>
                      <w14:ligatures w14:val="standardContextual"/>
                    </w:rPr>
                    <w:t>2.693t/a</w:t>
                  </w:r>
                </w:p>
                <w:p w14:paraId="055A7402">
                  <w:pPr>
                    <w:widowControl w:val="0"/>
                    <w:overflowPunct w:val="0"/>
                    <w:autoSpaceDE w:val="0"/>
                    <w:autoSpaceDN w:val="0"/>
                    <w:snapToGrid w:val="0"/>
                    <w:jc w:val="center"/>
                    <w:rPr>
                      <w:color w:val="auto"/>
                      <w14:ligatures w14:val="standardContextual"/>
                    </w:rPr>
                  </w:pPr>
                  <w:r>
                    <w:rPr>
                      <w:color w:val="auto"/>
                      <w14:ligatures w14:val="standardContextual"/>
                    </w:rPr>
                    <w:t>1.122kg/h</w:t>
                  </w:r>
                </w:p>
              </w:tc>
              <w:tc>
                <w:tcPr>
                  <w:tcW w:w="723" w:type="dxa"/>
                  <w:vAlign w:val="center"/>
                </w:tcPr>
                <w:p w14:paraId="7A21113E">
                  <w:pPr>
                    <w:widowControl w:val="0"/>
                    <w:overflowPunct w:val="0"/>
                    <w:autoSpaceDE w:val="0"/>
                    <w:autoSpaceDN w:val="0"/>
                    <w:snapToGrid w:val="0"/>
                    <w:rPr>
                      <w:color w:val="auto"/>
                      <w14:ligatures w14:val="standardContextual"/>
                    </w:rPr>
                  </w:pPr>
                  <w:r>
                    <w:rPr>
                      <w:rFonts w:hint="eastAsia"/>
                      <w:color w:val="auto"/>
                      <w14:ligatures w14:val="standardContextual"/>
                    </w:rPr>
                    <w:t>/</w:t>
                  </w:r>
                </w:p>
              </w:tc>
              <w:tc>
                <w:tcPr>
                  <w:tcW w:w="723" w:type="dxa"/>
                  <w:vAlign w:val="center"/>
                </w:tcPr>
                <w:p w14:paraId="619F7148">
                  <w:pPr>
                    <w:widowControl w:val="0"/>
                    <w:overflowPunct w:val="0"/>
                    <w:autoSpaceDE w:val="0"/>
                    <w:autoSpaceDN w:val="0"/>
                    <w:snapToGrid w:val="0"/>
                    <w:jc w:val="center"/>
                    <w:rPr>
                      <w:color w:val="auto"/>
                      <w14:ligatures w14:val="standardContextual"/>
                    </w:rPr>
                  </w:pPr>
                  <w:r>
                    <w:rPr>
                      <w:rFonts w:hint="eastAsia"/>
                      <w:color w:val="auto"/>
                      <w14:ligatures w14:val="standardContextual"/>
                    </w:rPr>
                    <w:t>/</w:t>
                  </w:r>
                </w:p>
              </w:tc>
              <w:tc>
                <w:tcPr>
                  <w:tcW w:w="563" w:type="dxa"/>
                  <w:vAlign w:val="center"/>
                </w:tcPr>
                <w:p w14:paraId="3CC9B771">
                  <w:pPr>
                    <w:widowControl w:val="0"/>
                    <w:overflowPunct w:val="0"/>
                    <w:autoSpaceDE w:val="0"/>
                    <w:autoSpaceDN w:val="0"/>
                    <w:snapToGrid w:val="0"/>
                    <w:jc w:val="center"/>
                    <w:rPr>
                      <w:color w:val="auto"/>
                      <w14:ligatures w14:val="standardContextual"/>
                    </w:rPr>
                  </w:pPr>
                  <w:r>
                    <w:rPr>
                      <w:rFonts w:hint="eastAsia"/>
                      <w:color w:val="auto"/>
                      <w14:ligatures w14:val="standardContextual"/>
                    </w:rPr>
                    <w:t>/</w:t>
                  </w:r>
                </w:p>
              </w:tc>
            </w:tr>
            <w:tr w14:paraId="223AB4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006" w:type="dxa"/>
                  <w:vAlign w:val="center"/>
                </w:tcPr>
                <w:p w14:paraId="42743833">
                  <w:pPr>
                    <w:widowControl w:val="0"/>
                    <w:overflowPunct w:val="0"/>
                    <w:autoSpaceDE w:val="0"/>
                    <w:autoSpaceDN w:val="0"/>
                    <w:snapToGrid w:val="0"/>
                    <w:jc w:val="center"/>
                    <w:rPr>
                      <w:color w:val="auto"/>
                      <w14:ligatures w14:val="standardContextual"/>
                    </w:rPr>
                  </w:pPr>
                  <w:r>
                    <w:rPr>
                      <w:rFonts w:hint="eastAsia"/>
                      <w:color w:val="auto"/>
                      <w14:ligatures w14:val="standardContextual"/>
                    </w:rPr>
                    <w:t>卸料、贮存、上料粉尘</w:t>
                  </w:r>
                </w:p>
              </w:tc>
              <w:tc>
                <w:tcPr>
                  <w:tcW w:w="830" w:type="dxa"/>
                  <w:vAlign w:val="center"/>
                </w:tcPr>
                <w:p w14:paraId="7F9CDD68">
                  <w:pPr>
                    <w:widowControl w:val="0"/>
                    <w:overflowPunct w:val="0"/>
                    <w:autoSpaceDE w:val="0"/>
                    <w:autoSpaceDN w:val="0"/>
                    <w:snapToGrid w:val="0"/>
                    <w:jc w:val="center"/>
                    <w:rPr>
                      <w:color w:val="auto"/>
                      <w14:ligatures w14:val="standardContextual"/>
                    </w:rPr>
                  </w:pPr>
                  <w:r>
                    <w:rPr>
                      <w:rFonts w:hint="eastAsia"/>
                      <w:color w:val="auto"/>
                      <w14:ligatures w14:val="standardContextual"/>
                    </w:rPr>
                    <w:t>颗粒物</w:t>
                  </w:r>
                </w:p>
              </w:tc>
              <w:tc>
                <w:tcPr>
                  <w:tcW w:w="1396" w:type="dxa"/>
                  <w:vAlign w:val="center"/>
                </w:tcPr>
                <w:p w14:paraId="092F337C">
                  <w:pPr>
                    <w:widowControl w:val="0"/>
                    <w:overflowPunct w:val="0"/>
                    <w:autoSpaceDE w:val="0"/>
                    <w:autoSpaceDN w:val="0"/>
                    <w:snapToGrid w:val="0"/>
                    <w:jc w:val="center"/>
                    <w:rPr>
                      <w:color w:val="auto"/>
                      <w14:ligatures w14:val="standardContextual"/>
                    </w:rPr>
                  </w:pPr>
                  <w:r>
                    <w:rPr>
                      <w:color w:val="auto"/>
                      <w14:ligatures w14:val="standardContextual"/>
                    </w:rPr>
                    <w:t>193.893t/a</w:t>
                  </w:r>
                </w:p>
                <w:p w14:paraId="3FE6D9AA">
                  <w:pPr>
                    <w:widowControl w:val="0"/>
                    <w:overflowPunct w:val="0"/>
                    <w:autoSpaceDE w:val="0"/>
                    <w:autoSpaceDN w:val="0"/>
                    <w:snapToGrid w:val="0"/>
                    <w:jc w:val="center"/>
                    <w:rPr>
                      <w:color w:val="auto"/>
                      <w14:ligatures w14:val="standardContextual"/>
                    </w:rPr>
                  </w:pPr>
                  <w:r>
                    <w:rPr>
                      <w:color w:val="auto"/>
                      <w14:ligatures w14:val="standardContextual"/>
                    </w:rPr>
                    <w:t>80.789kg/h</w:t>
                  </w:r>
                </w:p>
              </w:tc>
              <w:tc>
                <w:tcPr>
                  <w:tcW w:w="753" w:type="dxa"/>
                  <w:vAlign w:val="center"/>
                </w:tcPr>
                <w:p w14:paraId="16392467">
                  <w:pPr>
                    <w:widowControl w:val="0"/>
                    <w:overflowPunct w:val="0"/>
                    <w:autoSpaceDE w:val="0"/>
                    <w:autoSpaceDN w:val="0"/>
                    <w:snapToGrid w:val="0"/>
                    <w:jc w:val="center"/>
                    <w:rPr>
                      <w:color w:val="auto"/>
                      <w14:ligatures w14:val="standardContextual"/>
                    </w:rPr>
                  </w:pPr>
                  <w:r>
                    <w:rPr>
                      <w:rFonts w:hint="eastAsia"/>
                      <w:color w:val="auto"/>
                      <w14:ligatures w14:val="standardContextual"/>
                    </w:rPr>
                    <w:t>/</w:t>
                  </w:r>
                </w:p>
              </w:tc>
              <w:tc>
                <w:tcPr>
                  <w:tcW w:w="778" w:type="dxa"/>
                  <w:vMerge w:val="continue"/>
                  <w:vAlign w:val="center"/>
                </w:tcPr>
                <w:p w14:paraId="29364E7F">
                  <w:pPr>
                    <w:widowControl w:val="0"/>
                    <w:overflowPunct w:val="0"/>
                    <w:autoSpaceDE w:val="0"/>
                    <w:autoSpaceDN w:val="0"/>
                    <w:snapToGrid w:val="0"/>
                    <w:jc w:val="center"/>
                    <w:rPr>
                      <w:color w:val="auto"/>
                      <w14:ligatures w14:val="standardContextual"/>
                    </w:rPr>
                  </w:pPr>
                </w:p>
              </w:tc>
              <w:tc>
                <w:tcPr>
                  <w:tcW w:w="1063" w:type="dxa"/>
                  <w:vAlign w:val="center"/>
                </w:tcPr>
                <w:p w14:paraId="236E3821">
                  <w:pPr>
                    <w:widowControl w:val="0"/>
                    <w:overflowPunct w:val="0"/>
                    <w:autoSpaceDE w:val="0"/>
                    <w:autoSpaceDN w:val="0"/>
                    <w:snapToGrid w:val="0"/>
                    <w:jc w:val="center"/>
                    <w:rPr>
                      <w:color w:val="auto"/>
                      <w14:ligatures w14:val="standardContextual"/>
                    </w:rPr>
                  </w:pPr>
                  <w:r>
                    <w:rPr>
                      <w:rFonts w:hint="eastAsia"/>
                      <w:color w:val="auto"/>
                      <w14:ligatures w14:val="standardContextual"/>
                    </w:rPr>
                    <w:t>/</w:t>
                  </w:r>
                </w:p>
              </w:tc>
              <w:tc>
                <w:tcPr>
                  <w:tcW w:w="1086" w:type="dxa"/>
                  <w:vAlign w:val="center"/>
                </w:tcPr>
                <w:p w14:paraId="566C033C">
                  <w:pPr>
                    <w:widowControl w:val="0"/>
                    <w:overflowPunct w:val="0"/>
                    <w:autoSpaceDE w:val="0"/>
                    <w:autoSpaceDN w:val="0"/>
                    <w:snapToGrid w:val="0"/>
                    <w:jc w:val="center"/>
                    <w:rPr>
                      <w:color w:val="auto"/>
                      <w14:ligatures w14:val="standardContextual"/>
                    </w:rPr>
                  </w:pPr>
                  <w:r>
                    <w:rPr>
                      <w:rFonts w:hint="eastAsia"/>
                      <w:color w:val="auto"/>
                      <w14:ligatures w14:val="standardContextual"/>
                    </w:rPr>
                    <w:t>95%</w:t>
                  </w:r>
                </w:p>
              </w:tc>
              <w:tc>
                <w:tcPr>
                  <w:tcW w:w="829" w:type="dxa"/>
                  <w:vAlign w:val="center"/>
                </w:tcPr>
                <w:p w14:paraId="08C4E5F3">
                  <w:pPr>
                    <w:widowControl w:val="0"/>
                    <w:overflowPunct w:val="0"/>
                    <w:autoSpaceDE w:val="0"/>
                    <w:autoSpaceDN w:val="0"/>
                    <w:snapToGrid w:val="0"/>
                    <w:jc w:val="center"/>
                    <w:rPr>
                      <w:color w:val="auto"/>
                      <w14:ligatures w14:val="standardContextual"/>
                    </w:rPr>
                  </w:pPr>
                  <w:r>
                    <w:rPr>
                      <w:color w:val="auto"/>
                      <w14:ligatures w14:val="standardContextual"/>
                    </w:rPr>
                    <w:t>是</w:t>
                  </w:r>
                </w:p>
              </w:tc>
              <w:tc>
                <w:tcPr>
                  <w:tcW w:w="1387" w:type="dxa"/>
                  <w:vAlign w:val="center"/>
                </w:tcPr>
                <w:p w14:paraId="04B643E4">
                  <w:pPr>
                    <w:widowControl w:val="0"/>
                    <w:overflowPunct w:val="0"/>
                    <w:autoSpaceDE w:val="0"/>
                    <w:autoSpaceDN w:val="0"/>
                    <w:snapToGrid w:val="0"/>
                    <w:jc w:val="center"/>
                    <w:rPr>
                      <w:color w:val="auto"/>
                      <w14:ligatures w14:val="standardContextual"/>
                    </w:rPr>
                  </w:pPr>
                  <w:r>
                    <w:rPr>
                      <w:rFonts w:hint="eastAsia"/>
                      <w:color w:val="auto"/>
                      <w14:ligatures w14:val="standardContextual"/>
                    </w:rPr>
                    <w:t>封闭厂房、喷雾降尘，出入车辆冲洗</w:t>
                  </w:r>
                </w:p>
              </w:tc>
              <w:tc>
                <w:tcPr>
                  <w:tcW w:w="1223" w:type="dxa"/>
                  <w:vAlign w:val="center"/>
                </w:tcPr>
                <w:p w14:paraId="093F7067">
                  <w:pPr>
                    <w:widowControl w:val="0"/>
                    <w:overflowPunct w:val="0"/>
                    <w:autoSpaceDE w:val="0"/>
                    <w:autoSpaceDN w:val="0"/>
                    <w:snapToGrid w:val="0"/>
                    <w:jc w:val="center"/>
                    <w:rPr>
                      <w:color w:val="auto"/>
                      <w14:ligatures w14:val="standardContextual"/>
                    </w:rPr>
                  </w:pPr>
                  <w:r>
                    <w:rPr>
                      <w:color w:val="auto"/>
                      <w14:ligatures w14:val="standardContextual"/>
                    </w:rPr>
                    <w:t>9.695t/a</w:t>
                  </w:r>
                </w:p>
                <w:p w14:paraId="5F574689">
                  <w:pPr>
                    <w:widowControl w:val="0"/>
                    <w:overflowPunct w:val="0"/>
                    <w:autoSpaceDE w:val="0"/>
                    <w:autoSpaceDN w:val="0"/>
                    <w:snapToGrid w:val="0"/>
                    <w:jc w:val="center"/>
                    <w:rPr>
                      <w:color w:val="auto"/>
                      <w14:ligatures w14:val="standardContextual"/>
                    </w:rPr>
                  </w:pPr>
                  <w:r>
                    <w:rPr>
                      <w:color w:val="auto"/>
                      <w14:ligatures w14:val="standardContextual"/>
                    </w:rPr>
                    <w:t>4.039kg/h</w:t>
                  </w:r>
                </w:p>
              </w:tc>
              <w:tc>
                <w:tcPr>
                  <w:tcW w:w="723" w:type="dxa"/>
                  <w:vAlign w:val="center"/>
                </w:tcPr>
                <w:p w14:paraId="3239E544">
                  <w:pPr>
                    <w:widowControl w:val="0"/>
                    <w:overflowPunct w:val="0"/>
                    <w:autoSpaceDE w:val="0"/>
                    <w:autoSpaceDN w:val="0"/>
                    <w:snapToGrid w:val="0"/>
                    <w:jc w:val="center"/>
                    <w:rPr>
                      <w:color w:val="auto"/>
                      <w14:ligatures w14:val="standardContextual"/>
                    </w:rPr>
                  </w:pPr>
                  <w:r>
                    <w:rPr>
                      <w:rFonts w:hint="eastAsia"/>
                      <w:color w:val="auto"/>
                      <w14:ligatures w14:val="standardContextual"/>
                    </w:rPr>
                    <w:t>/</w:t>
                  </w:r>
                </w:p>
              </w:tc>
              <w:tc>
                <w:tcPr>
                  <w:tcW w:w="723" w:type="dxa"/>
                  <w:vAlign w:val="center"/>
                </w:tcPr>
                <w:p w14:paraId="721D1FF7">
                  <w:pPr>
                    <w:widowControl w:val="0"/>
                    <w:overflowPunct w:val="0"/>
                    <w:autoSpaceDE w:val="0"/>
                    <w:autoSpaceDN w:val="0"/>
                    <w:snapToGrid w:val="0"/>
                    <w:jc w:val="center"/>
                    <w:rPr>
                      <w:color w:val="auto"/>
                      <w14:ligatures w14:val="standardContextual"/>
                    </w:rPr>
                  </w:pPr>
                  <w:r>
                    <w:rPr>
                      <w:rFonts w:hint="eastAsia"/>
                      <w:color w:val="auto"/>
                      <w14:ligatures w14:val="standardContextual"/>
                    </w:rPr>
                    <w:t>/</w:t>
                  </w:r>
                </w:p>
              </w:tc>
              <w:tc>
                <w:tcPr>
                  <w:tcW w:w="563" w:type="dxa"/>
                  <w:vAlign w:val="center"/>
                </w:tcPr>
                <w:p w14:paraId="626044C2">
                  <w:pPr>
                    <w:widowControl w:val="0"/>
                    <w:overflowPunct w:val="0"/>
                    <w:autoSpaceDE w:val="0"/>
                    <w:autoSpaceDN w:val="0"/>
                    <w:snapToGrid w:val="0"/>
                    <w:jc w:val="center"/>
                    <w:rPr>
                      <w:color w:val="auto"/>
                      <w14:ligatures w14:val="standardContextual"/>
                    </w:rPr>
                  </w:pPr>
                  <w:r>
                    <w:rPr>
                      <w:rFonts w:hint="eastAsia"/>
                      <w:color w:val="auto"/>
                      <w14:ligatures w14:val="standardContextual"/>
                    </w:rPr>
                    <w:t>/</w:t>
                  </w:r>
                </w:p>
              </w:tc>
            </w:tr>
            <w:tr w14:paraId="178A14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006" w:type="dxa"/>
                  <w:vAlign w:val="center"/>
                </w:tcPr>
                <w:p w14:paraId="436AD9C7">
                  <w:pPr>
                    <w:widowControl w:val="0"/>
                    <w:overflowPunct w:val="0"/>
                    <w:autoSpaceDE w:val="0"/>
                    <w:autoSpaceDN w:val="0"/>
                    <w:snapToGrid w:val="0"/>
                    <w:jc w:val="center"/>
                    <w:rPr>
                      <w:color w:val="auto"/>
                      <w14:ligatures w14:val="standardContextual"/>
                    </w:rPr>
                  </w:pPr>
                  <w:r>
                    <w:rPr>
                      <w:rFonts w:hint="eastAsia"/>
                      <w:color w:val="auto"/>
                      <w14:ligatures w14:val="standardContextual"/>
                    </w:rPr>
                    <w:t>落料粉尘</w:t>
                  </w:r>
                </w:p>
              </w:tc>
              <w:tc>
                <w:tcPr>
                  <w:tcW w:w="830" w:type="dxa"/>
                  <w:vAlign w:val="center"/>
                </w:tcPr>
                <w:p w14:paraId="7531845A">
                  <w:pPr>
                    <w:widowControl w:val="0"/>
                    <w:overflowPunct w:val="0"/>
                    <w:autoSpaceDE w:val="0"/>
                    <w:autoSpaceDN w:val="0"/>
                    <w:snapToGrid w:val="0"/>
                    <w:jc w:val="center"/>
                    <w:rPr>
                      <w:color w:val="auto"/>
                      <w14:ligatures w14:val="standardContextual"/>
                    </w:rPr>
                  </w:pPr>
                  <w:r>
                    <w:rPr>
                      <w:rFonts w:hint="eastAsia"/>
                      <w:color w:val="auto"/>
                      <w14:ligatures w14:val="standardContextual"/>
                    </w:rPr>
                    <w:t>颗粒物</w:t>
                  </w:r>
                </w:p>
              </w:tc>
              <w:tc>
                <w:tcPr>
                  <w:tcW w:w="1396" w:type="dxa"/>
                  <w:vAlign w:val="center"/>
                </w:tcPr>
                <w:p w14:paraId="431BE2A9">
                  <w:pPr>
                    <w:widowControl w:val="0"/>
                    <w:overflowPunct w:val="0"/>
                    <w:autoSpaceDE w:val="0"/>
                    <w:autoSpaceDN w:val="0"/>
                    <w:snapToGrid w:val="0"/>
                    <w:jc w:val="center"/>
                    <w:rPr>
                      <w:color w:val="auto"/>
                      <w14:ligatures w14:val="standardContextual"/>
                    </w:rPr>
                  </w:pPr>
                  <w:r>
                    <w:rPr>
                      <w:rFonts w:hint="eastAsia"/>
                      <w:color w:val="auto"/>
                      <w14:ligatures w14:val="standardContextual"/>
                    </w:rPr>
                    <w:t>7</w:t>
                  </w:r>
                  <w:r>
                    <w:rPr>
                      <w:color w:val="auto"/>
                      <w14:ligatures w14:val="standardContextual"/>
                    </w:rPr>
                    <w:t>t/a</w:t>
                  </w:r>
                </w:p>
                <w:p w14:paraId="07AF6177">
                  <w:pPr>
                    <w:widowControl w:val="0"/>
                    <w:overflowPunct w:val="0"/>
                    <w:autoSpaceDE w:val="0"/>
                    <w:autoSpaceDN w:val="0"/>
                    <w:snapToGrid w:val="0"/>
                    <w:jc w:val="center"/>
                    <w:rPr>
                      <w:color w:val="auto"/>
                      <w14:ligatures w14:val="standardContextual"/>
                    </w:rPr>
                  </w:pPr>
                  <w:r>
                    <w:rPr>
                      <w:rFonts w:hint="eastAsia"/>
                      <w:color w:val="auto"/>
                      <w14:ligatures w14:val="standardContextual"/>
                    </w:rPr>
                    <w:t>2.917</w:t>
                  </w:r>
                  <w:r>
                    <w:rPr>
                      <w:color w:val="auto"/>
                      <w14:ligatures w14:val="standardContextual"/>
                    </w:rPr>
                    <w:t>kg/h</w:t>
                  </w:r>
                </w:p>
              </w:tc>
              <w:tc>
                <w:tcPr>
                  <w:tcW w:w="753" w:type="dxa"/>
                  <w:vAlign w:val="center"/>
                </w:tcPr>
                <w:p w14:paraId="6E3AD3F1">
                  <w:pPr>
                    <w:widowControl w:val="0"/>
                    <w:overflowPunct w:val="0"/>
                    <w:autoSpaceDE w:val="0"/>
                    <w:autoSpaceDN w:val="0"/>
                    <w:snapToGrid w:val="0"/>
                    <w:jc w:val="center"/>
                    <w:rPr>
                      <w:color w:val="auto"/>
                      <w14:ligatures w14:val="standardContextual"/>
                    </w:rPr>
                  </w:pPr>
                  <w:r>
                    <w:rPr>
                      <w:rFonts w:hint="eastAsia"/>
                      <w:color w:val="auto"/>
                      <w14:ligatures w14:val="standardContextual"/>
                    </w:rPr>
                    <w:t>/</w:t>
                  </w:r>
                </w:p>
              </w:tc>
              <w:tc>
                <w:tcPr>
                  <w:tcW w:w="778" w:type="dxa"/>
                  <w:vMerge w:val="continue"/>
                  <w:vAlign w:val="center"/>
                </w:tcPr>
                <w:p w14:paraId="61E1A9DA">
                  <w:pPr>
                    <w:widowControl w:val="0"/>
                    <w:overflowPunct w:val="0"/>
                    <w:autoSpaceDE w:val="0"/>
                    <w:autoSpaceDN w:val="0"/>
                    <w:snapToGrid w:val="0"/>
                    <w:jc w:val="center"/>
                    <w:rPr>
                      <w:color w:val="auto"/>
                      <w14:ligatures w14:val="standardContextual"/>
                    </w:rPr>
                  </w:pPr>
                </w:p>
              </w:tc>
              <w:tc>
                <w:tcPr>
                  <w:tcW w:w="1063" w:type="dxa"/>
                  <w:vAlign w:val="center"/>
                </w:tcPr>
                <w:p w14:paraId="293E0037">
                  <w:pPr>
                    <w:widowControl w:val="0"/>
                    <w:overflowPunct w:val="0"/>
                    <w:autoSpaceDE w:val="0"/>
                    <w:autoSpaceDN w:val="0"/>
                    <w:snapToGrid w:val="0"/>
                    <w:jc w:val="center"/>
                    <w:rPr>
                      <w:color w:val="auto"/>
                      <w14:ligatures w14:val="standardContextual"/>
                    </w:rPr>
                  </w:pPr>
                  <w:r>
                    <w:rPr>
                      <w:rFonts w:hint="eastAsia"/>
                      <w:color w:val="auto"/>
                      <w14:ligatures w14:val="standardContextual"/>
                    </w:rPr>
                    <w:t>/</w:t>
                  </w:r>
                </w:p>
              </w:tc>
              <w:tc>
                <w:tcPr>
                  <w:tcW w:w="1086" w:type="dxa"/>
                  <w:vAlign w:val="center"/>
                </w:tcPr>
                <w:p w14:paraId="4A9B06A9">
                  <w:pPr>
                    <w:widowControl w:val="0"/>
                    <w:overflowPunct w:val="0"/>
                    <w:autoSpaceDE w:val="0"/>
                    <w:autoSpaceDN w:val="0"/>
                    <w:snapToGrid w:val="0"/>
                    <w:jc w:val="center"/>
                    <w:rPr>
                      <w:color w:val="auto"/>
                      <w14:ligatures w14:val="standardContextual"/>
                    </w:rPr>
                  </w:pPr>
                  <w:r>
                    <w:rPr>
                      <w:rFonts w:hint="eastAsia"/>
                      <w:color w:val="auto"/>
                      <w14:ligatures w14:val="standardContextual"/>
                    </w:rPr>
                    <w:t>95%</w:t>
                  </w:r>
                </w:p>
              </w:tc>
              <w:tc>
                <w:tcPr>
                  <w:tcW w:w="829" w:type="dxa"/>
                  <w:vAlign w:val="center"/>
                </w:tcPr>
                <w:p w14:paraId="385B6294">
                  <w:pPr>
                    <w:widowControl w:val="0"/>
                    <w:overflowPunct w:val="0"/>
                    <w:autoSpaceDE w:val="0"/>
                    <w:autoSpaceDN w:val="0"/>
                    <w:snapToGrid w:val="0"/>
                    <w:jc w:val="center"/>
                    <w:rPr>
                      <w:color w:val="auto"/>
                      <w14:ligatures w14:val="standardContextual"/>
                    </w:rPr>
                  </w:pPr>
                  <w:r>
                    <w:rPr>
                      <w:color w:val="auto"/>
                      <w14:ligatures w14:val="standardContextual"/>
                    </w:rPr>
                    <w:t>是</w:t>
                  </w:r>
                </w:p>
              </w:tc>
              <w:tc>
                <w:tcPr>
                  <w:tcW w:w="1387" w:type="dxa"/>
                  <w:vAlign w:val="center"/>
                </w:tcPr>
                <w:p w14:paraId="24E191CC">
                  <w:pPr>
                    <w:widowControl w:val="0"/>
                    <w:overflowPunct w:val="0"/>
                    <w:autoSpaceDE w:val="0"/>
                    <w:autoSpaceDN w:val="0"/>
                    <w:snapToGrid w:val="0"/>
                    <w:jc w:val="center"/>
                    <w:rPr>
                      <w:color w:val="auto"/>
                      <w14:ligatures w14:val="standardContextual"/>
                    </w:rPr>
                  </w:pPr>
                  <w:r>
                    <w:rPr>
                      <w:rFonts w:hint="eastAsia"/>
                      <w:color w:val="auto"/>
                      <w14:ligatures w14:val="standardContextual"/>
                    </w:rPr>
                    <w:t>封闭厂房、喷雾除尘、</w:t>
                  </w:r>
                </w:p>
              </w:tc>
              <w:tc>
                <w:tcPr>
                  <w:tcW w:w="1223" w:type="dxa"/>
                  <w:vAlign w:val="center"/>
                </w:tcPr>
                <w:p w14:paraId="7547F434">
                  <w:pPr>
                    <w:widowControl w:val="0"/>
                    <w:overflowPunct w:val="0"/>
                    <w:autoSpaceDE w:val="0"/>
                    <w:autoSpaceDN w:val="0"/>
                    <w:snapToGrid w:val="0"/>
                    <w:jc w:val="center"/>
                    <w:rPr>
                      <w:color w:val="auto"/>
                      <w14:ligatures w14:val="standardContextual"/>
                    </w:rPr>
                  </w:pPr>
                  <w:r>
                    <w:rPr>
                      <w:rFonts w:hint="eastAsia"/>
                      <w:color w:val="auto"/>
                      <w14:ligatures w14:val="standardContextual"/>
                    </w:rPr>
                    <w:t>0.35</w:t>
                  </w:r>
                  <w:r>
                    <w:rPr>
                      <w:color w:val="auto"/>
                      <w14:ligatures w14:val="standardContextual"/>
                    </w:rPr>
                    <w:t>t/a</w:t>
                  </w:r>
                </w:p>
                <w:p w14:paraId="7CA30444">
                  <w:pPr>
                    <w:widowControl w:val="0"/>
                    <w:overflowPunct w:val="0"/>
                    <w:autoSpaceDE w:val="0"/>
                    <w:autoSpaceDN w:val="0"/>
                    <w:snapToGrid w:val="0"/>
                    <w:jc w:val="center"/>
                    <w:rPr>
                      <w:color w:val="auto"/>
                      <w14:ligatures w14:val="standardContextual"/>
                    </w:rPr>
                  </w:pPr>
                  <w:r>
                    <w:rPr>
                      <w:rFonts w:hint="eastAsia"/>
                      <w:color w:val="auto"/>
                      <w14:ligatures w14:val="standardContextual"/>
                    </w:rPr>
                    <w:t>0.146</w:t>
                  </w:r>
                  <w:r>
                    <w:rPr>
                      <w:color w:val="auto"/>
                      <w14:ligatures w14:val="standardContextual"/>
                    </w:rPr>
                    <w:t>kg/h</w:t>
                  </w:r>
                </w:p>
              </w:tc>
              <w:tc>
                <w:tcPr>
                  <w:tcW w:w="723" w:type="dxa"/>
                  <w:vAlign w:val="center"/>
                </w:tcPr>
                <w:p w14:paraId="14E797A5">
                  <w:pPr>
                    <w:widowControl w:val="0"/>
                    <w:overflowPunct w:val="0"/>
                    <w:autoSpaceDE w:val="0"/>
                    <w:autoSpaceDN w:val="0"/>
                    <w:snapToGrid w:val="0"/>
                    <w:jc w:val="center"/>
                    <w:rPr>
                      <w:color w:val="auto"/>
                      <w14:ligatures w14:val="standardContextual"/>
                    </w:rPr>
                  </w:pPr>
                  <w:r>
                    <w:rPr>
                      <w:rFonts w:hint="eastAsia"/>
                      <w:color w:val="auto"/>
                      <w14:ligatures w14:val="standardContextual"/>
                    </w:rPr>
                    <w:t>/</w:t>
                  </w:r>
                </w:p>
              </w:tc>
              <w:tc>
                <w:tcPr>
                  <w:tcW w:w="723" w:type="dxa"/>
                  <w:vAlign w:val="center"/>
                </w:tcPr>
                <w:p w14:paraId="13B160FF">
                  <w:pPr>
                    <w:widowControl w:val="0"/>
                    <w:overflowPunct w:val="0"/>
                    <w:autoSpaceDE w:val="0"/>
                    <w:autoSpaceDN w:val="0"/>
                    <w:snapToGrid w:val="0"/>
                    <w:jc w:val="center"/>
                    <w:rPr>
                      <w:color w:val="auto"/>
                      <w14:ligatures w14:val="standardContextual"/>
                    </w:rPr>
                  </w:pPr>
                  <w:r>
                    <w:rPr>
                      <w:rFonts w:hint="eastAsia"/>
                      <w:color w:val="auto"/>
                      <w14:ligatures w14:val="standardContextual"/>
                    </w:rPr>
                    <w:t>/</w:t>
                  </w:r>
                </w:p>
              </w:tc>
              <w:tc>
                <w:tcPr>
                  <w:tcW w:w="563" w:type="dxa"/>
                  <w:vAlign w:val="center"/>
                </w:tcPr>
                <w:p w14:paraId="16E2D820">
                  <w:pPr>
                    <w:widowControl w:val="0"/>
                    <w:overflowPunct w:val="0"/>
                    <w:autoSpaceDE w:val="0"/>
                    <w:autoSpaceDN w:val="0"/>
                    <w:snapToGrid w:val="0"/>
                    <w:jc w:val="center"/>
                    <w:rPr>
                      <w:color w:val="auto"/>
                      <w14:ligatures w14:val="standardContextual"/>
                    </w:rPr>
                  </w:pPr>
                  <w:r>
                    <w:rPr>
                      <w:rFonts w:hint="eastAsia"/>
                      <w:color w:val="auto"/>
                      <w14:ligatures w14:val="standardContextual"/>
                    </w:rPr>
                    <w:t>/</w:t>
                  </w:r>
                </w:p>
              </w:tc>
            </w:tr>
            <w:tr w14:paraId="330B2E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006" w:type="dxa"/>
                  <w:vAlign w:val="center"/>
                </w:tcPr>
                <w:p w14:paraId="079B7293">
                  <w:pPr>
                    <w:widowControl w:val="0"/>
                    <w:overflowPunct w:val="0"/>
                    <w:autoSpaceDE w:val="0"/>
                    <w:autoSpaceDN w:val="0"/>
                    <w:snapToGrid w:val="0"/>
                    <w:jc w:val="center"/>
                    <w:rPr>
                      <w:color w:val="auto"/>
                      <w14:ligatures w14:val="standardContextual"/>
                    </w:rPr>
                  </w:pPr>
                  <w:r>
                    <w:rPr>
                      <w:rFonts w:hint="eastAsia"/>
                      <w:color w:val="auto"/>
                      <w14:ligatures w14:val="standardContextual"/>
                    </w:rPr>
                    <w:t>车辆运输扬尘</w:t>
                  </w:r>
                </w:p>
              </w:tc>
              <w:tc>
                <w:tcPr>
                  <w:tcW w:w="830" w:type="dxa"/>
                  <w:vAlign w:val="center"/>
                </w:tcPr>
                <w:p w14:paraId="71871571">
                  <w:pPr>
                    <w:widowControl w:val="0"/>
                    <w:overflowPunct w:val="0"/>
                    <w:autoSpaceDE w:val="0"/>
                    <w:autoSpaceDN w:val="0"/>
                    <w:snapToGrid w:val="0"/>
                    <w:jc w:val="center"/>
                    <w:rPr>
                      <w:color w:val="auto"/>
                      <w14:ligatures w14:val="standardContextual"/>
                    </w:rPr>
                  </w:pPr>
                  <w:r>
                    <w:rPr>
                      <w:rFonts w:hint="eastAsia"/>
                      <w:color w:val="auto"/>
                      <w14:ligatures w14:val="standardContextual"/>
                    </w:rPr>
                    <w:t>颗粒物</w:t>
                  </w:r>
                </w:p>
              </w:tc>
              <w:tc>
                <w:tcPr>
                  <w:tcW w:w="1396" w:type="dxa"/>
                  <w:vAlign w:val="center"/>
                </w:tcPr>
                <w:p w14:paraId="45486AAB">
                  <w:pPr>
                    <w:widowControl w:val="0"/>
                    <w:overflowPunct w:val="0"/>
                    <w:autoSpaceDE w:val="0"/>
                    <w:autoSpaceDN w:val="0"/>
                    <w:snapToGrid w:val="0"/>
                    <w:jc w:val="center"/>
                    <w:rPr>
                      <w:color w:val="auto"/>
                      <w14:ligatures w14:val="standardContextual"/>
                    </w:rPr>
                  </w:pPr>
                  <w:r>
                    <w:rPr>
                      <w:rFonts w:hint="eastAsia"/>
                      <w:color w:val="auto"/>
                      <w14:ligatures w14:val="standardContextual"/>
                    </w:rPr>
                    <w:t>0.065</w:t>
                  </w:r>
                  <w:r>
                    <w:rPr>
                      <w:color w:val="auto"/>
                      <w14:ligatures w14:val="standardContextual"/>
                    </w:rPr>
                    <w:t>t/a</w:t>
                  </w:r>
                </w:p>
                <w:p w14:paraId="664E780D">
                  <w:pPr>
                    <w:widowControl w:val="0"/>
                    <w:overflowPunct w:val="0"/>
                    <w:autoSpaceDE w:val="0"/>
                    <w:autoSpaceDN w:val="0"/>
                    <w:snapToGrid w:val="0"/>
                    <w:jc w:val="center"/>
                    <w:rPr>
                      <w:color w:val="auto"/>
                      <w14:ligatures w14:val="standardContextual"/>
                    </w:rPr>
                  </w:pPr>
                  <w:r>
                    <w:rPr>
                      <w:rFonts w:hint="eastAsia"/>
                      <w:color w:val="auto"/>
                      <w14:ligatures w14:val="standardContextual"/>
                    </w:rPr>
                    <w:t>0.027</w:t>
                  </w:r>
                  <w:r>
                    <w:rPr>
                      <w:color w:val="auto"/>
                      <w14:ligatures w14:val="standardContextual"/>
                    </w:rPr>
                    <w:t>kg/h</w:t>
                  </w:r>
                </w:p>
              </w:tc>
              <w:tc>
                <w:tcPr>
                  <w:tcW w:w="753" w:type="dxa"/>
                  <w:vAlign w:val="center"/>
                </w:tcPr>
                <w:p w14:paraId="6B60690E">
                  <w:pPr>
                    <w:widowControl w:val="0"/>
                    <w:overflowPunct w:val="0"/>
                    <w:autoSpaceDE w:val="0"/>
                    <w:autoSpaceDN w:val="0"/>
                    <w:snapToGrid w:val="0"/>
                    <w:jc w:val="center"/>
                    <w:rPr>
                      <w:color w:val="auto"/>
                      <w14:ligatures w14:val="standardContextual"/>
                    </w:rPr>
                  </w:pPr>
                  <w:r>
                    <w:rPr>
                      <w:rFonts w:hint="eastAsia"/>
                      <w:color w:val="auto"/>
                      <w14:ligatures w14:val="standardContextual"/>
                    </w:rPr>
                    <w:t>/</w:t>
                  </w:r>
                </w:p>
              </w:tc>
              <w:tc>
                <w:tcPr>
                  <w:tcW w:w="778" w:type="dxa"/>
                  <w:vMerge w:val="continue"/>
                  <w:vAlign w:val="center"/>
                </w:tcPr>
                <w:p w14:paraId="6CAB3239">
                  <w:pPr>
                    <w:widowControl w:val="0"/>
                    <w:overflowPunct w:val="0"/>
                    <w:autoSpaceDE w:val="0"/>
                    <w:autoSpaceDN w:val="0"/>
                    <w:snapToGrid w:val="0"/>
                    <w:jc w:val="center"/>
                    <w:rPr>
                      <w:color w:val="auto"/>
                      <w14:ligatures w14:val="standardContextual"/>
                    </w:rPr>
                  </w:pPr>
                </w:p>
              </w:tc>
              <w:tc>
                <w:tcPr>
                  <w:tcW w:w="1063" w:type="dxa"/>
                  <w:vAlign w:val="center"/>
                </w:tcPr>
                <w:p w14:paraId="7EB2A386">
                  <w:pPr>
                    <w:widowControl w:val="0"/>
                    <w:overflowPunct w:val="0"/>
                    <w:autoSpaceDE w:val="0"/>
                    <w:autoSpaceDN w:val="0"/>
                    <w:snapToGrid w:val="0"/>
                    <w:jc w:val="center"/>
                    <w:rPr>
                      <w:color w:val="auto"/>
                      <w14:ligatures w14:val="standardContextual"/>
                    </w:rPr>
                  </w:pPr>
                  <w:r>
                    <w:rPr>
                      <w:rFonts w:hint="eastAsia"/>
                      <w:color w:val="auto"/>
                      <w14:ligatures w14:val="standardContextual"/>
                    </w:rPr>
                    <w:t>/</w:t>
                  </w:r>
                </w:p>
              </w:tc>
              <w:tc>
                <w:tcPr>
                  <w:tcW w:w="1086" w:type="dxa"/>
                  <w:vAlign w:val="center"/>
                </w:tcPr>
                <w:p w14:paraId="26383E66">
                  <w:pPr>
                    <w:widowControl w:val="0"/>
                    <w:overflowPunct w:val="0"/>
                    <w:autoSpaceDE w:val="0"/>
                    <w:autoSpaceDN w:val="0"/>
                    <w:snapToGrid w:val="0"/>
                    <w:jc w:val="center"/>
                    <w:rPr>
                      <w:color w:val="auto"/>
                      <w14:ligatures w14:val="standardContextual"/>
                    </w:rPr>
                  </w:pPr>
                  <w:r>
                    <w:rPr>
                      <w:rFonts w:hint="eastAsia"/>
                      <w:color w:val="auto"/>
                      <w14:ligatures w14:val="standardContextual"/>
                    </w:rPr>
                    <w:t>90%</w:t>
                  </w:r>
                </w:p>
              </w:tc>
              <w:tc>
                <w:tcPr>
                  <w:tcW w:w="829" w:type="dxa"/>
                  <w:vAlign w:val="center"/>
                </w:tcPr>
                <w:p w14:paraId="56BE8620">
                  <w:pPr>
                    <w:widowControl w:val="0"/>
                    <w:overflowPunct w:val="0"/>
                    <w:autoSpaceDE w:val="0"/>
                    <w:autoSpaceDN w:val="0"/>
                    <w:snapToGrid w:val="0"/>
                    <w:jc w:val="center"/>
                    <w:rPr>
                      <w:color w:val="auto"/>
                      <w14:ligatures w14:val="standardContextual"/>
                    </w:rPr>
                  </w:pPr>
                  <w:r>
                    <w:rPr>
                      <w:color w:val="auto"/>
                      <w14:ligatures w14:val="standardContextual"/>
                    </w:rPr>
                    <w:t>是</w:t>
                  </w:r>
                </w:p>
              </w:tc>
              <w:tc>
                <w:tcPr>
                  <w:tcW w:w="1387" w:type="dxa"/>
                  <w:vAlign w:val="center"/>
                </w:tcPr>
                <w:p w14:paraId="662C66DE">
                  <w:pPr>
                    <w:widowControl w:val="0"/>
                    <w:overflowPunct w:val="0"/>
                    <w:autoSpaceDE w:val="0"/>
                    <w:autoSpaceDN w:val="0"/>
                    <w:snapToGrid w:val="0"/>
                    <w:jc w:val="center"/>
                    <w:rPr>
                      <w:color w:val="auto"/>
                      <w14:ligatures w14:val="standardContextual"/>
                    </w:rPr>
                  </w:pPr>
                  <w:r>
                    <w:rPr>
                      <w:rFonts w:hint="eastAsia"/>
                      <w:color w:val="auto"/>
                      <w14:ligatures w14:val="standardContextual"/>
                    </w:rPr>
                    <w:t>道路硬化、定期洒水、运输车辆加盖毡布</w:t>
                  </w:r>
                </w:p>
              </w:tc>
              <w:tc>
                <w:tcPr>
                  <w:tcW w:w="1223" w:type="dxa"/>
                  <w:vAlign w:val="center"/>
                </w:tcPr>
                <w:p w14:paraId="48DB7809">
                  <w:pPr>
                    <w:widowControl w:val="0"/>
                    <w:overflowPunct w:val="0"/>
                    <w:autoSpaceDE w:val="0"/>
                    <w:autoSpaceDN w:val="0"/>
                    <w:snapToGrid w:val="0"/>
                    <w:jc w:val="center"/>
                    <w:rPr>
                      <w:color w:val="auto"/>
                      <w14:ligatures w14:val="standardContextual"/>
                    </w:rPr>
                  </w:pPr>
                  <w:r>
                    <w:rPr>
                      <w:rFonts w:hint="eastAsia"/>
                      <w:color w:val="auto"/>
                      <w14:ligatures w14:val="standardContextual"/>
                    </w:rPr>
                    <w:t>0.007</w:t>
                  </w:r>
                  <w:r>
                    <w:rPr>
                      <w:color w:val="auto"/>
                      <w14:ligatures w14:val="standardContextual"/>
                    </w:rPr>
                    <w:t>t/a</w:t>
                  </w:r>
                </w:p>
                <w:p w14:paraId="50734C68">
                  <w:pPr>
                    <w:widowControl w:val="0"/>
                    <w:overflowPunct w:val="0"/>
                    <w:autoSpaceDE w:val="0"/>
                    <w:autoSpaceDN w:val="0"/>
                    <w:snapToGrid w:val="0"/>
                    <w:jc w:val="center"/>
                    <w:rPr>
                      <w:color w:val="auto"/>
                      <w14:ligatures w14:val="standardContextual"/>
                    </w:rPr>
                  </w:pPr>
                  <w:r>
                    <w:rPr>
                      <w:rFonts w:hint="eastAsia"/>
                      <w:color w:val="auto"/>
                      <w14:ligatures w14:val="standardContextual"/>
                    </w:rPr>
                    <w:t>0.003</w:t>
                  </w:r>
                  <w:r>
                    <w:rPr>
                      <w:color w:val="auto"/>
                      <w14:ligatures w14:val="standardContextual"/>
                    </w:rPr>
                    <w:t>kg/h</w:t>
                  </w:r>
                </w:p>
              </w:tc>
              <w:tc>
                <w:tcPr>
                  <w:tcW w:w="723" w:type="dxa"/>
                  <w:vAlign w:val="center"/>
                </w:tcPr>
                <w:p w14:paraId="724711FD">
                  <w:pPr>
                    <w:widowControl w:val="0"/>
                    <w:overflowPunct w:val="0"/>
                    <w:autoSpaceDE w:val="0"/>
                    <w:autoSpaceDN w:val="0"/>
                    <w:snapToGrid w:val="0"/>
                    <w:jc w:val="center"/>
                    <w:rPr>
                      <w:color w:val="auto"/>
                      <w14:ligatures w14:val="standardContextual"/>
                    </w:rPr>
                  </w:pPr>
                  <w:r>
                    <w:rPr>
                      <w:rFonts w:hint="eastAsia"/>
                      <w:color w:val="auto"/>
                      <w14:ligatures w14:val="standardContextual"/>
                    </w:rPr>
                    <w:t>/</w:t>
                  </w:r>
                </w:p>
              </w:tc>
              <w:tc>
                <w:tcPr>
                  <w:tcW w:w="723" w:type="dxa"/>
                  <w:vAlign w:val="center"/>
                </w:tcPr>
                <w:p w14:paraId="2B89F971">
                  <w:pPr>
                    <w:widowControl w:val="0"/>
                    <w:overflowPunct w:val="0"/>
                    <w:autoSpaceDE w:val="0"/>
                    <w:autoSpaceDN w:val="0"/>
                    <w:snapToGrid w:val="0"/>
                    <w:jc w:val="center"/>
                    <w:rPr>
                      <w:color w:val="auto"/>
                      <w14:ligatures w14:val="standardContextual"/>
                    </w:rPr>
                  </w:pPr>
                  <w:r>
                    <w:rPr>
                      <w:rFonts w:hint="eastAsia"/>
                      <w:color w:val="auto"/>
                      <w14:ligatures w14:val="standardContextual"/>
                    </w:rPr>
                    <w:t>/</w:t>
                  </w:r>
                </w:p>
              </w:tc>
              <w:tc>
                <w:tcPr>
                  <w:tcW w:w="563" w:type="dxa"/>
                  <w:vAlign w:val="center"/>
                </w:tcPr>
                <w:p w14:paraId="6733387E">
                  <w:pPr>
                    <w:widowControl w:val="0"/>
                    <w:overflowPunct w:val="0"/>
                    <w:autoSpaceDE w:val="0"/>
                    <w:autoSpaceDN w:val="0"/>
                    <w:snapToGrid w:val="0"/>
                    <w:jc w:val="center"/>
                    <w:rPr>
                      <w:color w:val="auto"/>
                      <w14:ligatures w14:val="standardContextual"/>
                    </w:rPr>
                  </w:pPr>
                  <w:r>
                    <w:rPr>
                      <w:rFonts w:hint="eastAsia"/>
                      <w:color w:val="auto"/>
                      <w14:ligatures w14:val="standardContextual"/>
                    </w:rPr>
                    <w:t>/</w:t>
                  </w:r>
                </w:p>
              </w:tc>
            </w:tr>
            <w:bookmarkEnd w:id="59"/>
            <w:bookmarkEnd w:id="61"/>
          </w:tbl>
          <w:p w14:paraId="05AD04AC">
            <w:pPr>
              <w:pStyle w:val="48"/>
              <w:rPr>
                <w:color w:val="auto"/>
              </w:rPr>
            </w:pPr>
            <w:bookmarkStart w:id="62" w:name="_Ref176949030"/>
            <w:r>
              <w:rPr>
                <w:rFonts w:hint="eastAsia"/>
                <w:color w:val="auto"/>
              </w:rPr>
              <w:t xml:space="preserve">表4- </w:t>
            </w:r>
            <w:r>
              <w:rPr>
                <w:color w:val="auto"/>
              </w:rPr>
              <w:fldChar w:fldCharType="begin"/>
            </w:r>
            <w:r>
              <w:rPr>
                <w:color w:val="auto"/>
              </w:rPr>
              <w:instrText xml:space="preserve"> </w:instrText>
            </w:r>
            <w:r>
              <w:rPr>
                <w:rFonts w:hint="eastAsia"/>
                <w:color w:val="auto"/>
              </w:rPr>
              <w:instrText xml:space="preserve">SEQ 表4- \* ARABIC</w:instrText>
            </w:r>
            <w:r>
              <w:rPr>
                <w:color w:val="auto"/>
              </w:rPr>
              <w:instrText xml:space="preserve"> </w:instrText>
            </w:r>
            <w:r>
              <w:rPr>
                <w:color w:val="auto"/>
              </w:rPr>
              <w:fldChar w:fldCharType="separate"/>
            </w:r>
            <w:r>
              <w:rPr>
                <w:color w:val="auto"/>
              </w:rPr>
              <w:t>2</w:t>
            </w:r>
            <w:r>
              <w:rPr>
                <w:color w:val="auto"/>
              </w:rPr>
              <w:fldChar w:fldCharType="end"/>
            </w:r>
            <w:r>
              <w:rPr>
                <w:rFonts w:hint="eastAsia"/>
                <w:color w:val="auto"/>
              </w:rPr>
              <w:t>：本项目废气排放口基本情况表</w:t>
            </w:r>
            <w:bookmarkEnd w:id="62"/>
          </w:p>
          <w:tbl>
            <w:tblPr>
              <w:tblStyle w:val="4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105"/>
              <w:gridCol w:w="2091"/>
              <w:gridCol w:w="1122"/>
              <w:gridCol w:w="747"/>
              <w:gridCol w:w="1382"/>
              <w:gridCol w:w="1382"/>
              <w:gridCol w:w="1241"/>
              <w:gridCol w:w="3290"/>
            </w:tblGrid>
            <w:tr w14:paraId="1337B8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47" w:type="pc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2A03F05F">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14:ligatures w14:val="standardContextual"/>
                    </w:rPr>
                  </w:pPr>
                  <w:r>
                    <w:rPr>
                      <w:rFonts w:hint="eastAsia" w:ascii="Times New Roman" w:hAnsi="Times New Roman" w:eastAsia="宋体" w:cs="Times New Roman"/>
                      <w:b/>
                      <w:i w:val="0"/>
                      <w:color w:val="auto"/>
                      <w14:ligatures w14:val="standardContextual"/>
                    </w:rPr>
                    <w:t>编号</w:t>
                  </w:r>
                </w:p>
              </w:tc>
              <w:tc>
                <w:tcPr>
                  <w:tcW w:w="846"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74293FC1">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14:ligatures w14:val="standardContextual"/>
                    </w:rPr>
                  </w:pPr>
                  <w:r>
                    <w:rPr>
                      <w:rFonts w:hint="eastAsia" w:ascii="Times New Roman" w:hAnsi="Times New Roman" w:eastAsia="宋体" w:cs="Times New Roman"/>
                      <w:b/>
                      <w:i w:val="0"/>
                      <w:color w:val="auto"/>
                      <w14:ligatures w14:val="standardContextual"/>
                    </w:rPr>
                    <w:t>坐标</w:t>
                  </w:r>
                </w:p>
              </w:tc>
              <w:tc>
                <w:tcPr>
                  <w:tcW w:w="454"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6D7FC7BF">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14:ligatures w14:val="standardContextual"/>
                    </w:rPr>
                  </w:pPr>
                  <w:r>
                    <w:rPr>
                      <w:rFonts w:hint="eastAsia" w:ascii="Times New Roman" w:hAnsi="Times New Roman" w:eastAsia="宋体" w:cs="Times New Roman"/>
                      <w:b/>
                      <w:i w:val="0"/>
                      <w:color w:val="auto"/>
                      <w14:ligatures w14:val="standardContextual"/>
                    </w:rPr>
                    <w:t>高度</w:t>
                  </w:r>
                </w:p>
              </w:tc>
              <w:tc>
                <w:tcPr>
                  <w:tcW w:w="302"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5A1ED54F">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14:ligatures w14:val="standardContextual"/>
                    </w:rPr>
                  </w:pPr>
                  <w:r>
                    <w:rPr>
                      <w:rFonts w:hint="eastAsia" w:ascii="Times New Roman" w:hAnsi="Times New Roman" w:eastAsia="宋体" w:cs="Times New Roman"/>
                      <w:b/>
                      <w:i w:val="0"/>
                      <w:color w:val="auto"/>
                      <w14:ligatures w14:val="standardContextual"/>
                    </w:rPr>
                    <w:t>内径</w:t>
                  </w:r>
                </w:p>
              </w:tc>
              <w:tc>
                <w:tcPr>
                  <w:tcW w:w="559"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46D97232">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14:ligatures w14:val="standardContextual"/>
                    </w:rPr>
                  </w:pPr>
                  <w:r>
                    <w:rPr>
                      <w:rFonts w:hint="eastAsia" w:ascii="Times New Roman" w:hAnsi="Times New Roman" w:eastAsia="宋体" w:cs="Times New Roman"/>
                      <w:b/>
                      <w:i w:val="0"/>
                      <w:color w:val="auto"/>
                      <w14:ligatures w14:val="standardContextual"/>
                    </w:rPr>
                    <w:t>流速</w:t>
                  </w:r>
                </w:p>
              </w:tc>
              <w:tc>
                <w:tcPr>
                  <w:tcW w:w="559"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6BEA1954">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14:ligatures w14:val="standardContextual"/>
                    </w:rPr>
                  </w:pPr>
                  <w:r>
                    <w:rPr>
                      <w:rFonts w:hint="eastAsia" w:ascii="Times New Roman" w:hAnsi="Times New Roman" w:eastAsia="宋体" w:cs="Times New Roman"/>
                      <w:b/>
                      <w:i w:val="0"/>
                      <w:color w:val="auto"/>
                      <w14:ligatures w14:val="standardContextual"/>
                    </w:rPr>
                    <w:t>温度</w:t>
                  </w:r>
                </w:p>
              </w:tc>
              <w:tc>
                <w:tcPr>
                  <w:tcW w:w="502"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0EDA9F5C">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14:ligatures w14:val="standardContextual"/>
                    </w:rPr>
                  </w:pPr>
                  <w:r>
                    <w:rPr>
                      <w:rFonts w:hint="eastAsia" w:ascii="Times New Roman" w:hAnsi="Times New Roman" w:eastAsia="宋体" w:cs="Times New Roman"/>
                      <w:b/>
                      <w:i w:val="0"/>
                      <w:color w:val="auto"/>
                      <w14:ligatures w14:val="standardContextual"/>
                    </w:rPr>
                    <w:t>类型</w:t>
                  </w:r>
                </w:p>
              </w:tc>
              <w:tc>
                <w:tcPr>
                  <w:tcW w:w="1331" w:type="pct"/>
                  <w:tcBorders>
                    <w:top w:val="single" w:color="auto" w:sz="12" w:space="0"/>
                    <w:bottom w:val="single" w:color="auto" w:sz="12" w:space="0"/>
                    <w:right w:val="nil"/>
                    <w:insideH w:val="single" w:sz="12" w:space="0"/>
                    <w:insideV w:val="single" w:sz="4" w:space="0"/>
                    <w:tl2br w:val="nil"/>
                    <w:tr2bl w:val="nil"/>
                  </w:tcBorders>
                  <w:vAlign w:val="center"/>
                </w:tcPr>
                <w:p w14:paraId="74203900">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14:ligatures w14:val="standardContextual"/>
                    </w:rPr>
                  </w:pPr>
                  <w:r>
                    <w:rPr>
                      <w:rFonts w:hint="eastAsia" w:ascii="Times New Roman" w:hAnsi="Times New Roman" w:eastAsia="宋体" w:cs="Times New Roman"/>
                      <w:b/>
                      <w:i w:val="0"/>
                      <w:color w:val="auto"/>
                      <w14:ligatures w14:val="standardContextual"/>
                    </w:rPr>
                    <w:t>排放标准</w:t>
                  </w:r>
                </w:p>
              </w:tc>
            </w:tr>
            <w:tr w14:paraId="1C520D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47" w:type="pct"/>
                  <w:vAlign w:val="center"/>
                </w:tcPr>
                <w:p w14:paraId="5B9F78AB">
                  <w:pPr>
                    <w:widowControl w:val="0"/>
                    <w:overflowPunct w:val="0"/>
                    <w:autoSpaceDE w:val="0"/>
                    <w:autoSpaceDN w:val="0"/>
                    <w:snapToGrid w:val="0"/>
                    <w:jc w:val="center"/>
                    <w:rPr>
                      <w:color w:val="auto"/>
                      <w14:ligatures w14:val="standardContextual"/>
                    </w:rPr>
                  </w:pPr>
                  <w:r>
                    <w:rPr>
                      <w:rFonts w:hint="eastAsia"/>
                      <w:color w:val="auto"/>
                      <w14:ligatures w14:val="standardContextual"/>
                    </w:rPr>
                    <w:t>DA001</w:t>
                  </w:r>
                </w:p>
              </w:tc>
              <w:tc>
                <w:tcPr>
                  <w:tcW w:w="846" w:type="pct"/>
                  <w:vAlign w:val="center"/>
                </w:tcPr>
                <w:p w14:paraId="0FE5182F">
                  <w:pPr>
                    <w:widowControl w:val="0"/>
                    <w:overflowPunct w:val="0"/>
                    <w:autoSpaceDE w:val="0"/>
                    <w:autoSpaceDN w:val="0"/>
                    <w:snapToGrid w:val="0"/>
                    <w:jc w:val="center"/>
                    <w:rPr>
                      <w:color w:val="auto"/>
                      <w14:ligatures w14:val="standardContextual"/>
                    </w:rPr>
                  </w:pPr>
                  <w:r>
                    <w:rPr>
                      <w:rFonts w:hint="eastAsia"/>
                      <w:color w:val="auto"/>
                      <w14:ligatures w14:val="standardContextual"/>
                    </w:rPr>
                    <w:t>E108°40′6.546″</w:t>
                  </w:r>
                  <w:r>
                    <w:rPr>
                      <w:color w:val="auto"/>
                      <w14:ligatures w14:val="standardContextual"/>
                    </w:rPr>
                    <w:br w:type="textWrapping"/>
                  </w:r>
                  <w:r>
                    <w:rPr>
                      <w:rFonts w:hint="eastAsia"/>
                      <w:color w:val="auto"/>
                      <w14:ligatures w14:val="standardContextual"/>
                    </w:rPr>
                    <w:t>N21°41′49.440″</w:t>
                  </w:r>
                </w:p>
              </w:tc>
              <w:tc>
                <w:tcPr>
                  <w:tcW w:w="454" w:type="pct"/>
                  <w:vAlign w:val="center"/>
                </w:tcPr>
                <w:p w14:paraId="62DD714E">
                  <w:pPr>
                    <w:widowControl w:val="0"/>
                    <w:overflowPunct w:val="0"/>
                    <w:autoSpaceDE w:val="0"/>
                    <w:autoSpaceDN w:val="0"/>
                    <w:snapToGrid w:val="0"/>
                    <w:jc w:val="center"/>
                    <w:rPr>
                      <w:color w:val="auto"/>
                      <w14:ligatures w14:val="standardContextual"/>
                    </w:rPr>
                  </w:pPr>
                  <w:r>
                    <w:rPr>
                      <w:rFonts w:hint="eastAsia"/>
                      <w:color w:val="auto"/>
                      <w14:ligatures w14:val="standardContextual"/>
                    </w:rPr>
                    <w:t>15m</w:t>
                  </w:r>
                </w:p>
              </w:tc>
              <w:tc>
                <w:tcPr>
                  <w:tcW w:w="302" w:type="pct"/>
                  <w:vAlign w:val="center"/>
                </w:tcPr>
                <w:p w14:paraId="645099F2">
                  <w:pPr>
                    <w:widowControl w:val="0"/>
                    <w:overflowPunct w:val="0"/>
                    <w:autoSpaceDE w:val="0"/>
                    <w:autoSpaceDN w:val="0"/>
                    <w:snapToGrid w:val="0"/>
                    <w:jc w:val="center"/>
                    <w:rPr>
                      <w:color w:val="auto"/>
                      <w14:ligatures w14:val="standardContextual"/>
                    </w:rPr>
                  </w:pPr>
                  <w:r>
                    <w:rPr>
                      <w:rFonts w:hint="eastAsia"/>
                      <w:color w:val="auto"/>
                      <w14:ligatures w14:val="standardContextual"/>
                    </w:rPr>
                    <w:t>0.4m</w:t>
                  </w:r>
                </w:p>
              </w:tc>
              <w:tc>
                <w:tcPr>
                  <w:tcW w:w="559" w:type="pct"/>
                  <w:vAlign w:val="center"/>
                </w:tcPr>
                <w:p w14:paraId="2C0CAD11">
                  <w:pPr>
                    <w:widowControl w:val="0"/>
                    <w:overflowPunct w:val="0"/>
                    <w:autoSpaceDE w:val="0"/>
                    <w:autoSpaceDN w:val="0"/>
                    <w:snapToGrid w:val="0"/>
                    <w:jc w:val="center"/>
                    <w:rPr>
                      <w:color w:val="auto"/>
                      <w14:ligatures w14:val="standardContextual"/>
                    </w:rPr>
                  </w:pPr>
                  <w:r>
                    <w:rPr>
                      <w:rFonts w:hint="eastAsia"/>
                      <w:color w:val="auto"/>
                      <w14:ligatures w14:val="standardContextual"/>
                    </w:rPr>
                    <w:t>22m/s</w:t>
                  </w:r>
                </w:p>
              </w:tc>
              <w:tc>
                <w:tcPr>
                  <w:tcW w:w="559" w:type="pct"/>
                  <w:vAlign w:val="center"/>
                </w:tcPr>
                <w:p w14:paraId="032EC63D">
                  <w:pPr>
                    <w:widowControl w:val="0"/>
                    <w:overflowPunct w:val="0"/>
                    <w:autoSpaceDE w:val="0"/>
                    <w:autoSpaceDN w:val="0"/>
                    <w:snapToGrid w:val="0"/>
                    <w:jc w:val="center"/>
                    <w:rPr>
                      <w:color w:val="auto"/>
                      <w14:ligatures w14:val="standardContextual"/>
                    </w:rPr>
                  </w:pPr>
                  <w:r>
                    <w:rPr>
                      <w:rFonts w:hint="eastAsia"/>
                      <w:color w:val="auto"/>
                      <w14:ligatures w14:val="standardContextual"/>
                    </w:rPr>
                    <w:t>20℃</w:t>
                  </w:r>
                </w:p>
              </w:tc>
              <w:tc>
                <w:tcPr>
                  <w:tcW w:w="502" w:type="pct"/>
                  <w:vAlign w:val="center"/>
                </w:tcPr>
                <w:p w14:paraId="3477C629">
                  <w:pPr>
                    <w:widowControl w:val="0"/>
                    <w:overflowPunct w:val="0"/>
                    <w:autoSpaceDE w:val="0"/>
                    <w:autoSpaceDN w:val="0"/>
                    <w:snapToGrid w:val="0"/>
                    <w:jc w:val="center"/>
                    <w:rPr>
                      <w:color w:val="auto"/>
                      <w14:ligatures w14:val="standardContextual"/>
                    </w:rPr>
                  </w:pPr>
                  <w:r>
                    <w:rPr>
                      <w:rFonts w:hint="eastAsia"/>
                      <w:color w:val="auto"/>
                      <w14:ligatures w14:val="standardContextual"/>
                    </w:rPr>
                    <w:t>一般排放口</w:t>
                  </w:r>
                </w:p>
              </w:tc>
              <w:tc>
                <w:tcPr>
                  <w:tcW w:w="1331" w:type="pct"/>
                  <w:vAlign w:val="center"/>
                </w:tcPr>
                <w:p w14:paraId="71F9EEFB">
                  <w:pPr>
                    <w:widowControl w:val="0"/>
                    <w:overflowPunct w:val="0"/>
                    <w:autoSpaceDE w:val="0"/>
                    <w:autoSpaceDN w:val="0"/>
                    <w:snapToGrid w:val="0"/>
                    <w:jc w:val="center"/>
                    <w:rPr>
                      <w:color w:val="auto"/>
                      <w14:ligatures w14:val="standardContextual"/>
                    </w:rPr>
                  </w:pPr>
                  <w:r>
                    <w:rPr>
                      <w:rFonts w:hint="eastAsia"/>
                      <w:color w:val="auto"/>
                      <w14:ligatures w14:val="standardContextual"/>
                    </w:rPr>
                    <w:t>（GB16297-1996）表2中二级标准</w:t>
                  </w:r>
                </w:p>
              </w:tc>
            </w:tr>
          </w:tbl>
          <w:p w14:paraId="4D32032E">
            <w:pPr>
              <w:pStyle w:val="3"/>
              <w:ind w:firstLine="480"/>
              <w:rPr>
                <w:color w:val="auto"/>
              </w:rPr>
            </w:pPr>
          </w:p>
        </w:tc>
      </w:tr>
    </w:tbl>
    <w:p w14:paraId="1EF7F888">
      <w:pPr>
        <w:sectPr>
          <w:pgSz w:w="16840" w:h="11907" w:orient="landscape"/>
          <w:pgMar w:top="1531" w:right="2127" w:bottom="1531" w:left="1701" w:header="851" w:footer="851" w:gutter="0"/>
          <w:cols w:space="720" w:num="1"/>
          <w:docGrid w:linePitch="312" w:charSpace="0"/>
        </w:sect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8159"/>
      </w:tblGrid>
      <w:tr w14:paraId="22833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Align w:val="center"/>
          </w:tcPr>
          <w:p w14:paraId="0F1EA763">
            <w:pPr>
              <w:pStyle w:val="64"/>
              <w:rPr>
                <w:rFonts w:hint="eastAsia"/>
              </w:rPr>
            </w:pPr>
            <w:bookmarkStart w:id="63" w:name="_Toc175609276"/>
            <w:r>
              <w:rPr>
                <w:rFonts w:hint="eastAsia"/>
              </w:rPr>
              <w:t>运营期环境影响和保护措施</w:t>
            </w:r>
            <w:bookmarkEnd w:id="63"/>
          </w:p>
        </w:tc>
        <w:tc>
          <w:tcPr>
            <w:tcW w:w="8159" w:type="dxa"/>
            <w:vAlign w:val="center"/>
          </w:tcPr>
          <w:p w14:paraId="67B3B4FD">
            <w:pPr>
              <w:pStyle w:val="3"/>
              <w:ind w:firstLine="482"/>
              <w:rPr>
                <w:b/>
                <w:bCs/>
              </w:rPr>
            </w:pPr>
            <w:r>
              <w:rPr>
                <w:rFonts w:hint="eastAsia"/>
                <w:b/>
                <w:bCs/>
              </w:rPr>
              <w:t>2、污染源强核算过程</w:t>
            </w:r>
          </w:p>
          <w:p w14:paraId="73AFE4B7">
            <w:pPr>
              <w:pStyle w:val="3"/>
              <w:ind w:firstLine="482"/>
              <w:rPr>
                <w:b/>
                <w:bCs/>
              </w:rPr>
            </w:pPr>
            <w:bookmarkStart w:id="64" w:name="OLE_LINK91"/>
            <w:r>
              <w:rPr>
                <w:rFonts w:hint="eastAsia"/>
                <w:b/>
                <w:bCs/>
              </w:rPr>
              <w:t>1）有组织废气</w:t>
            </w:r>
            <w:bookmarkEnd w:id="64"/>
          </w:p>
          <w:p w14:paraId="7ABCEADB">
            <w:pPr>
              <w:pStyle w:val="3"/>
              <w:ind w:firstLine="480"/>
              <w:rPr>
                <w:color w:val="auto"/>
              </w:rPr>
            </w:pPr>
            <w:r>
              <w:rPr>
                <w:rFonts w:hint="eastAsia"/>
                <w:color w:val="auto"/>
              </w:rPr>
              <w:t>本项目有组织废气为</w:t>
            </w:r>
            <w:bookmarkStart w:id="65" w:name="OLE_LINK230"/>
            <w:r>
              <w:rPr>
                <w:rFonts w:hint="eastAsia"/>
                <w:color w:val="auto"/>
              </w:rPr>
              <w:t>破碎、筛分、磁选、风选粉尘</w:t>
            </w:r>
            <w:bookmarkEnd w:id="65"/>
            <w:r>
              <w:rPr>
                <w:rFonts w:hint="eastAsia"/>
                <w:color w:val="auto"/>
              </w:rPr>
              <w:t>，污染因子为颗粒物。生产线总体上密闭设计，密闭输送物料，并在设备进出料口上方设置密闭式集气罩收集，收集废气经1套袋式除尘器处理后经1根15m排气筒排放，年排放时间约为2400h。</w:t>
            </w:r>
          </w:p>
          <w:p w14:paraId="31146753">
            <w:pPr>
              <w:pStyle w:val="3"/>
              <w:ind w:firstLine="480"/>
              <w:rPr>
                <w:color w:val="auto"/>
              </w:rPr>
            </w:pPr>
            <w:r>
              <w:rPr>
                <w:rFonts w:hint="eastAsia"/>
                <w:color w:val="auto"/>
              </w:rPr>
              <w:t>按照《排放源统计调查产排污核算方法和系数手册》中《303砖瓦、石材等建筑材料制造行业系数手册》3039其他建筑材料制造行业，破碎、筛分工序颗粒物产污系数为1.89kg/t-产品；《0810铁矿采选行业系数手册》中磁选工序颗粒物产污系数为1.71kg/t-产品，《42废弃资源综合利用行业系数手册》中风选工序颗粒物产污系数为0.247kg/t-产品，合3.847kg/t-产品。项目年产3.5万t碎石，因此颗粒物总产生量为</w:t>
            </w:r>
            <w:r>
              <w:rPr>
                <w:color w:val="auto"/>
              </w:rPr>
              <w:t>134.645/a</w:t>
            </w:r>
            <w:r>
              <w:rPr>
                <w:rFonts w:hint="eastAsia"/>
                <w:color w:val="auto"/>
              </w:rPr>
              <w:t>。</w:t>
            </w:r>
          </w:p>
          <w:p w14:paraId="22FE0BD7">
            <w:pPr>
              <w:pStyle w:val="3"/>
              <w:ind w:firstLine="480"/>
              <w:rPr>
                <w:color w:val="auto"/>
              </w:rPr>
            </w:pPr>
            <w:r>
              <w:rPr>
                <w:rFonts w:hint="eastAsia"/>
                <w:color w:val="auto"/>
              </w:rPr>
              <w:t>本项目生产装置总体上密闭设计，密闭输送物料，并在设备进出料口上方设置密闭式集气罩收集。根据《环保设备设计手册-大气污染控制设备》设计，手册中明确了当集气罩距离污染源＜0.75m，扩张角＜60度，风速＞0.25m/s时，集气罩收集效率可按照80%以上估算，本次评价取80%收集效率。参考《排放源统计调查产排污核算方法和系数手册》中《303砖瓦、石材等建筑材料制造行业系数手册》3039其他建筑材料制造行业规定：破碎、筛分工序颗粒物采用袋式除尘器的除尘效率为99%。</w:t>
            </w:r>
          </w:p>
          <w:p w14:paraId="2FAEC347">
            <w:pPr>
              <w:pStyle w:val="3"/>
              <w:ind w:firstLine="480"/>
              <w:rPr>
                <w:color w:val="auto"/>
              </w:rPr>
            </w:pPr>
            <w:r>
              <w:rPr>
                <w:rFonts w:hint="eastAsia"/>
                <w:color w:val="auto"/>
              </w:rPr>
              <w:t>结合污染物的产生总量、收集效率、去除效率，核算出颗粒物有组织产生量为107.716t/a；有组织排放量为1.077/a。</w:t>
            </w:r>
          </w:p>
          <w:p w14:paraId="5E86596D">
            <w:pPr>
              <w:pStyle w:val="3"/>
              <w:ind w:firstLine="480"/>
              <w:rPr>
                <w:color w:val="auto"/>
              </w:rPr>
            </w:pPr>
            <w:r>
              <w:rPr>
                <w:rFonts w:hint="eastAsia"/>
                <w:color w:val="auto"/>
              </w:rPr>
              <w:t>粉尘未收集部分约</w:t>
            </w:r>
            <w:r>
              <w:rPr>
                <w:color w:val="auto"/>
              </w:rPr>
              <w:t>26.929</w:t>
            </w:r>
            <w:r>
              <w:rPr>
                <w:rFonts w:hint="eastAsia"/>
                <w:color w:val="auto"/>
              </w:rPr>
              <w:t>t/a，该部分粉尘由于粒径较大而不易被抽吸，易于沉降。车间为封闭式，无明显风速，同时内部设有喷雾降尘和清扫装置，故90%可在车间地面沉降，其余</w:t>
            </w:r>
            <w:r>
              <w:rPr>
                <w:color w:val="auto"/>
              </w:rPr>
              <w:t>2.693</w:t>
            </w:r>
            <w:r>
              <w:rPr>
                <w:rFonts w:hint="eastAsia"/>
                <w:color w:val="auto"/>
              </w:rPr>
              <w:t>/a以无组织形式排放。</w:t>
            </w:r>
          </w:p>
          <w:p w14:paraId="30EC3DFF">
            <w:pPr>
              <w:pStyle w:val="3"/>
              <w:ind w:firstLine="482"/>
            </w:pPr>
            <w:r>
              <w:rPr>
                <w:rFonts w:hint="eastAsia"/>
                <w:b/>
                <w:bCs/>
              </w:rPr>
              <w:t>2）无组织废气</w:t>
            </w:r>
          </w:p>
          <w:p w14:paraId="67E163E6">
            <w:pPr>
              <w:pStyle w:val="3"/>
              <w:ind w:firstLine="482"/>
              <w:rPr>
                <w:b/>
                <w:bCs/>
              </w:rPr>
            </w:pPr>
            <w:r>
              <w:rPr>
                <w:rFonts w:hint="eastAsia"/>
                <w:b/>
                <w:bCs/>
              </w:rPr>
              <w:t>①卸料、贮存、上料粉尘</w:t>
            </w:r>
          </w:p>
          <w:p w14:paraId="18859B82">
            <w:pPr>
              <w:pStyle w:val="3"/>
              <w:ind w:firstLine="480"/>
            </w:pPr>
            <w:r>
              <w:rPr>
                <w:rFonts w:hint="eastAsia"/>
              </w:rPr>
              <w:t>建设项目在卸料、贮存及上料环节产生大量粉尘，主要污染物为颗粒物。</w:t>
            </w:r>
          </w:p>
          <w:p w14:paraId="735441E2">
            <w:pPr>
              <w:pStyle w:val="3"/>
              <w:ind w:firstLine="480"/>
            </w:pPr>
            <w:r>
              <w:rPr>
                <w:rFonts w:hint="eastAsia"/>
              </w:rPr>
              <w:t>根据《排放源统计调查产排污核算方法和系数手册》附表2中《工业源固体物料堆场颗粒物核算系数手册》，工业企业固体物料堆存颗粒物包括装卸场尘和风蚀扬尘，颗粒物产生量核算公式如下：</w:t>
            </w:r>
          </w:p>
          <w:p w14:paraId="7406B2CE">
            <w:pPr>
              <w:pStyle w:val="3"/>
              <w:ind w:firstLine="480"/>
            </w:pPr>
            <w:r>
              <w:drawing>
                <wp:inline distT="0" distB="0" distL="0" distR="0">
                  <wp:extent cx="4293235" cy="287655"/>
                  <wp:effectExtent l="0" t="0" r="0"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18" cstate="email"/>
                          <a:stretch>
                            <a:fillRect/>
                          </a:stretch>
                        </pic:blipFill>
                        <pic:spPr>
                          <a:xfrm>
                            <a:off x="0" y="0"/>
                            <a:ext cx="4293235" cy="287655"/>
                          </a:xfrm>
                          <a:prstGeom prst="rect">
                            <a:avLst/>
                          </a:prstGeom>
                          <a:noFill/>
                          <a:ln>
                            <a:noFill/>
                          </a:ln>
                        </pic:spPr>
                      </pic:pic>
                    </a:graphicData>
                  </a:graphic>
                </wp:inline>
              </w:drawing>
            </w:r>
          </w:p>
          <w:p w14:paraId="152AC11A">
            <w:pPr>
              <w:pStyle w:val="3"/>
              <w:ind w:firstLine="480"/>
            </w:pPr>
            <w:r>
              <w:rPr>
                <w:rFonts w:hint="eastAsia"/>
              </w:rPr>
              <w:t>式中：P指颗粒物产生量（单位：吨）；</w:t>
            </w:r>
          </w:p>
          <w:p w14:paraId="243EC189">
            <w:pPr>
              <w:pStyle w:val="3"/>
              <w:ind w:firstLine="480"/>
            </w:pPr>
            <w:r>
              <w:rPr>
                <w:rFonts w:hint="eastAsia"/>
              </w:rPr>
              <w:t>ZC</w:t>
            </w:r>
            <w:r>
              <w:rPr>
                <w:rFonts w:hint="eastAsia"/>
                <w:vertAlign w:val="subscript"/>
              </w:rPr>
              <w:t>y</w:t>
            </w:r>
            <w:r>
              <w:rPr>
                <w:rFonts w:hint="eastAsia"/>
              </w:rPr>
              <w:t>指装卸扬尘产生量（单位：吨）；</w:t>
            </w:r>
          </w:p>
          <w:p w14:paraId="16937C5D">
            <w:pPr>
              <w:pStyle w:val="3"/>
              <w:ind w:firstLine="480"/>
            </w:pPr>
            <w:r>
              <w:rPr>
                <w:rFonts w:hint="eastAsia"/>
              </w:rPr>
              <w:t>FC</w:t>
            </w:r>
            <w:r>
              <w:rPr>
                <w:rFonts w:hint="eastAsia"/>
                <w:vertAlign w:val="subscript"/>
              </w:rPr>
              <w:t>y</w:t>
            </w:r>
            <w:r>
              <w:rPr>
                <w:rFonts w:hint="eastAsia"/>
              </w:rPr>
              <w:t>指风蚀扬尘产生量（单位：吨）；</w:t>
            </w:r>
          </w:p>
          <w:p w14:paraId="3316BC39">
            <w:pPr>
              <w:pStyle w:val="3"/>
              <w:ind w:firstLine="480"/>
            </w:pPr>
            <w:r>
              <w:rPr>
                <w:rFonts w:hint="eastAsia"/>
              </w:rPr>
              <w:t>N</w:t>
            </w:r>
            <w:r>
              <w:rPr>
                <w:rFonts w:hint="eastAsia"/>
                <w:vertAlign w:val="subscript"/>
              </w:rPr>
              <w:t>c</w:t>
            </w:r>
            <w:r>
              <w:rPr>
                <w:rFonts w:hint="eastAsia"/>
              </w:rPr>
              <w:t>指年物料运载车次（单位：车）；</w:t>
            </w:r>
          </w:p>
          <w:p w14:paraId="0A3FB8A4">
            <w:pPr>
              <w:pStyle w:val="3"/>
              <w:ind w:firstLine="480"/>
            </w:pPr>
            <w:r>
              <w:rPr>
                <w:rFonts w:hint="eastAsia"/>
              </w:rPr>
              <w:t>D指单车平均运载量（单位：吨/车）；</w:t>
            </w:r>
          </w:p>
          <w:p w14:paraId="499B2E90">
            <w:pPr>
              <w:pStyle w:val="3"/>
              <w:ind w:firstLine="480"/>
            </w:pPr>
            <w:r>
              <w:rPr>
                <w:rFonts w:hint="eastAsia"/>
              </w:rPr>
              <w:t>（a/b）指装卸扬尘概化系数（单位：千克/吨），a指各省风速概化系数，见附录1，b指物料含水率概化系数，参照附录2中煤矸石；</w:t>
            </w:r>
          </w:p>
          <w:p w14:paraId="615632FC">
            <w:pPr>
              <w:pStyle w:val="3"/>
              <w:ind w:firstLine="480"/>
            </w:pPr>
            <w:r>
              <w:rPr>
                <w:rFonts w:hint="eastAsia"/>
              </w:rPr>
              <w:t>E</w:t>
            </w:r>
            <w:r>
              <w:rPr>
                <w:rFonts w:hint="eastAsia"/>
                <w:vertAlign w:val="subscript"/>
              </w:rPr>
              <w:t>f</w:t>
            </w:r>
            <w:r>
              <w:rPr>
                <w:rFonts w:hint="eastAsia"/>
              </w:rPr>
              <w:t>指堆场风蚀扬尘概化系数，取值参照附录3中煤矸石（单位：千克/平方米）；</w:t>
            </w:r>
          </w:p>
          <w:p w14:paraId="42EEE43C">
            <w:pPr>
              <w:pStyle w:val="3"/>
              <w:ind w:firstLine="480"/>
            </w:pPr>
            <w:r>
              <w:rPr>
                <w:rFonts w:hint="eastAsia"/>
              </w:rPr>
              <w:t>S指堆场占地面积（单位：平方米）。</w:t>
            </w:r>
          </w:p>
          <w:p w14:paraId="5445C7A7">
            <w:pPr>
              <w:pStyle w:val="48"/>
              <w:rPr>
                <w:color w:val="auto"/>
              </w:rPr>
            </w:pPr>
            <w:r>
              <w:rPr>
                <w:rFonts w:hint="eastAsia"/>
                <w:color w:val="auto"/>
              </w:rPr>
              <w:t xml:space="preserve">表4- </w:t>
            </w:r>
            <w:r>
              <w:rPr>
                <w:color w:val="auto"/>
              </w:rPr>
              <w:fldChar w:fldCharType="begin"/>
            </w:r>
            <w:r>
              <w:rPr>
                <w:color w:val="auto"/>
              </w:rPr>
              <w:instrText xml:space="preserve"> </w:instrText>
            </w:r>
            <w:r>
              <w:rPr>
                <w:rFonts w:hint="eastAsia"/>
                <w:color w:val="auto"/>
              </w:rPr>
              <w:instrText xml:space="preserve">SEQ 表4- \* ARABIC</w:instrText>
            </w:r>
            <w:r>
              <w:rPr>
                <w:color w:val="auto"/>
              </w:rPr>
              <w:instrText xml:space="preserve"> </w:instrText>
            </w:r>
            <w:r>
              <w:rPr>
                <w:color w:val="auto"/>
              </w:rPr>
              <w:fldChar w:fldCharType="separate"/>
            </w:r>
            <w:r>
              <w:rPr>
                <w:color w:val="auto"/>
              </w:rPr>
              <w:t>3</w:t>
            </w:r>
            <w:r>
              <w:rPr>
                <w:color w:val="auto"/>
              </w:rPr>
              <w:fldChar w:fldCharType="end"/>
            </w:r>
            <w:r>
              <w:rPr>
                <w:rFonts w:hint="eastAsia"/>
                <w:color w:val="auto"/>
              </w:rPr>
              <w:t>：堆场粉尘计算参数一览表</w:t>
            </w:r>
          </w:p>
          <w:tbl>
            <w:tblPr>
              <w:tblStyle w:val="4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692"/>
              <w:gridCol w:w="1102"/>
              <w:gridCol w:w="1144"/>
              <w:gridCol w:w="766"/>
              <w:gridCol w:w="926"/>
              <w:gridCol w:w="1489"/>
              <w:gridCol w:w="912"/>
              <w:gridCol w:w="912"/>
            </w:tblGrid>
            <w:tr w14:paraId="1CD27C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36" w:type="pc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59DC5F9E">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color w:val="auto"/>
                      <w14:ligatures w14:val="standardContextual"/>
                    </w:rPr>
                  </w:pPr>
                  <w:r>
                    <w:rPr>
                      <w:rFonts w:hint="eastAsia" w:ascii="Times New Roman" w:hAnsi="Times New Roman" w:eastAsia="宋体" w:cs="Times New Roman"/>
                      <w:b/>
                      <w:i w:val="0"/>
                      <w:snapToGrid w:val="0"/>
                      <w:color w:val="auto"/>
                      <w14:ligatures w14:val="standardContextual"/>
                    </w:rPr>
                    <w:t>参数</w:t>
                  </w:r>
                </w:p>
              </w:tc>
              <w:tc>
                <w:tcPr>
                  <w:tcW w:w="694"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764D244F">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color w:val="auto"/>
                      <w14:ligatures w14:val="standardContextual"/>
                    </w:rPr>
                  </w:pPr>
                  <w:r>
                    <w:rPr>
                      <w:rFonts w:hint="eastAsia" w:ascii="Times New Roman" w:hAnsi="Times New Roman" w:eastAsia="宋体" w:cs="Times New Roman"/>
                      <w:b/>
                      <w:i w:val="0"/>
                      <w:snapToGrid w:val="0"/>
                      <w:color w:val="auto"/>
                      <w14:ligatures w14:val="standardContextual"/>
                    </w:rPr>
                    <w:t>Nc（车）</w:t>
                  </w:r>
                </w:p>
              </w:tc>
              <w:tc>
                <w:tcPr>
                  <w:tcW w:w="720"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0876EAD5">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color w:val="auto"/>
                      <w14:ligatures w14:val="standardContextual"/>
                    </w:rPr>
                  </w:pPr>
                  <w:r>
                    <w:rPr>
                      <w:rFonts w:hint="eastAsia" w:ascii="Times New Roman" w:hAnsi="Times New Roman" w:eastAsia="宋体" w:cs="Times New Roman"/>
                      <w:b/>
                      <w:i w:val="0"/>
                      <w:snapToGrid w:val="0"/>
                      <w:color w:val="auto"/>
                      <w14:ligatures w14:val="standardContextual"/>
                    </w:rPr>
                    <w:t>D（t/车）</w:t>
                  </w:r>
                </w:p>
              </w:tc>
              <w:tc>
                <w:tcPr>
                  <w:tcW w:w="482"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551B91DE">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color w:val="auto"/>
                      <w14:ligatures w14:val="standardContextual"/>
                    </w:rPr>
                  </w:pPr>
                  <w:r>
                    <w:rPr>
                      <w:rFonts w:hint="eastAsia" w:ascii="Times New Roman" w:hAnsi="Times New Roman" w:eastAsia="宋体" w:cs="Times New Roman"/>
                      <w:b/>
                      <w:i w:val="0"/>
                      <w:snapToGrid w:val="0"/>
                      <w:color w:val="auto"/>
                      <w14:ligatures w14:val="standardContextual"/>
                    </w:rPr>
                    <w:t>a</w:t>
                  </w:r>
                </w:p>
              </w:tc>
              <w:tc>
                <w:tcPr>
                  <w:tcW w:w="583"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1DB7DD19">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color w:val="auto"/>
                      <w14:ligatures w14:val="standardContextual"/>
                    </w:rPr>
                  </w:pPr>
                  <w:r>
                    <w:rPr>
                      <w:rFonts w:hint="eastAsia" w:ascii="Times New Roman" w:hAnsi="Times New Roman" w:eastAsia="宋体" w:cs="Times New Roman"/>
                      <w:b/>
                      <w:i w:val="0"/>
                      <w:snapToGrid w:val="0"/>
                      <w:color w:val="auto"/>
                      <w14:ligatures w14:val="standardContextual"/>
                    </w:rPr>
                    <w:t>b</w:t>
                  </w:r>
                </w:p>
              </w:tc>
              <w:tc>
                <w:tcPr>
                  <w:tcW w:w="937"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31A9CDB1">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color w:val="auto"/>
                      <w14:ligatures w14:val="standardContextual"/>
                    </w:rPr>
                  </w:pPr>
                  <w:r>
                    <w:rPr>
                      <w:rFonts w:hint="eastAsia" w:ascii="Times New Roman" w:hAnsi="Times New Roman" w:eastAsia="宋体" w:cs="Times New Roman"/>
                      <w:b/>
                      <w:i w:val="0"/>
                      <w:snapToGrid w:val="0"/>
                      <w:color w:val="auto"/>
                      <w14:ligatures w14:val="standardContextual"/>
                    </w:rPr>
                    <w:t>E</w:t>
                  </w:r>
                  <w:r>
                    <w:rPr>
                      <w:rFonts w:hint="eastAsia" w:ascii="Times New Roman" w:hAnsi="Times New Roman" w:eastAsia="宋体" w:cs="Times New Roman"/>
                      <w:b/>
                      <w:i w:val="0"/>
                      <w:snapToGrid w:val="0"/>
                      <w:color w:val="auto"/>
                      <w:vertAlign w:val="subscript"/>
                      <w14:ligatures w14:val="standardContextual"/>
                    </w:rPr>
                    <w:t>f</w:t>
                  </w:r>
                  <w:r>
                    <w:rPr>
                      <w:rFonts w:hint="eastAsia" w:cs="Times New Roman"/>
                      <w:b/>
                      <w:i w:val="0"/>
                      <w:snapToGrid w:val="0"/>
                      <w:color w:val="auto"/>
                      <w:vertAlign w:val="subscript"/>
                      <w:lang w:eastAsia="zh-CN"/>
                      <w14:ligatures w14:val="standardContextual"/>
                    </w:rPr>
                    <w:t>(</w:t>
                  </w:r>
                  <w:r>
                    <w:rPr>
                      <w:rFonts w:hint="eastAsia" w:ascii="Times New Roman" w:hAnsi="Times New Roman" w:eastAsia="宋体" w:cs="Times New Roman"/>
                      <w:b/>
                      <w:i w:val="0"/>
                      <w:snapToGrid w:val="0"/>
                      <w:color w:val="auto"/>
                      <w14:ligatures w14:val="standardContextual"/>
                    </w:rPr>
                    <w:t>kg/m</w:t>
                  </w:r>
                  <w:r>
                    <w:rPr>
                      <w:rFonts w:hint="eastAsia" w:ascii="Times New Roman" w:hAnsi="Times New Roman" w:eastAsia="宋体" w:cs="Times New Roman"/>
                      <w:b/>
                      <w:i w:val="0"/>
                      <w:snapToGrid w:val="0"/>
                      <w:color w:val="auto"/>
                      <w:vertAlign w:val="superscript"/>
                      <w14:ligatures w14:val="standardContextual"/>
                    </w:rPr>
                    <w:t>2</w:t>
                  </w:r>
                  <w:r>
                    <w:rPr>
                      <w:rFonts w:hint="eastAsia" w:cs="Times New Roman"/>
                      <w:b/>
                      <w:i w:val="0"/>
                      <w:snapToGrid w:val="0"/>
                      <w:color w:val="auto"/>
                      <w:vertAlign w:val="superscript"/>
                      <w:lang w:eastAsia="zh-CN"/>
                      <w14:ligatures w14:val="standardContextual"/>
                    </w:rPr>
                    <w:t>)</w:t>
                  </w:r>
                </w:p>
              </w:tc>
              <w:tc>
                <w:tcPr>
                  <w:tcW w:w="574"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5A44CF53">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color w:val="auto"/>
                      <w14:ligatures w14:val="standardContextual"/>
                    </w:rPr>
                  </w:pPr>
                  <w:r>
                    <w:rPr>
                      <w:rFonts w:hint="eastAsia" w:ascii="Times New Roman" w:hAnsi="Times New Roman" w:eastAsia="宋体" w:cs="Times New Roman"/>
                      <w:b/>
                      <w:i w:val="0"/>
                      <w:snapToGrid w:val="0"/>
                      <w:color w:val="auto"/>
                      <w14:ligatures w14:val="standardContextual"/>
                    </w:rPr>
                    <w:t>S</w:t>
                  </w:r>
                  <w:r>
                    <w:rPr>
                      <w:rFonts w:hint="eastAsia" w:cs="Times New Roman"/>
                      <w:b/>
                      <w:i w:val="0"/>
                      <w:snapToGrid w:val="0"/>
                      <w:color w:val="auto"/>
                      <w:lang w:eastAsia="zh-CN"/>
                      <w14:ligatures w14:val="standardContextual"/>
                    </w:rPr>
                    <w:t>(</w:t>
                  </w:r>
                  <w:r>
                    <w:rPr>
                      <w:rFonts w:hint="eastAsia" w:ascii="Times New Roman" w:hAnsi="Times New Roman" w:eastAsia="宋体" w:cs="Times New Roman"/>
                      <w:b/>
                      <w:i w:val="0"/>
                      <w:snapToGrid w:val="0"/>
                      <w:color w:val="auto"/>
                      <w14:ligatures w14:val="standardContextual"/>
                    </w:rPr>
                    <w:t>m</w:t>
                  </w:r>
                  <w:r>
                    <w:rPr>
                      <w:rFonts w:hint="eastAsia" w:ascii="Times New Roman" w:hAnsi="Times New Roman" w:eastAsia="宋体" w:cs="Times New Roman"/>
                      <w:b/>
                      <w:i w:val="0"/>
                      <w:snapToGrid w:val="0"/>
                      <w:color w:val="auto"/>
                      <w:vertAlign w:val="superscript"/>
                      <w14:ligatures w14:val="standardContextual"/>
                    </w:rPr>
                    <w:t>2</w:t>
                  </w:r>
                  <w:r>
                    <w:rPr>
                      <w:rFonts w:hint="eastAsia" w:cs="Times New Roman"/>
                      <w:b/>
                      <w:i w:val="0"/>
                      <w:snapToGrid w:val="0"/>
                      <w:color w:val="auto"/>
                      <w:vertAlign w:val="superscript"/>
                      <w:lang w:eastAsia="zh-CN"/>
                      <w14:ligatures w14:val="standardContextual"/>
                    </w:rPr>
                    <w:t>)</w:t>
                  </w:r>
                </w:p>
              </w:tc>
              <w:tc>
                <w:tcPr>
                  <w:tcW w:w="574" w:type="pct"/>
                  <w:tcBorders>
                    <w:top w:val="single" w:color="auto" w:sz="12" w:space="0"/>
                    <w:bottom w:val="single" w:color="auto" w:sz="12" w:space="0"/>
                    <w:right w:val="nil"/>
                    <w:insideH w:val="single" w:sz="12" w:space="0"/>
                    <w:insideV w:val="single" w:sz="4" w:space="0"/>
                    <w:tl2br w:val="nil"/>
                    <w:tr2bl w:val="nil"/>
                  </w:tcBorders>
                  <w:vAlign w:val="center"/>
                </w:tcPr>
                <w:p w14:paraId="68CD8866">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snapToGrid w:val="0"/>
                      <w:color w:val="auto"/>
                      <w14:ligatures w14:val="standardContextual"/>
                    </w:rPr>
                  </w:pPr>
                  <w:r>
                    <w:rPr>
                      <w:rFonts w:hint="eastAsia" w:ascii="Times New Roman" w:hAnsi="Times New Roman" w:eastAsia="宋体" w:cs="Times New Roman"/>
                      <w:b/>
                      <w:i w:val="0"/>
                      <w:snapToGrid w:val="0"/>
                      <w:color w:val="auto"/>
                      <w14:ligatures w14:val="standardContextual"/>
                    </w:rPr>
                    <w:t>颗粒物产生量</w:t>
                  </w:r>
                </w:p>
              </w:tc>
            </w:tr>
            <w:tr w14:paraId="7CBEF8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436" w:type="pct"/>
                  <w:vAlign w:val="center"/>
                </w:tcPr>
                <w:p w14:paraId="52066E76">
                  <w:pPr>
                    <w:widowControl w:val="0"/>
                    <w:overflowPunct w:val="0"/>
                    <w:autoSpaceDE w:val="0"/>
                    <w:autoSpaceDN w:val="0"/>
                    <w:snapToGrid w:val="0"/>
                    <w:jc w:val="center"/>
                    <w:rPr>
                      <w:snapToGrid w:val="0"/>
                      <w:color w:val="auto"/>
                      <w14:ligatures w14:val="standardContextual"/>
                    </w:rPr>
                  </w:pPr>
                  <w:r>
                    <w:rPr>
                      <w:rFonts w:hint="eastAsia"/>
                      <w:snapToGrid w:val="0"/>
                      <w:color w:val="auto"/>
                      <w14:ligatures w14:val="standardContextual"/>
                    </w:rPr>
                    <w:t>生产车间</w:t>
                  </w:r>
                </w:p>
              </w:tc>
              <w:tc>
                <w:tcPr>
                  <w:tcW w:w="694" w:type="pct"/>
                  <w:vAlign w:val="center"/>
                </w:tcPr>
                <w:p w14:paraId="5BC88EBD">
                  <w:pPr>
                    <w:widowControl w:val="0"/>
                    <w:overflowPunct w:val="0"/>
                    <w:autoSpaceDE w:val="0"/>
                    <w:autoSpaceDN w:val="0"/>
                    <w:snapToGrid w:val="0"/>
                    <w:jc w:val="center"/>
                    <w:rPr>
                      <w:snapToGrid w:val="0"/>
                      <w:color w:val="auto"/>
                      <w14:ligatures w14:val="standardContextual"/>
                    </w:rPr>
                  </w:pPr>
                  <w:r>
                    <w:rPr>
                      <w:rFonts w:hint="eastAsia"/>
                      <w:color w:val="auto"/>
                      <w14:ligatures w14:val="standardContextual"/>
                    </w:rPr>
                    <w:t>2500</w:t>
                  </w:r>
                </w:p>
              </w:tc>
              <w:tc>
                <w:tcPr>
                  <w:tcW w:w="720" w:type="pct"/>
                  <w:vAlign w:val="center"/>
                </w:tcPr>
                <w:p w14:paraId="3818DBC0">
                  <w:pPr>
                    <w:widowControl w:val="0"/>
                    <w:overflowPunct w:val="0"/>
                    <w:autoSpaceDE w:val="0"/>
                    <w:autoSpaceDN w:val="0"/>
                    <w:snapToGrid w:val="0"/>
                    <w:jc w:val="center"/>
                    <w:rPr>
                      <w:snapToGrid w:val="0"/>
                      <w:color w:val="auto"/>
                      <w14:ligatures w14:val="standardContextual"/>
                    </w:rPr>
                  </w:pPr>
                  <w:r>
                    <w:rPr>
                      <w:color w:val="auto"/>
                      <w14:ligatures w14:val="standardContextual"/>
                    </w:rPr>
                    <w:t>20</w:t>
                  </w:r>
                </w:p>
              </w:tc>
              <w:tc>
                <w:tcPr>
                  <w:tcW w:w="482" w:type="pct"/>
                  <w:vAlign w:val="center"/>
                </w:tcPr>
                <w:p w14:paraId="2CB32E97">
                  <w:pPr>
                    <w:widowControl w:val="0"/>
                    <w:overflowPunct w:val="0"/>
                    <w:autoSpaceDE w:val="0"/>
                    <w:autoSpaceDN w:val="0"/>
                    <w:snapToGrid w:val="0"/>
                    <w:jc w:val="center"/>
                    <w:rPr>
                      <w:snapToGrid w:val="0"/>
                      <w:color w:val="auto"/>
                      <w14:ligatures w14:val="standardContextual"/>
                    </w:rPr>
                  </w:pPr>
                  <w:r>
                    <w:rPr>
                      <w:snapToGrid w:val="0"/>
                      <w:color w:val="auto"/>
                      <w14:ligatures w14:val="standardContextual"/>
                    </w:rPr>
                    <w:t>0.0008</w:t>
                  </w:r>
                </w:p>
              </w:tc>
              <w:tc>
                <w:tcPr>
                  <w:tcW w:w="583" w:type="pct"/>
                  <w:vAlign w:val="center"/>
                </w:tcPr>
                <w:p w14:paraId="710F2886">
                  <w:pPr>
                    <w:widowControl w:val="0"/>
                    <w:overflowPunct w:val="0"/>
                    <w:autoSpaceDE w:val="0"/>
                    <w:autoSpaceDN w:val="0"/>
                    <w:snapToGrid w:val="0"/>
                    <w:jc w:val="center"/>
                    <w:rPr>
                      <w:snapToGrid w:val="0"/>
                      <w:color w:val="auto"/>
                      <w14:ligatures w14:val="standardContextual"/>
                    </w:rPr>
                  </w:pPr>
                  <w:r>
                    <w:rPr>
                      <w:rFonts w:hint="eastAsia"/>
                      <w:snapToGrid w:val="0"/>
                      <w:color w:val="auto"/>
                      <w14:ligatures w14:val="standardContextual"/>
                    </w:rPr>
                    <w:t>0.0008</w:t>
                  </w:r>
                </w:p>
              </w:tc>
              <w:tc>
                <w:tcPr>
                  <w:tcW w:w="937" w:type="pct"/>
                  <w:vAlign w:val="center"/>
                </w:tcPr>
                <w:p w14:paraId="6D929C6E">
                  <w:pPr>
                    <w:widowControl w:val="0"/>
                    <w:overflowPunct w:val="0"/>
                    <w:autoSpaceDE w:val="0"/>
                    <w:autoSpaceDN w:val="0"/>
                    <w:snapToGrid w:val="0"/>
                    <w:jc w:val="center"/>
                    <w:rPr>
                      <w:snapToGrid w:val="0"/>
                      <w:color w:val="auto"/>
                      <w14:ligatures w14:val="standardContextual"/>
                    </w:rPr>
                  </w:pPr>
                  <w:r>
                    <w:rPr>
                      <w:rFonts w:hint="eastAsia"/>
                      <w:snapToGrid w:val="0"/>
                      <w:color w:val="auto"/>
                      <w14:ligatures w14:val="standardContextual"/>
                    </w:rPr>
                    <w:t>11.7366</w:t>
                  </w:r>
                </w:p>
              </w:tc>
              <w:tc>
                <w:tcPr>
                  <w:tcW w:w="574" w:type="pct"/>
                  <w:vAlign w:val="center"/>
                </w:tcPr>
                <w:p w14:paraId="2C881CA0">
                  <w:pPr>
                    <w:widowControl w:val="0"/>
                    <w:overflowPunct w:val="0"/>
                    <w:autoSpaceDE w:val="0"/>
                    <w:autoSpaceDN w:val="0"/>
                    <w:snapToGrid w:val="0"/>
                    <w:jc w:val="center"/>
                    <w:rPr>
                      <w:snapToGrid w:val="0"/>
                      <w:color w:val="auto"/>
                      <w14:ligatures w14:val="standardContextual"/>
                    </w:rPr>
                  </w:pPr>
                  <w:r>
                    <w:rPr>
                      <w:rFonts w:hint="eastAsia"/>
                      <w:snapToGrid w:val="0"/>
                      <w:color w:val="auto"/>
                      <w14:ligatures w14:val="standardContextual"/>
                    </w:rPr>
                    <w:t>1500</w:t>
                  </w:r>
                </w:p>
              </w:tc>
              <w:tc>
                <w:tcPr>
                  <w:tcW w:w="574" w:type="pct"/>
                  <w:vAlign w:val="center"/>
                </w:tcPr>
                <w:p w14:paraId="2462D504">
                  <w:pPr>
                    <w:widowControl w:val="0"/>
                    <w:overflowPunct w:val="0"/>
                    <w:autoSpaceDE w:val="0"/>
                    <w:autoSpaceDN w:val="0"/>
                    <w:snapToGrid w:val="0"/>
                    <w:jc w:val="center"/>
                    <w:rPr>
                      <w:snapToGrid w:val="0"/>
                      <w:color w:val="auto"/>
                      <w14:ligatures w14:val="standardContextual"/>
                    </w:rPr>
                  </w:pPr>
                  <w:r>
                    <w:rPr>
                      <w:snapToGrid w:val="0"/>
                      <w:color w:val="auto"/>
                      <w14:ligatures w14:val="standardContextual"/>
                    </w:rPr>
                    <w:t>85.210</w:t>
                  </w:r>
                </w:p>
              </w:tc>
            </w:tr>
            <w:tr w14:paraId="223B68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436" w:type="pct"/>
                  <w:vAlign w:val="center"/>
                </w:tcPr>
                <w:p w14:paraId="20F0114F">
                  <w:pPr>
                    <w:widowControl w:val="0"/>
                    <w:overflowPunct w:val="0"/>
                    <w:autoSpaceDE w:val="0"/>
                    <w:autoSpaceDN w:val="0"/>
                    <w:snapToGrid w:val="0"/>
                    <w:jc w:val="center"/>
                    <w:rPr>
                      <w:snapToGrid w:val="0"/>
                      <w:color w:val="auto"/>
                      <w14:ligatures w14:val="standardContextual"/>
                    </w:rPr>
                  </w:pPr>
                  <w:r>
                    <w:rPr>
                      <w:rFonts w:hint="eastAsia"/>
                      <w:snapToGrid w:val="0"/>
                      <w:color w:val="auto"/>
                      <w14:ligatures w14:val="standardContextual"/>
                    </w:rPr>
                    <w:t>堆料区</w:t>
                  </w:r>
                </w:p>
              </w:tc>
              <w:tc>
                <w:tcPr>
                  <w:tcW w:w="694" w:type="pct"/>
                  <w:vAlign w:val="center"/>
                </w:tcPr>
                <w:p w14:paraId="34D4CCD5">
                  <w:pPr>
                    <w:widowControl w:val="0"/>
                    <w:overflowPunct w:val="0"/>
                    <w:autoSpaceDE w:val="0"/>
                    <w:autoSpaceDN w:val="0"/>
                    <w:snapToGrid w:val="0"/>
                    <w:jc w:val="center"/>
                    <w:rPr>
                      <w:color w:val="auto"/>
                      <w14:ligatures w14:val="standardContextual"/>
                    </w:rPr>
                  </w:pPr>
                  <w:r>
                    <w:rPr>
                      <w:color w:val="auto"/>
                      <w14:ligatures w14:val="standardContextual"/>
                    </w:rPr>
                    <w:t>2500</w:t>
                  </w:r>
                </w:p>
              </w:tc>
              <w:tc>
                <w:tcPr>
                  <w:tcW w:w="720" w:type="pct"/>
                  <w:vAlign w:val="center"/>
                </w:tcPr>
                <w:p w14:paraId="62C2C5A4">
                  <w:pPr>
                    <w:widowControl w:val="0"/>
                    <w:overflowPunct w:val="0"/>
                    <w:autoSpaceDE w:val="0"/>
                    <w:autoSpaceDN w:val="0"/>
                    <w:snapToGrid w:val="0"/>
                    <w:jc w:val="center"/>
                    <w:rPr>
                      <w:color w:val="auto"/>
                      <w14:ligatures w14:val="standardContextual"/>
                    </w:rPr>
                  </w:pPr>
                  <w:r>
                    <w:rPr>
                      <w:color w:val="auto"/>
                      <w14:ligatures w14:val="standardContextual"/>
                    </w:rPr>
                    <w:t>20</w:t>
                  </w:r>
                </w:p>
              </w:tc>
              <w:tc>
                <w:tcPr>
                  <w:tcW w:w="482" w:type="pct"/>
                  <w:vAlign w:val="center"/>
                </w:tcPr>
                <w:p w14:paraId="6525229B">
                  <w:pPr>
                    <w:widowControl w:val="0"/>
                    <w:overflowPunct w:val="0"/>
                    <w:autoSpaceDE w:val="0"/>
                    <w:autoSpaceDN w:val="0"/>
                    <w:snapToGrid w:val="0"/>
                    <w:jc w:val="center"/>
                    <w:rPr>
                      <w:snapToGrid w:val="0"/>
                      <w:color w:val="auto"/>
                      <w14:ligatures w14:val="standardContextual"/>
                    </w:rPr>
                  </w:pPr>
                  <w:r>
                    <w:rPr>
                      <w:color w:val="auto"/>
                      <w14:ligatures w14:val="standardContextual"/>
                    </w:rPr>
                    <w:t>0.0008</w:t>
                  </w:r>
                </w:p>
              </w:tc>
              <w:tc>
                <w:tcPr>
                  <w:tcW w:w="583" w:type="pct"/>
                  <w:vAlign w:val="center"/>
                </w:tcPr>
                <w:p w14:paraId="5CAD8214">
                  <w:pPr>
                    <w:widowControl w:val="0"/>
                    <w:overflowPunct w:val="0"/>
                    <w:autoSpaceDE w:val="0"/>
                    <w:autoSpaceDN w:val="0"/>
                    <w:snapToGrid w:val="0"/>
                    <w:jc w:val="center"/>
                    <w:rPr>
                      <w:snapToGrid w:val="0"/>
                      <w:color w:val="auto"/>
                      <w14:ligatures w14:val="standardContextual"/>
                    </w:rPr>
                  </w:pPr>
                  <w:r>
                    <w:rPr>
                      <w:color w:val="auto"/>
                      <w14:ligatures w14:val="standardContextual"/>
                    </w:rPr>
                    <w:t>0.0008</w:t>
                  </w:r>
                </w:p>
              </w:tc>
              <w:tc>
                <w:tcPr>
                  <w:tcW w:w="937" w:type="pct"/>
                  <w:vAlign w:val="center"/>
                </w:tcPr>
                <w:p w14:paraId="07641714">
                  <w:pPr>
                    <w:widowControl w:val="0"/>
                    <w:overflowPunct w:val="0"/>
                    <w:autoSpaceDE w:val="0"/>
                    <w:autoSpaceDN w:val="0"/>
                    <w:snapToGrid w:val="0"/>
                    <w:jc w:val="center"/>
                    <w:rPr>
                      <w:snapToGrid w:val="0"/>
                      <w:color w:val="auto"/>
                      <w14:ligatures w14:val="standardContextual"/>
                    </w:rPr>
                  </w:pPr>
                  <w:r>
                    <w:rPr>
                      <w:color w:val="auto"/>
                      <w14:ligatures w14:val="standardContextual"/>
                    </w:rPr>
                    <w:t>11.7366</w:t>
                  </w:r>
                </w:p>
              </w:tc>
              <w:tc>
                <w:tcPr>
                  <w:tcW w:w="574" w:type="pct"/>
                  <w:vAlign w:val="center"/>
                </w:tcPr>
                <w:p w14:paraId="25D61DA1">
                  <w:pPr>
                    <w:widowControl w:val="0"/>
                    <w:overflowPunct w:val="0"/>
                    <w:autoSpaceDE w:val="0"/>
                    <w:autoSpaceDN w:val="0"/>
                    <w:snapToGrid w:val="0"/>
                    <w:jc w:val="center"/>
                    <w:rPr>
                      <w:snapToGrid w:val="0"/>
                      <w:color w:val="auto"/>
                      <w14:ligatures w14:val="standardContextual"/>
                    </w:rPr>
                  </w:pPr>
                  <w:r>
                    <w:rPr>
                      <w:color w:val="auto"/>
                      <w14:ligatures w14:val="standardContextual"/>
                    </w:rPr>
                    <w:t>2500</w:t>
                  </w:r>
                </w:p>
              </w:tc>
              <w:tc>
                <w:tcPr>
                  <w:tcW w:w="574" w:type="pct"/>
                  <w:vAlign w:val="center"/>
                </w:tcPr>
                <w:p w14:paraId="5D8BC518">
                  <w:pPr>
                    <w:widowControl w:val="0"/>
                    <w:overflowPunct w:val="0"/>
                    <w:autoSpaceDE w:val="0"/>
                    <w:autoSpaceDN w:val="0"/>
                    <w:snapToGrid w:val="0"/>
                    <w:jc w:val="center"/>
                    <w:rPr>
                      <w:snapToGrid w:val="0"/>
                      <w:color w:val="auto"/>
                      <w14:ligatures w14:val="standardContextual"/>
                    </w:rPr>
                  </w:pPr>
                  <w:r>
                    <w:rPr>
                      <w:color w:val="auto"/>
                      <w14:ligatures w14:val="standardContextual"/>
                    </w:rPr>
                    <w:t>108.683</w:t>
                  </w:r>
                </w:p>
              </w:tc>
            </w:tr>
            <w:tr w14:paraId="6009DC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436" w:type="pct"/>
                  <w:vAlign w:val="center"/>
                </w:tcPr>
                <w:p w14:paraId="2122090A">
                  <w:pPr>
                    <w:widowControl w:val="0"/>
                    <w:overflowPunct w:val="0"/>
                    <w:autoSpaceDE w:val="0"/>
                    <w:autoSpaceDN w:val="0"/>
                    <w:snapToGrid w:val="0"/>
                    <w:jc w:val="center"/>
                    <w:rPr>
                      <w:snapToGrid w:val="0"/>
                      <w:color w:val="auto"/>
                      <w14:ligatures w14:val="standardContextual"/>
                    </w:rPr>
                  </w:pPr>
                  <w:r>
                    <w:rPr>
                      <w:rFonts w:hint="eastAsia"/>
                      <w:snapToGrid w:val="0"/>
                      <w:color w:val="auto"/>
                      <w14:ligatures w14:val="standardContextual"/>
                    </w:rPr>
                    <w:t>合计</w:t>
                  </w:r>
                </w:p>
              </w:tc>
              <w:tc>
                <w:tcPr>
                  <w:tcW w:w="694" w:type="pct"/>
                  <w:vAlign w:val="center"/>
                </w:tcPr>
                <w:p w14:paraId="31C17663">
                  <w:pPr>
                    <w:widowControl w:val="0"/>
                    <w:overflowPunct w:val="0"/>
                    <w:autoSpaceDE w:val="0"/>
                    <w:autoSpaceDN w:val="0"/>
                    <w:snapToGrid w:val="0"/>
                    <w:jc w:val="center"/>
                    <w:rPr>
                      <w:color w:val="auto"/>
                      <w14:ligatures w14:val="standardContextual"/>
                    </w:rPr>
                  </w:pPr>
                  <w:r>
                    <w:rPr>
                      <w:rFonts w:hint="eastAsia"/>
                      <w:color w:val="auto"/>
                      <w14:ligatures w14:val="standardContextual"/>
                    </w:rPr>
                    <w:t>5000</w:t>
                  </w:r>
                </w:p>
              </w:tc>
              <w:tc>
                <w:tcPr>
                  <w:tcW w:w="720" w:type="pct"/>
                  <w:vAlign w:val="center"/>
                </w:tcPr>
                <w:p w14:paraId="65E77ED1">
                  <w:pPr>
                    <w:widowControl w:val="0"/>
                    <w:overflowPunct w:val="0"/>
                    <w:autoSpaceDE w:val="0"/>
                    <w:autoSpaceDN w:val="0"/>
                    <w:snapToGrid w:val="0"/>
                    <w:jc w:val="center"/>
                    <w:rPr>
                      <w:color w:val="auto"/>
                      <w14:ligatures w14:val="standardContextual"/>
                    </w:rPr>
                  </w:pPr>
                  <w:r>
                    <w:rPr>
                      <w:rFonts w:hint="eastAsia"/>
                      <w:color w:val="auto"/>
                      <w14:ligatures w14:val="standardContextual"/>
                    </w:rPr>
                    <w:t>/</w:t>
                  </w:r>
                </w:p>
              </w:tc>
              <w:tc>
                <w:tcPr>
                  <w:tcW w:w="482" w:type="pct"/>
                  <w:vAlign w:val="center"/>
                </w:tcPr>
                <w:p w14:paraId="7CF9035F">
                  <w:pPr>
                    <w:widowControl w:val="0"/>
                    <w:overflowPunct w:val="0"/>
                    <w:autoSpaceDE w:val="0"/>
                    <w:autoSpaceDN w:val="0"/>
                    <w:snapToGrid w:val="0"/>
                    <w:jc w:val="center"/>
                    <w:rPr>
                      <w:color w:val="auto"/>
                      <w14:ligatures w14:val="standardContextual"/>
                    </w:rPr>
                  </w:pPr>
                  <w:r>
                    <w:rPr>
                      <w:rFonts w:hint="eastAsia"/>
                      <w:color w:val="auto"/>
                      <w14:ligatures w14:val="standardContextual"/>
                    </w:rPr>
                    <w:t>/</w:t>
                  </w:r>
                </w:p>
              </w:tc>
              <w:tc>
                <w:tcPr>
                  <w:tcW w:w="583" w:type="pct"/>
                  <w:vAlign w:val="center"/>
                </w:tcPr>
                <w:p w14:paraId="78033F7B">
                  <w:pPr>
                    <w:widowControl w:val="0"/>
                    <w:overflowPunct w:val="0"/>
                    <w:autoSpaceDE w:val="0"/>
                    <w:autoSpaceDN w:val="0"/>
                    <w:snapToGrid w:val="0"/>
                    <w:jc w:val="center"/>
                    <w:rPr>
                      <w:color w:val="auto"/>
                      <w14:ligatures w14:val="standardContextual"/>
                    </w:rPr>
                  </w:pPr>
                  <w:r>
                    <w:rPr>
                      <w:rFonts w:hint="eastAsia"/>
                      <w:color w:val="auto"/>
                      <w14:ligatures w14:val="standardContextual"/>
                    </w:rPr>
                    <w:t>/</w:t>
                  </w:r>
                </w:p>
              </w:tc>
              <w:tc>
                <w:tcPr>
                  <w:tcW w:w="937" w:type="pct"/>
                  <w:vAlign w:val="center"/>
                </w:tcPr>
                <w:p w14:paraId="2FA74826">
                  <w:pPr>
                    <w:widowControl w:val="0"/>
                    <w:overflowPunct w:val="0"/>
                    <w:autoSpaceDE w:val="0"/>
                    <w:autoSpaceDN w:val="0"/>
                    <w:snapToGrid w:val="0"/>
                    <w:jc w:val="center"/>
                    <w:rPr>
                      <w:color w:val="auto"/>
                      <w14:ligatures w14:val="standardContextual"/>
                    </w:rPr>
                  </w:pPr>
                  <w:r>
                    <w:rPr>
                      <w:rFonts w:hint="eastAsia"/>
                      <w:color w:val="auto"/>
                      <w14:ligatures w14:val="standardContextual"/>
                    </w:rPr>
                    <w:t>/</w:t>
                  </w:r>
                </w:p>
              </w:tc>
              <w:tc>
                <w:tcPr>
                  <w:tcW w:w="574" w:type="pct"/>
                  <w:vAlign w:val="center"/>
                </w:tcPr>
                <w:p w14:paraId="3F879406">
                  <w:pPr>
                    <w:widowControl w:val="0"/>
                    <w:overflowPunct w:val="0"/>
                    <w:autoSpaceDE w:val="0"/>
                    <w:autoSpaceDN w:val="0"/>
                    <w:snapToGrid w:val="0"/>
                    <w:jc w:val="center"/>
                    <w:rPr>
                      <w:color w:val="auto"/>
                      <w14:ligatures w14:val="standardContextual"/>
                    </w:rPr>
                  </w:pPr>
                  <w:r>
                    <w:rPr>
                      <w:rFonts w:hint="eastAsia"/>
                      <w:color w:val="auto"/>
                      <w14:ligatures w14:val="standardContextual"/>
                    </w:rPr>
                    <w:t>/</w:t>
                  </w:r>
                </w:p>
              </w:tc>
              <w:tc>
                <w:tcPr>
                  <w:tcW w:w="574" w:type="pct"/>
                  <w:vAlign w:val="center"/>
                </w:tcPr>
                <w:p w14:paraId="4F468930">
                  <w:pPr>
                    <w:widowControl w:val="0"/>
                    <w:overflowPunct w:val="0"/>
                    <w:autoSpaceDE w:val="0"/>
                    <w:autoSpaceDN w:val="0"/>
                    <w:snapToGrid w:val="0"/>
                    <w:jc w:val="center"/>
                    <w:rPr>
                      <w:color w:val="auto"/>
                      <w14:ligatures w14:val="standardContextual"/>
                    </w:rPr>
                  </w:pPr>
                  <w:r>
                    <w:rPr>
                      <w:color w:val="auto"/>
                      <w14:ligatures w14:val="standardContextual"/>
                    </w:rPr>
                    <w:t>193.893</w:t>
                  </w:r>
                </w:p>
              </w:tc>
            </w:tr>
          </w:tbl>
          <w:p w14:paraId="568F8915">
            <w:pPr>
              <w:pStyle w:val="63"/>
              <w:spacing w:after="120"/>
              <w:rPr>
                <w:color w:val="auto"/>
              </w:rPr>
            </w:pPr>
            <w:r>
              <w:rPr>
                <w:rFonts w:hint="eastAsia"/>
                <w:color w:val="auto"/>
              </w:rPr>
              <w:t>备注：生产车间内建筑垃圾堆放区占地面积1500m2，成品堆料占地面积2500m2。</w:t>
            </w:r>
          </w:p>
          <w:p w14:paraId="06B7DE98">
            <w:pPr>
              <w:pStyle w:val="3"/>
              <w:ind w:firstLine="480"/>
              <w:rPr>
                <w:color w:val="auto"/>
              </w:rPr>
            </w:pPr>
            <w:r>
              <w:rPr>
                <w:rFonts w:hint="eastAsia"/>
                <w:color w:val="auto"/>
              </w:rPr>
              <w:t>经计算，建筑垃圾在卸料、贮存、上料环节颗粒物产生量约为</w:t>
            </w:r>
            <w:r>
              <w:rPr>
                <w:color w:val="auto"/>
              </w:rPr>
              <w:t>193.893</w:t>
            </w:r>
            <w:r>
              <w:rPr>
                <w:rFonts w:hint="eastAsia"/>
                <w:color w:val="auto"/>
              </w:rPr>
              <w:t>t/a。</w:t>
            </w:r>
          </w:p>
          <w:p w14:paraId="3EE34770">
            <w:pPr>
              <w:pStyle w:val="3"/>
              <w:ind w:firstLine="480"/>
              <w:rPr>
                <w:color w:val="auto"/>
              </w:rPr>
            </w:pPr>
            <w:r>
              <w:rPr>
                <w:rFonts w:hint="eastAsia"/>
                <w:color w:val="auto"/>
              </w:rPr>
              <w:t>建筑垃圾堆存区和产品堆料区，均在封闭厂房内，同时在装卸点采用喷雾器喷雾降尘，出入车辆冲洗，参照《排放源统计调查产排污核算方法和系数手册》附录4、5，综合降尘效率取95%，颗粒物排放量约为</w:t>
            </w:r>
            <w:r>
              <w:rPr>
                <w:color w:val="auto"/>
              </w:rPr>
              <w:t>9.695t/a</w:t>
            </w:r>
            <w:r>
              <w:rPr>
                <w:rFonts w:hint="eastAsia"/>
                <w:color w:val="auto"/>
              </w:rPr>
              <w:t>，以无组织形式排放。</w:t>
            </w:r>
          </w:p>
          <w:p w14:paraId="6D697FFF">
            <w:pPr>
              <w:pStyle w:val="3"/>
              <w:ind w:firstLine="482"/>
              <w:rPr>
                <w:b/>
                <w:bCs/>
              </w:rPr>
            </w:pPr>
            <w:r>
              <w:rPr>
                <w:rFonts w:hint="eastAsia"/>
                <w:b/>
                <w:bCs/>
              </w:rPr>
              <w:t>②落料粉尘</w:t>
            </w:r>
          </w:p>
          <w:p w14:paraId="3AA154A5">
            <w:pPr>
              <w:pStyle w:val="3"/>
              <w:ind w:firstLine="480"/>
              <w:rPr>
                <w:color w:val="auto"/>
              </w:rPr>
            </w:pPr>
            <w:r>
              <w:rPr>
                <w:rFonts w:hint="eastAsia"/>
              </w:rPr>
              <w:t>本项目年产碎石约3.5万吨，参考《逸散性工业粉尘控制技术》（中国</w:t>
            </w:r>
            <w:r>
              <w:rPr>
                <w:rFonts w:hint="eastAsia"/>
                <w:color w:val="auto"/>
              </w:rPr>
              <w:t>环境科学出版社）中落料粉尘排放因子0.2kg/t 物料，则落料粉尘产生量为7t/a。</w:t>
            </w:r>
          </w:p>
          <w:p w14:paraId="23324ADA">
            <w:pPr>
              <w:pStyle w:val="3"/>
              <w:ind w:firstLine="480"/>
              <w:rPr>
                <w:color w:val="auto"/>
              </w:rPr>
            </w:pPr>
            <w:r>
              <w:rPr>
                <w:rFonts w:hint="eastAsia"/>
                <w:color w:val="auto"/>
              </w:rPr>
              <w:t>落料点设置在封闭厂房内，通过采取喷雾除尘后可进一步去除粉尘，参照《排放源统计调查产排污核算方法和系数手册》附录4、5，综合降尘效率取95%，颗粒物排放量约为0.35t/a，以无组织形式排放。</w:t>
            </w:r>
          </w:p>
          <w:p w14:paraId="32A848DE">
            <w:pPr>
              <w:pStyle w:val="3"/>
              <w:ind w:firstLine="482"/>
              <w:rPr>
                <w:b/>
                <w:bCs/>
              </w:rPr>
            </w:pPr>
            <w:r>
              <w:rPr>
                <w:rFonts w:hint="eastAsia"/>
                <w:b/>
                <w:bCs/>
              </w:rPr>
              <w:t>③车辆运输扬尘</w:t>
            </w:r>
          </w:p>
          <w:p w14:paraId="64E1B79B">
            <w:pPr>
              <w:pStyle w:val="3"/>
              <w:ind w:firstLine="480"/>
              <w:rPr>
                <w:u w:val="single"/>
              </w:rPr>
            </w:pPr>
            <w:r>
              <w:rPr>
                <w:rFonts w:hint="eastAsia"/>
                <w:color w:val="EE0000"/>
                <w:u w:val="single"/>
              </w:rPr>
              <w:t>运输车辆在厂区内行驶过程中会产生一定扬尘，根据《303砖瓦、石材等建筑材料制造行业系数手册》中无对应工序污染物产排系数，故本评价采用上海港环境保护中心和武汉水运工程学院提出的经验公式：</w:t>
            </w:r>
          </w:p>
          <w:p w14:paraId="2C7F8F70">
            <w:pPr>
              <w:pStyle w:val="3"/>
              <w:ind w:firstLine="480"/>
            </w:pPr>
            <m:oMathPara>
              <m:oMath>
                <m:r>
                  <m:rPr/>
                  <w:rPr>
                    <w:rFonts w:ascii="Cambria Math" w:hAnsi="Cambria Math"/>
                  </w:rPr>
                  <m:t>Q=0.123×</m:t>
                </m:r>
                <m:f>
                  <m:fPr>
                    <m:ctrlPr>
                      <w:rPr>
                        <w:rFonts w:ascii="Cambria Math" w:hAnsi="Cambria Math"/>
                        <w:i/>
                      </w:rPr>
                    </m:ctrlPr>
                  </m:fPr>
                  <m:num>
                    <m:r>
                      <m:rPr/>
                      <w:rPr>
                        <w:rFonts w:ascii="Cambria Math" w:hAnsi="Cambria Math"/>
                      </w:rPr>
                      <m:t>V</m:t>
                    </m:r>
                    <m:ctrlPr>
                      <w:rPr>
                        <w:rFonts w:ascii="Cambria Math" w:hAnsi="Cambria Math"/>
                        <w:i/>
                      </w:rPr>
                    </m:ctrlPr>
                  </m:num>
                  <m:den>
                    <m:r>
                      <m:rPr/>
                      <w:rPr>
                        <w:rFonts w:ascii="Cambria Math" w:hAnsi="Cambria Math"/>
                      </w:rPr>
                      <m:t>5</m:t>
                    </m:r>
                    <m:ctrlPr>
                      <w:rPr>
                        <w:rFonts w:ascii="Cambria Math" w:hAnsi="Cambria Math"/>
                        <w:i/>
                      </w:rPr>
                    </m:ctrlPr>
                  </m:den>
                </m:f>
                <m:r>
                  <m:rPr/>
                  <w:rPr>
                    <w:rFonts w:ascii="Cambria Math" w:hAnsi="Cambria Math"/>
                  </w:rPr>
                  <m:t>×(</m:t>
                </m:r>
                <m:sSup>
                  <m:sSupPr>
                    <m:ctrlPr>
                      <w:rPr>
                        <w:rFonts w:ascii="Cambria Math" w:hAnsi="Cambria Math"/>
                        <w:i/>
                      </w:rPr>
                    </m:ctrlPr>
                  </m:sSupPr>
                  <m:e>
                    <m:f>
                      <m:fPr>
                        <m:ctrlPr>
                          <w:rPr>
                            <w:rFonts w:ascii="Cambria Math" w:hAnsi="Cambria Math"/>
                            <w:i/>
                          </w:rPr>
                        </m:ctrlPr>
                      </m:fPr>
                      <m:num>
                        <m:r>
                          <m:rPr/>
                          <w:rPr>
                            <w:rFonts w:ascii="Cambria Math" w:hAnsi="Cambria Math"/>
                          </w:rPr>
                          <m:t>M</m:t>
                        </m:r>
                        <m:ctrlPr>
                          <w:rPr>
                            <w:rFonts w:ascii="Cambria Math" w:hAnsi="Cambria Math"/>
                            <w:i/>
                          </w:rPr>
                        </m:ctrlPr>
                      </m:num>
                      <m:den>
                        <m:r>
                          <m:rPr/>
                          <w:rPr>
                            <w:rFonts w:ascii="Cambria Math" w:hAnsi="Cambria Math"/>
                          </w:rPr>
                          <m:t>6.8</m:t>
                        </m:r>
                        <m:ctrlPr>
                          <w:rPr>
                            <w:rFonts w:ascii="Cambria Math" w:hAnsi="Cambria Math"/>
                            <w:i/>
                          </w:rPr>
                        </m:ctrlPr>
                      </m:den>
                    </m:f>
                    <m:r>
                      <m:rPr/>
                      <w:rPr>
                        <w:rFonts w:ascii="Cambria Math" w:hAnsi="Cambria Math"/>
                      </w:rPr>
                      <m:t>)</m:t>
                    </m:r>
                    <m:ctrlPr>
                      <w:rPr>
                        <w:rFonts w:ascii="Cambria Math" w:hAnsi="Cambria Math"/>
                        <w:i/>
                      </w:rPr>
                    </m:ctrlPr>
                  </m:e>
                  <m:sup>
                    <m:r>
                      <m:rPr/>
                      <w:rPr>
                        <w:rFonts w:ascii="Cambria Math" w:hAnsi="Cambria Math"/>
                      </w:rPr>
                      <m:t>0.85</m:t>
                    </m:r>
                    <m:ctrlPr>
                      <w:rPr>
                        <w:rFonts w:ascii="Cambria Math" w:hAnsi="Cambria Math"/>
                        <w:i/>
                      </w:rPr>
                    </m:ctrlPr>
                  </m:sup>
                </m:sSup>
                <m:r>
                  <m:rPr/>
                  <w:rPr>
                    <w:rFonts w:ascii="Cambria Math" w:hAnsi="Cambria Math"/>
                  </w:rPr>
                  <m:t>×</m:t>
                </m:r>
                <m:f>
                  <m:fPr>
                    <m:ctrlPr>
                      <w:rPr>
                        <w:rFonts w:ascii="Cambria Math" w:hAnsi="Cambria Math"/>
                        <w:i/>
                      </w:rPr>
                    </m:ctrlPr>
                  </m:fPr>
                  <m:num>
                    <m:r>
                      <m:rPr/>
                      <w:rPr>
                        <w:rFonts w:ascii="Cambria Math" w:hAnsi="Cambria Math"/>
                      </w:rPr>
                      <m:t>P</m:t>
                    </m:r>
                    <m:ctrlPr>
                      <w:rPr>
                        <w:rFonts w:ascii="Cambria Math" w:hAnsi="Cambria Math"/>
                        <w:i/>
                      </w:rPr>
                    </m:ctrlPr>
                  </m:num>
                  <m:den>
                    <m:r>
                      <m:rPr/>
                      <w:rPr>
                        <w:rFonts w:ascii="Cambria Math" w:hAnsi="Cambria Math"/>
                      </w:rPr>
                      <m:t>0.5</m:t>
                    </m:r>
                    <m:ctrlPr>
                      <w:rPr>
                        <w:rFonts w:ascii="Cambria Math" w:hAnsi="Cambria Math"/>
                        <w:i/>
                      </w:rPr>
                    </m:ctrlPr>
                  </m:den>
                </m:f>
                <m:r>
                  <m:rPr/>
                  <w:rPr>
                    <w:rFonts w:ascii="Cambria Math" w:hAnsi="Cambria Math"/>
                  </w:rPr>
                  <m:t>×0.72L</m:t>
                </m:r>
              </m:oMath>
            </m:oMathPara>
          </w:p>
          <w:p w14:paraId="5434B2CA">
            <w:pPr>
              <w:pStyle w:val="48"/>
            </w:pPr>
            <w:bookmarkStart w:id="66" w:name="OLE_LINK228"/>
            <w:bookmarkStart w:id="67" w:name="_Ref186122705"/>
            <w:bookmarkStart w:id="68" w:name="_Ref176880499"/>
          </w:p>
          <w:p w14:paraId="0BA75783">
            <w:pPr>
              <w:pStyle w:val="3"/>
              <w:ind w:firstLine="480"/>
            </w:pPr>
            <w:r>
              <w:rPr>
                <w:rFonts w:hint="eastAsia"/>
              </w:rPr>
              <w:t>式中：</w:t>
            </w:r>
          </w:p>
          <w:p w14:paraId="7AE00EF6">
            <w:pPr>
              <w:pStyle w:val="3"/>
              <w:ind w:firstLine="480"/>
            </w:pPr>
            <w:r>
              <w:t>Q</w:t>
            </w:r>
            <w:r>
              <w:rPr>
                <w:rFonts w:hint="eastAsia"/>
              </w:rPr>
              <w:t>:为汽车行驶的起尘量（</w:t>
            </w:r>
            <w:r>
              <w:t>kg/</w:t>
            </w:r>
            <w:r>
              <w:rPr>
                <w:rFonts w:hint="eastAsia"/>
              </w:rPr>
              <w:t>辆）；</w:t>
            </w:r>
          </w:p>
          <w:p w14:paraId="00AADA19">
            <w:pPr>
              <w:pStyle w:val="3"/>
              <w:ind w:firstLine="480"/>
            </w:pPr>
            <w:r>
              <w:t>V</w:t>
            </w:r>
            <w:r>
              <w:rPr>
                <w:rFonts w:hint="eastAsia"/>
              </w:rPr>
              <w:t>:为汽车行驶速度（</w:t>
            </w:r>
            <w:r>
              <w:t>km/h</w:t>
            </w:r>
            <w:r>
              <w:rPr>
                <w:rFonts w:hint="eastAsia"/>
              </w:rPr>
              <w:t>）；</w:t>
            </w:r>
          </w:p>
          <w:p w14:paraId="357DA5C2">
            <w:pPr>
              <w:pStyle w:val="3"/>
              <w:ind w:firstLine="480"/>
            </w:pPr>
            <w:r>
              <w:t>M</w:t>
            </w:r>
            <w:r>
              <w:rPr>
                <w:rFonts w:hint="eastAsia"/>
              </w:rPr>
              <w:t>:为汽车载重量（</w:t>
            </w:r>
            <w:r>
              <w:t>t</w:t>
            </w:r>
            <w:r>
              <w:rPr>
                <w:rFonts w:hint="eastAsia"/>
              </w:rPr>
              <w:t>）；</w:t>
            </w:r>
          </w:p>
          <w:p w14:paraId="304CD18E">
            <w:pPr>
              <w:pStyle w:val="3"/>
              <w:ind w:firstLine="480"/>
            </w:pPr>
            <w:r>
              <w:t>P</w:t>
            </w:r>
            <w:r>
              <w:rPr>
                <w:rFonts w:hint="eastAsia"/>
              </w:rPr>
              <w:t>:为道路表面物料量（</w:t>
            </w:r>
            <w:r>
              <w:t>kg/m</w:t>
            </w:r>
            <w:r>
              <w:rPr>
                <w:vertAlign w:val="superscript"/>
              </w:rPr>
              <w:t>2</w:t>
            </w:r>
            <w:r>
              <w:rPr>
                <w:rFonts w:hint="eastAsia"/>
              </w:rPr>
              <w:t>）；</w:t>
            </w:r>
          </w:p>
          <w:p w14:paraId="365F3C22">
            <w:pPr>
              <w:pStyle w:val="3"/>
              <w:ind w:firstLine="480"/>
            </w:pPr>
            <w:r>
              <w:t>L</w:t>
            </w:r>
            <w:r>
              <w:rPr>
                <w:rFonts w:hint="eastAsia"/>
              </w:rPr>
              <w:t>:为道路长度（</w:t>
            </w:r>
            <w:r>
              <w:t>km</w:t>
            </w:r>
            <w:r>
              <w:rPr>
                <w:rFonts w:hint="eastAsia"/>
              </w:rPr>
              <w:t>），根据项目情况厂区内道路长度取</w:t>
            </w:r>
            <w:r>
              <w:t>0.15km</w:t>
            </w:r>
            <w:r>
              <w:rPr>
                <w:rFonts w:hint="eastAsia"/>
              </w:rPr>
              <w:t>。</w:t>
            </w:r>
          </w:p>
          <w:p w14:paraId="5EE1EC1C">
            <w:pPr>
              <w:pStyle w:val="48"/>
            </w:pPr>
            <w:r>
              <w:rPr>
                <w:rFonts w:hint="eastAsia"/>
              </w:rPr>
              <w:t xml:space="preserve">表4- </w:t>
            </w:r>
            <w:r>
              <w:fldChar w:fldCharType="begin"/>
            </w:r>
            <w:r>
              <w:instrText xml:space="preserve"> </w:instrText>
            </w:r>
            <w:r>
              <w:rPr>
                <w:rFonts w:hint="eastAsia"/>
              </w:rPr>
              <w:instrText xml:space="preserve">SEQ 表4- \* ARABIC</w:instrText>
            </w:r>
            <w:r>
              <w:instrText xml:space="preserve"> </w:instrText>
            </w:r>
            <w:r>
              <w:fldChar w:fldCharType="separate"/>
            </w:r>
            <w:r>
              <w:t>4</w:t>
            </w:r>
            <w:r>
              <w:fldChar w:fldCharType="end"/>
            </w:r>
            <w:r>
              <w:rPr>
                <w:rFonts w:hint="eastAsia"/>
              </w:rPr>
              <w:t>：汽车道路扬尘计算参数和结果</w:t>
            </w:r>
          </w:p>
          <w:tbl>
            <w:tblPr>
              <w:tblStyle w:val="4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322"/>
              <w:gridCol w:w="1322"/>
              <w:gridCol w:w="1322"/>
              <w:gridCol w:w="1322"/>
              <w:gridCol w:w="1322"/>
              <w:gridCol w:w="1323"/>
            </w:tblGrid>
            <w:tr w14:paraId="5E12E1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322" w:type="dxa"/>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5E441A45">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参数</w:t>
                  </w:r>
                </w:p>
              </w:tc>
              <w:tc>
                <w:tcPr>
                  <w:tcW w:w="1322"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75B0A753">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V</w:t>
                  </w:r>
                  <w:r>
                    <w:rPr>
                      <w:rFonts w:hint="eastAsia" w:cs="Times New Roman"/>
                      <w:b/>
                      <w:i w:val="0"/>
                      <w:lang w:eastAsia="zh-CN"/>
                      <w14:ligatures w14:val="standardContextual"/>
                    </w:rPr>
                    <w:t>(</w:t>
                  </w:r>
                  <w:r>
                    <w:rPr>
                      <w:rFonts w:hint="default" w:ascii="Times New Roman" w:hAnsi="Times New Roman" w:eastAsia="宋体" w:cs="Times New Roman"/>
                      <w:b/>
                      <w:i w:val="0"/>
                      <w:snapToGrid w:val="0"/>
                      <w:sz w:val="24"/>
                      <w14:ligatures w14:val="standardContextual"/>
                    </w:rPr>
                    <w:t>km/h</w:t>
                  </w:r>
                  <w:r>
                    <w:rPr>
                      <w:rFonts w:hint="eastAsia" w:cs="Times New Roman"/>
                      <w:b/>
                      <w:i w:val="0"/>
                      <w:snapToGrid w:val="0"/>
                      <w:sz w:val="24"/>
                      <w:lang w:eastAsia="zh-CN"/>
                      <w14:ligatures w14:val="standardContextual"/>
                    </w:rPr>
                    <w:t>)</w:t>
                  </w:r>
                </w:p>
              </w:tc>
              <w:tc>
                <w:tcPr>
                  <w:tcW w:w="1322"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15100853">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M</w:t>
                  </w:r>
                  <w:r>
                    <w:rPr>
                      <w:rFonts w:hint="eastAsia" w:cs="Times New Roman"/>
                      <w:b/>
                      <w:i w:val="0"/>
                      <w:lang w:eastAsia="zh-CN"/>
                      <w14:ligatures w14:val="standardContextual"/>
                    </w:rPr>
                    <w:t>(</w:t>
                  </w:r>
                  <w:r>
                    <w:rPr>
                      <w:rFonts w:hint="default" w:ascii="Times New Roman" w:hAnsi="Times New Roman" w:eastAsia="宋体" w:cs="Times New Roman"/>
                      <w:b/>
                      <w:i w:val="0"/>
                      <w:snapToGrid w:val="0"/>
                      <w:sz w:val="24"/>
                      <w14:ligatures w14:val="standardContextual"/>
                    </w:rPr>
                    <w:t>t</w:t>
                  </w:r>
                  <w:r>
                    <w:rPr>
                      <w:rFonts w:hint="eastAsia" w:cs="Times New Roman"/>
                      <w:b/>
                      <w:i w:val="0"/>
                      <w:snapToGrid w:val="0"/>
                      <w:sz w:val="24"/>
                      <w:lang w:eastAsia="zh-CN"/>
                      <w14:ligatures w14:val="standardContextual"/>
                    </w:rPr>
                    <w:t>)</w:t>
                  </w:r>
                </w:p>
              </w:tc>
              <w:tc>
                <w:tcPr>
                  <w:tcW w:w="1322"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231C24A8">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P</w:t>
                  </w:r>
                  <w:r>
                    <w:rPr>
                      <w:rFonts w:hint="eastAsia" w:cs="Times New Roman"/>
                      <w:b/>
                      <w:i w:val="0"/>
                      <w:lang w:eastAsia="zh-CN"/>
                      <w14:ligatures w14:val="standardContextual"/>
                    </w:rPr>
                    <w:t>(</w:t>
                  </w:r>
                  <w:r>
                    <w:rPr>
                      <w:rFonts w:hint="default" w:ascii="Times New Roman" w:hAnsi="Times New Roman" w:eastAsia="宋体" w:cs="Times New Roman"/>
                      <w:b/>
                      <w:i w:val="0"/>
                      <w14:ligatures w14:val="standardContextual"/>
                    </w:rPr>
                    <w:t>kg/m</w:t>
                  </w:r>
                  <w:r>
                    <w:rPr>
                      <w:rFonts w:hint="default" w:ascii="Times New Roman" w:hAnsi="Times New Roman" w:eastAsia="宋体" w:cs="Times New Roman"/>
                      <w:b/>
                      <w:i w:val="0"/>
                      <w:vertAlign w:val="superscript"/>
                      <w14:ligatures w14:val="standardContextual"/>
                    </w:rPr>
                    <w:t>2</w:t>
                  </w:r>
                  <w:r>
                    <w:rPr>
                      <w:rFonts w:hint="eastAsia" w:cs="Times New Roman"/>
                      <w:b/>
                      <w:i w:val="0"/>
                      <w:vertAlign w:val="superscript"/>
                      <w:lang w:eastAsia="zh-CN"/>
                      <w14:ligatures w14:val="standardContextual"/>
                    </w:rPr>
                    <w:t>)</w:t>
                  </w:r>
                </w:p>
              </w:tc>
              <w:tc>
                <w:tcPr>
                  <w:tcW w:w="1322"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09B705F8">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L</w:t>
                  </w:r>
                  <w:r>
                    <w:rPr>
                      <w:rFonts w:hint="eastAsia" w:cs="Times New Roman"/>
                      <w:b/>
                      <w:i w:val="0"/>
                      <w:lang w:eastAsia="zh-CN"/>
                      <w14:ligatures w14:val="standardContextual"/>
                    </w:rPr>
                    <w:t>(</w:t>
                  </w:r>
                  <w:r>
                    <w:rPr>
                      <w:rFonts w:hint="default" w:ascii="Times New Roman" w:hAnsi="Times New Roman" w:eastAsia="宋体" w:cs="Times New Roman"/>
                      <w:b/>
                      <w:i w:val="0"/>
                      <w14:ligatures w14:val="standardContextual"/>
                    </w:rPr>
                    <w:t>km</w:t>
                  </w:r>
                  <w:r>
                    <w:rPr>
                      <w:rFonts w:hint="eastAsia" w:cs="Times New Roman"/>
                      <w:b/>
                      <w:i w:val="0"/>
                      <w:lang w:eastAsia="zh-CN"/>
                      <w14:ligatures w14:val="standardContextual"/>
                    </w:rPr>
                    <w:t>)</w:t>
                  </w:r>
                </w:p>
              </w:tc>
              <w:tc>
                <w:tcPr>
                  <w:tcW w:w="1323" w:type="dxa"/>
                  <w:tcBorders>
                    <w:top w:val="single" w:color="auto" w:sz="12" w:space="0"/>
                    <w:bottom w:val="single" w:color="auto" w:sz="12" w:space="0"/>
                    <w:right w:val="nil"/>
                    <w:insideH w:val="single" w:sz="12" w:space="0"/>
                    <w:insideV w:val="single" w:sz="4" w:space="0"/>
                    <w:tl2br w:val="nil"/>
                    <w:tr2bl w:val="nil"/>
                  </w:tcBorders>
                  <w:vAlign w:val="center"/>
                </w:tcPr>
                <w:p w14:paraId="4D6CB2C4">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Q</w:t>
                  </w:r>
                  <w:r>
                    <w:rPr>
                      <w:rFonts w:hint="eastAsia" w:ascii="Times New Roman" w:hAnsi="Times New Roman" w:eastAsia="宋体" w:cs="Times New Roman"/>
                      <w:b/>
                      <w:i w:val="0"/>
                      <w:snapToGrid w:val="0"/>
                      <w:sz w:val="24"/>
                      <w14:ligatures w14:val="standardContextual"/>
                    </w:rPr>
                    <w:t>（</w:t>
                  </w:r>
                  <w:r>
                    <w:rPr>
                      <w:rFonts w:hint="default" w:ascii="Times New Roman" w:hAnsi="Times New Roman" w:eastAsia="宋体" w:cs="Times New Roman"/>
                      <w:b/>
                      <w:i w:val="0"/>
                      <w:snapToGrid w:val="0"/>
                      <w:sz w:val="24"/>
                      <w14:ligatures w14:val="standardContextual"/>
                    </w:rPr>
                    <w:t>kg/</w:t>
                  </w:r>
                  <w:r>
                    <w:rPr>
                      <w:rFonts w:hint="eastAsia" w:ascii="Times New Roman" w:hAnsi="Times New Roman" w:eastAsia="宋体" w:cs="Times New Roman"/>
                      <w:b/>
                      <w:i w:val="0"/>
                      <w:snapToGrid w:val="0"/>
                      <w:sz w:val="24"/>
                      <w14:ligatures w14:val="standardContextual"/>
                    </w:rPr>
                    <w:t>辆）</w:t>
                  </w:r>
                </w:p>
              </w:tc>
            </w:tr>
            <w:tr w14:paraId="05C6E2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322" w:type="dxa"/>
                  <w:vAlign w:val="center"/>
                </w:tcPr>
                <w:p w14:paraId="15609163">
                  <w:pPr>
                    <w:widowControl w:val="0"/>
                    <w:overflowPunct w:val="0"/>
                    <w:autoSpaceDE w:val="0"/>
                    <w:autoSpaceDN w:val="0"/>
                    <w:snapToGrid w:val="0"/>
                    <w:jc w:val="center"/>
                    <w:rPr>
                      <w14:ligatures w14:val="standardContextual"/>
                    </w:rPr>
                  </w:pPr>
                  <w:r>
                    <w:rPr>
                      <w:rFonts w:hint="eastAsia"/>
                      <w14:ligatures w14:val="standardContextual"/>
                    </w:rPr>
                    <w:t>空车</w:t>
                  </w:r>
                </w:p>
              </w:tc>
              <w:tc>
                <w:tcPr>
                  <w:tcW w:w="1322" w:type="dxa"/>
                  <w:vAlign w:val="center"/>
                </w:tcPr>
                <w:p w14:paraId="34B63FCF">
                  <w:pPr>
                    <w:widowControl w:val="0"/>
                    <w:overflowPunct w:val="0"/>
                    <w:autoSpaceDE w:val="0"/>
                    <w:autoSpaceDN w:val="0"/>
                    <w:snapToGrid w:val="0"/>
                    <w:jc w:val="center"/>
                    <w:rPr>
                      <w14:ligatures w14:val="standardContextual"/>
                    </w:rPr>
                  </w:pPr>
                  <w:r>
                    <w:rPr>
                      <w:rFonts w:hint="eastAsia"/>
                      <w14:ligatures w14:val="standardContextual"/>
                    </w:rPr>
                    <w:t>10</w:t>
                  </w:r>
                </w:p>
              </w:tc>
              <w:tc>
                <w:tcPr>
                  <w:tcW w:w="1322" w:type="dxa"/>
                  <w:vAlign w:val="center"/>
                </w:tcPr>
                <w:p w14:paraId="4EBAAE8E">
                  <w:pPr>
                    <w:widowControl w:val="0"/>
                    <w:overflowPunct w:val="0"/>
                    <w:autoSpaceDE w:val="0"/>
                    <w:autoSpaceDN w:val="0"/>
                    <w:snapToGrid w:val="0"/>
                    <w:jc w:val="center"/>
                    <w:rPr>
                      <w14:ligatures w14:val="standardContextual"/>
                    </w:rPr>
                  </w:pPr>
                  <w:r>
                    <w:rPr>
                      <w:rFonts w:hint="eastAsia"/>
                      <w14:ligatures w14:val="standardContextual"/>
                    </w:rPr>
                    <w:t>10</w:t>
                  </w:r>
                </w:p>
              </w:tc>
              <w:tc>
                <w:tcPr>
                  <w:tcW w:w="1322" w:type="dxa"/>
                  <w:vAlign w:val="center"/>
                </w:tcPr>
                <w:p w14:paraId="6AC76CED">
                  <w:pPr>
                    <w:widowControl w:val="0"/>
                    <w:overflowPunct w:val="0"/>
                    <w:autoSpaceDE w:val="0"/>
                    <w:autoSpaceDN w:val="0"/>
                    <w:snapToGrid w:val="0"/>
                    <w:jc w:val="center"/>
                    <w:rPr>
                      <w14:ligatures w14:val="standardContextual"/>
                    </w:rPr>
                  </w:pPr>
                  <w:r>
                    <w:rPr>
                      <w:rFonts w:hint="eastAsia"/>
                      <w14:ligatures w14:val="standardContextual"/>
                    </w:rPr>
                    <w:t>0.1</w:t>
                  </w:r>
                </w:p>
              </w:tc>
              <w:tc>
                <w:tcPr>
                  <w:tcW w:w="1322" w:type="dxa"/>
                  <w:vAlign w:val="center"/>
                </w:tcPr>
                <w:p w14:paraId="7FAABD26">
                  <w:pPr>
                    <w:widowControl w:val="0"/>
                    <w:overflowPunct w:val="0"/>
                    <w:autoSpaceDE w:val="0"/>
                    <w:autoSpaceDN w:val="0"/>
                    <w:snapToGrid w:val="0"/>
                    <w:jc w:val="center"/>
                    <w:rPr>
                      <w14:ligatures w14:val="standardContextual"/>
                    </w:rPr>
                  </w:pPr>
                  <w:r>
                    <w:rPr>
                      <w:rFonts w:hint="eastAsia"/>
                      <w14:ligatures w14:val="standardContextual"/>
                    </w:rPr>
                    <w:t>0.15</w:t>
                  </w:r>
                </w:p>
              </w:tc>
              <w:tc>
                <w:tcPr>
                  <w:tcW w:w="1323" w:type="dxa"/>
                  <w:vAlign w:val="center"/>
                </w:tcPr>
                <w:p w14:paraId="54276126">
                  <w:pPr>
                    <w:widowControl w:val="0"/>
                    <w:overflowPunct w:val="0"/>
                    <w:autoSpaceDE w:val="0"/>
                    <w:autoSpaceDN w:val="0"/>
                    <w:snapToGrid w:val="0"/>
                    <w:jc w:val="center"/>
                    <w:rPr>
                      <w14:ligatures w14:val="standardContextual"/>
                    </w:rPr>
                  </w:pPr>
                  <w:r>
                    <w:rPr>
                      <w:rFonts w:hint="eastAsia"/>
                      <w14:ligatures w14:val="standardContextual"/>
                    </w:rPr>
                    <w:t>0.007</w:t>
                  </w:r>
                </w:p>
              </w:tc>
            </w:tr>
            <w:tr w14:paraId="0A17F9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322" w:type="dxa"/>
                  <w:vAlign w:val="center"/>
                </w:tcPr>
                <w:p w14:paraId="39FA465A">
                  <w:pPr>
                    <w:widowControl w:val="0"/>
                    <w:overflowPunct w:val="0"/>
                    <w:autoSpaceDE w:val="0"/>
                    <w:autoSpaceDN w:val="0"/>
                    <w:snapToGrid w:val="0"/>
                    <w:jc w:val="center"/>
                    <w:rPr>
                      <w14:ligatures w14:val="standardContextual"/>
                    </w:rPr>
                  </w:pPr>
                  <w:r>
                    <w:rPr>
                      <w:rFonts w:hint="eastAsia"/>
                      <w14:ligatures w14:val="standardContextual"/>
                    </w:rPr>
                    <w:t>重车</w:t>
                  </w:r>
                </w:p>
              </w:tc>
              <w:tc>
                <w:tcPr>
                  <w:tcW w:w="1322" w:type="dxa"/>
                  <w:vAlign w:val="center"/>
                </w:tcPr>
                <w:p w14:paraId="5169AD28">
                  <w:pPr>
                    <w:widowControl w:val="0"/>
                    <w:overflowPunct w:val="0"/>
                    <w:autoSpaceDE w:val="0"/>
                    <w:autoSpaceDN w:val="0"/>
                    <w:snapToGrid w:val="0"/>
                    <w:jc w:val="center"/>
                    <w:rPr>
                      <w14:ligatures w14:val="standardContextual"/>
                    </w:rPr>
                  </w:pPr>
                  <w:r>
                    <w:rPr>
                      <w:rFonts w:hint="eastAsia"/>
                      <w14:ligatures w14:val="standardContextual"/>
                    </w:rPr>
                    <w:t>10</w:t>
                  </w:r>
                </w:p>
              </w:tc>
              <w:tc>
                <w:tcPr>
                  <w:tcW w:w="1322" w:type="dxa"/>
                  <w:vAlign w:val="center"/>
                </w:tcPr>
                <w:p w14:paraId="5E24B5CA">
                  <w:pPr>
                    <w:widowControl w:val="0"/>
                    <w:overflowPunct w:val="0"/>
                    <w:autoSpaceDE w:val="0"/>
                    <w:autoSpaceDN w:val="0"/>
                    <w:snapToGrid w:val="0"/>
                    <w:jc w:val="center"/>
                    <w:rPr>
                      <w14:ligatures w14:val="standardContextual"/>
                    </w:rPr>
                  </w:pPr>
                  <w:r>
                    <w:rPr>
                      <w:rFonts w:hint="eastAsia"/>
                      <w14:ligatures w14:val="standardContextual"/>
                    </w:rPr>
                    <w:t>30</w:t>
                  </w:r>
                </w:p>
              </w:tc>
              <w:tc>
                <w:tcPr>
                  <w:tcW w:w="1322" w:type="dxa"/>
                  <w:vAlign w:val="center"/>
                </w:tcPr>
                <w:p w14:paraId="415EF38E">
                  <w:pPr>
                    <w:widowControl w:val="0"/>
                    <w:overflowPunct w:val="0"/>
                    <w:autoSpaceDE w:val="0"/>
                    <w:autoSpaceDN w:val="0"/>
                    <w:snapToGrid w:val="0"/>
                    <w:jc w:val="center"/>
                    <w:rPr>
                      <w14:ligatures w14:val="standardContextual"/>
                    </w:rPr>
                  </w:pPr>
                  <w:r>
                    <w:rPr>
                      <w:rFonts w:hint="eastAsia"/>
                      <w14:ligatures w14:val="standardContextual"/>
                    </w:rPr>
                    <w:t>0.1</w:t>
                  </w:r>
                </w:p>
              </w:tc>
              <w:tc>
                <w:tcPr>
                  <w:tcW w:w="1322" w:type="dxa"/>
                  <w:vAlign w:val="center"/>
                </w:tcPr>
                <w:p w14:paraId="72B25B03">
                  <w:pPr>
                    <w:widowControl w:val="0"/>
                    <w:overflowPunct w:val="0"/>
                    <w:autoSpaceDE w:val="0"/>
                    <w:autoSpaceDN w:val="0"/>
                    <w:snapToGrid w:val="0"/>
                    <w:jc w:val="center"/>
                    <w:rPr>
                      <w14:ligatures w14:val="standardContextual"/>
                    </w:rPr>
                  </w:pPr>
                  <w:r>
                    <w:rPr>
                      <w:rFonts w:hint="eastAsia"/>
                      <w14:ligatures w14:val="standardContextual"/>
                    </w:rPr>
                    <w:t>0.15</w:t>
                  </w:r>
                </w:p>
              </w:tc>
              <w:tc>
                <w:tcPr>
                  <w:tcW w:w="1323" w:type="dxa"/>
                  <w:vAlign w:val="center"/>
                </w:tcPr>
                <w:p w14:paraId="3F5A666B">
                  <w:pPr>
                    <w:widowControl w:val="0"/>
                    <w:overflowPunct w:val="0"/>
                    <w:autoSpaceDE w:val="0"/>
                    <w:autoSpaceDN w:val="0"/>
                    <w:snapToGrid w:val="0"/>
                    <w:jc w:val="center"/>
                    <w:rPr>
                      <w14:ligatures w14:val="standardContextual"/>
                    </w:rPr>
                  </w:pPr>
                  <w:r>
                    <w:rPr>
                      <w14:ligatures w14:val="standardContextual"/>
                    </w:rPr>
                    <w:t>0.019</w:t>
                  </w:r>
                </w:p>
              </w:tc>
            </w:tr>
          </w:tbl>
          <w:p w14:paraId="29E21E32">
            <w:pPr>
              <w:pStyle w:val="3"/>
              <w:ind w:firstLine="480"/>
            </w:pPr>
            <w:r>
              <w:rPr>
                <w:rFonts w:hint="eastAsia"/>
              </w:rPr>
              <w:t>根据产品产量，共发空、重载各约2500次/a，则车辆运输扬尘产生量为0.065t，0.027kg/h。项目厂区道路进行硬化、定期洒水、运输车辆加盖毡布，</w:t>
            </w:r>
            <w:r>
              <w:rPr>
                <w:rFonts w:hint="eastAsia"/>
                <w:color w:val="EE0000"/>
                <w:u w:val="single"/>
              </w:rPr>
              <w:t>出入车辆冲洗</w:t>
            </w:r>
            <w:r>
              <w:rPr>
                <w:rFonts w:hint="eastAsia"/>
                <w:color w:val="EE0000"/>
                <w:u w:val="single"/>
                <w:lang w:eastAsia="zh-CN"/>
              </w:rPr>
              <w:t>，</w:t>
            </w:r>
            <w:r>
              <w:rPr>
                <w:rFonts w:hint="eastAsia"/>
              </w:rPr>
              <w:t>能够有效抑制扬尘的产生，抑尘效率可达90%以上，工作时间以2400h/a计。采用以上措施后，项目车辆运输扬尘排放量为0.007t/a，排放速率为0.003kg/h。</w:t>
            </w:r>
          </w:p>
          <w:p w14:paraId="2766C864">
            <w:pPr>
              <w:pStyle w:val="3"/>
              <w:ind w:firstLine="480"/>
              <w:rPr>
                <w:u w:val="single"/>
              </w:rPr>
            </w:pPr>
            <w:r>
              <w:rPr>
                <w:rFonts w:hint="eastAsia"/>
                <w:color w:val="EE0000"/>
                <w:u w:val="single"/>
              </w:rPr>
              <w:t>本项目厂外承担建筑垃圾运输的车辆，严格遵守《</w:t>
            </w:r>
            <w:r>
              <w:rPr>
                <w:rFonts w:hint="eastAsia"/>
                <w:color w:val="EE0000"/>
                <w:u w:val="single"/>
                <w:lang w:eastAsia="zh-CN"/>
              </w:rPr>
              <w:t>中华人民共和国道路交通安全法</w:t>
            </w:r>
            <w:r>
              <w:rPr>
                <w:rFonts w:hint="eastAsia"/>
                <w:color w:val="EE0000"/>
                <w:u w:val="single"/>
              </w:rPr>
              <w:t>》及相关的法律法规，接受主管部门的监督管理，按照规定时间、路线行驶，采用封闭车辆运输，不得沿途抛散、遗漏污染市容。运输车辆装载量按配置的车辆装载定额计，车辆装载率取90%，根据城区大小、设施位置、运输时间、运输距离等因素综合考虑，运输频率取2~3车次/工日。采取以上措施之后，厂外交通运输扬尘不会对区域大气环境质量造成明显影响。</w:t>
            </w:r>
          </w:p>
          <w:p w14:paraId="4EA15BA6">
            <w:pPr>
              <w:pStyle w:val="48"/>
            </w:pPr>
            <w:r>
              <w:rPr>
                <w:rFonts w:hint="eastAsia"/>
              </w:rPr>
              <w:t xml:space="preserve">表4- </w:t>
            </w:r>
            <w:r>
              <w:fldChar w:fldCharType="begin"/>
            </w:r>
            <w:r>
              <w:instrText xml:space="preserve"> </w:instrText>
            </w:r>
            <w:r>
              <w:rPr>
                <w:rFonts w:hint="eastAsia"/>
              </w:rPr>
              <w:instrText xml:space="preserve">SEQ 表4- \* ARABIC</w:instrText>
            </w:r>
            <w:r>
              <w:instrText xml:space="preserve"> </w:instrText>
            </w:r>
            <w:r>
              <w:fldChar w:fldCharType="separate"/>
            </w:r>
            <w:r>
              <w:t>5</w:t>
            </w:r>
            <w:r>
              <w:fldChar w:fldCharType="end"/>
            </w:r>
            <w:r>
              <w:rPr>
                <w:rFonts w:hint="eastAsia"/>
              </w:rPr>
              <w:t>：</w:t>
            </w:r>
            <w:bookmarkEnd w:id="66"/>
            <w:r>
              <w:rPr>
                <w:rFonts w:hint="eastAsia"/>
              </w:rPr>
              <w:t>大气污染物年排放量核算表</w:t>
            </w:r>
            <w:bookmarkEnd w:id="67"/>
            <w:bookmarkEnd w:id="68"/>
          </w:p>
          <w:tbl>
            <w:tblPr>
              <w:tblStyle w:val="49"/>
              <w:tblW w:w="79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622"/>
              <w:gridCol w:w="992"/>
              <w:gridCol w:w="4112"/>
              <w:gridCol w:w="992"/>
              <w:gridCol w:w="1220"/>
            </w:tblGrid>
            <w:tr w14:paraId="505F9D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92" w:type="pc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19DFCDCC">
                  <w:pPr>
                    <w:keepLines w:val="0"/>
                    <w:widowControl w:val="0"/>
                    <w:suppressLineNumbers w:val="0"/>
                    <w:suppressAutoHyphens w:val="0"/>
                    <w:wordWrap/>
                    <w:overflowPunct w:val="0"/>
                    <w:topLinePunct w:val="0"/>
                    <w:autoSpaceDE w:val="0"/>
                    <w:autoSpaceDN w:val="0"/>
                    <w:adjustRightInd w:val="0"/>
                    <w:snapToGrid w:val="0"/>
                    <w:spacing w:before="24" w:after="24"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default" w:ascii="Times New Roman" w:hAnsi="Times New Roman" w:eastAsia="宋体" w:cs="Times New Roman"/>
                      <w:b/>
                      <w:i w:val="0"/>
                      <w14:ligatures w14:val="standardContextual"/>
                    </w:rPr>
                    <w:t>序号</w:t>
                  </w:r>
                </w:p>
              </w:tc>
              <w:tc>
                <w:tcPr>
                  <w:tcW w:w="625"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39E6C255">
                  <w:pPr>
                    <w:keepLines w:val="0"/>
                    <w:widowControl w:val="0"/>
                    <w:suppressLineNumbers w:val="0"/>
                    <w:suppressAutoHyphens w:val="0"/>
                    <w:wordWrap/>
                    <w:overflowPunct w:val="0"/>
                    <w:topLinePunct w:val="0"/>
                    <w:autoSpaceDE w:val="0"/>
                    <w:autoSpaceDN w:val="0"/>
                    <w:adjustRightInd w:val="0"/>
                    <w:snapToGrid w:val="0"/>
                    <w:spacing w:before="24" w:after="24"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default" w:ascii="Times New Roman" w:hAnsi="Times New Roman" w:eastAsia="宋体" w:cs="Times New Roman"/>
                      <w:b/>
                      <w:i w:val="0"/>
                      <w14:ligatures w14:val="standardContextual"/>
                    </w:rPr>
                    <w:t>污染物</w:t>
                  </w:r>
                </w:p>
              </w:tc>
              <w:tc>
                <w:tcPr>
                  <w:tcW w:w="2590"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71E7A8CF">
                  <w:pPr>
                    <w:keepLines w:val="0"/>
                    <w:widowControl w:val="0"/>
                    <w:suppressLineNumbers w:val="0"/>
                    <w:suppressAutoHyphens w:val="0"/>
                    <w:wordWrap/>
                    <w:overflowPunct w:val="0"/>
                    <w:topLinePunct w:val="0"/>
                    <w:autoSpaceDE w:val="0"/>
                    <w:autoSpaceDN w:val="0"/>
                    <w:adjustRightInd w:val="0"/>
                    <w:snapToGrid w:val="0"/>
                    <w:spacing w:before="24" w:after="24" w:line="240" w:lineRule="auto"/>
                    <w:ind w:left="0" w:leftChars="0" w:right="0" w:rightChars="0" w:firstLine="0" w:firstLineChars="0"/>
                    <w:jc w:val="center"/>
                    <w:outlineLvl w:val="9"/>
                    <w:rPr>
                      <w:rFonts w:hint="default" w:ascii="Times New Roman" w:hAnsi="Times New Roman" w:eastAsia="宋体" w:cs="Times New Roman"/>
                      <w:b w:val="0"/>
                      <w:i w:val="0"/>
                      <w14:ligatures w14:val="standardContextual"/>
                    </w:rPr>
                  </w:pPr>
                  <w:r>
                    <w:rPr>
                      <w:rFonts w:hint="eastAsia" w:ascii="Times New Roman" w:hAnsi="Times New Roman" w:eastAsia="宋体" w:cs="Times New Roman"/>
                      <w:b/>
                      <w:i w:val="0"/>
                      <w14:ligatures w14:val="standardContextual"/>
                    </w:rPr>
                    <w:t>排放工序</w:t>
                  </w:r>
                </w:p>
              </w:tc>
              <w:tc>
                <w:tcPr>
                  <w:tcW w:w="625"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4663A07D">
                  <w:pPr>
                    <w:keepLines w:val="0"/>
                    <w:widowControl w:val="0"/>
                    <w:suppressLineNumbers w:val="0"/>
                    <w:suppressAutoHyphens w:val="0"/>
                    <w:wordWrap/>
                    <w:overflowPunct w:val="0"/>
                    <w:topLinePunct w:val="0"/>
                    <w:autoSpaceDE w:val="0"/>
                    <w:autoSpaceDN w:val="0"/>
                    <w:adjustRightInd w:val="0"/>
                    <w:snapToGrid w:val="0"/>
                    <w:spacing w:before="24" w:after="24"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default" w:ascii="Times New Roman" w:hAnsi="Times New Roman" w:eastAsia="宋体" w:cs="Times New Roman"/>
                      <w:b/>
                      <w:i w:val="0"/>
                      <w14:ligatures w14:val="standardContextual"/>
                    </w:rPr>
                    <w:t>年排放量</w:t>
                  </w:r>
                  <w:r>
                    <w:rPr>
                      <w:rFonts w:hint="eastAsia" w:ascii="Times New Roman" w:hAnsi="Times New Roman" w:eastAsia="宋体" w:cs="Times New Roman"/>
                      <w:b/>
                      <w:i w:val="0"/>
                      <w14:ligatures w14:val="standardContextual"/>
                    </w:rPr>
                    <w:t>（t/a）</w:t>
                  </w:r>
                </w:p>
              </w:tc>
              <w:tc>
                <w:tcPr>
                  <w:tcW w:w="768" w:type="pct"/>
                  <w:tcBorders>
                    <w:top w:val="single" w:color="auto" w:sz="12" w:space="0"/>
                    <w:bottom w:val="single" w:color="auto" w:sz="12" w:space="0"/>
                    <w:right w:val="nil"/>
                    <w:insideH w:val="single" w:sz="12" w:space="0"/>
                    <w:insideV w:val="single" w:sz="4" w:space="0"/>
                    <w:tl2br w:val="nil"/>
                    <w:tr2bl w:val="nil"/>
                  </w:tcBorders>
                  <w:vAlign w:val="center"/>
                </w:tcPr>
                <w:p w14:paraId="64BA0BB2">
                  <w:pPr>
                    <w:keepLines w:val="0"/>
                    <w:widowControl w:val="0"/>
                    <w:suppressLineNumbers w:val="0"/>
                    <w:suppressAutoHyphens w:val="0"/>
                    <w:wordWrap/>
                    <w:overflowPunct w:val="0"/>
                    <w:topLinePunct w:val="0"/>
                    <w:autoSpaceDE w:val="0"/>
                    <w:autoSpaceDN w:val="0"/>
                    <w:adjustRightInd w:val="0"/>
                    <w:snapToGrid w:val="0"/>
                    <w:spacing w:before="24" w:after="24"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合计</w:t>
                  </w:r>
                  <w:r>
                    <w:rPr>
                      <w:rFonts w:hint="default" w:ascii="Times New Roman" w:hAnsi="Times New Roman" w:eastAsia="宋体" w:cs="Times New Roman"/>
                      <w:b/>
                      <w:i w:val="0"/>
                      <w14:ligatures w14:val="standardContextual"/>
                    </w:rPr>
                    <w:t>排放量</w:t>
                  </w:r>
                  <w:r>
                    <w:rPr>
                      <w:rFonts w:hint="eastAsia" w:ascii="Times New Roman" w:hAnsi="Times New Roman" w:eastAsia="宋体" w:cs="Times New Roman"/>
                      <w:b/>
                      <w:i w:val="0"/>
                      <w14:ligatures w14:val="standardContextual"/>
                    </w:rPr>
                    <w:t>（t/a）</w:t>
                  </w:r>
                </w:p>
              </w:tc>
            </w:tr>
            <w:tr w14:paraId="6433EC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92" w:type="pct"/>
                  <w:vAlign w:val="center"/>
                </w:tcPr>
                <w:p w14:paraId="7F1DCEAA">
                  <w:pPr>
                    <w:pStyle w:val="65"/>
                    <w:widowControl w:val="0"/>
                    <w:numPr>
                      <w:ilvl w:val="0"/>
                      <w:numId w:val="3"/>
                    </w:numPr>
                    <w:overflowPunct w:val="0"/>
                    <w:autoSpaceDE w:val="0"/>
                    <w:autoSpaceDN w:val="0"/>
                    <w:snapToGrid w:val="0"/>
                    <w:spacing w:before="24" w:after="24"/>
                    <w:ind w:firstLineChars="0"/>
                    <w:jc w:val="center"/>
                    <w:rPr>
                      <w:color w:val="auto"/>
                      <w14:ligatures w14:val="standardContextual"/>
                    </w:rPr>
                  </w:pPr>
                </w:p>
              </w:tc>
              <w:tc>
                <w:tcPr>
                  <w:tcW w:w="625" w:type="pct"/>
                  <w:vAlign w:val="center"/>
                </w:tcPr>
                <w:p w14:paraId="358E519C">
                  <w:pPr>
                    <w:widowControl w:val="0"/>
                    <w:overflowPunct w:val="0"/>
                    <w:autoSpaceDE w:val="0"/>
                    <w:autoSpaceDN w:val="0"/>
                    <w:snapToGrid w:val="0"/>
                    <w:spacing w:before="24" w:after="24"/>
                    <w:jc w:val="center"/>
                    <w:rPr>
                      <w:color w:val="auto"/>
                      <w14:ligatures w14:val="standardContextual"/>
                    </w:rPr>
                  </w:pPr>
                  <w:r>
                    <w:rPr>
                      <w:color w:val="auto"/>
                      <w14:ligatures w14:val="standardContextual"/>
                    </w:rPr>
                    <w:t>颗粒物</w:t>
                  </w:r>
                </w:p>
              </w:tc>
              <w:tc>
                <w:tcPr>
                  <w:tcW w:w="2590" w:type="pct"/>
                  <w:vAlign w:val="center"/>
                </w:tcPr>
                <w:p w14:paraId="66304FC5">
                  <w:pPr>
                    <w:widowControl w:val="0"/>
                    <w:overflowPunct w:val="0"/>
                    <w:autoSpaceDE w:val="0"/>
                    <w:autoSpaceDN w:val="0"/>
                    <w:snapToGrid w:val="0"/>
                    <w:jc w:val="center"/>
                    <w:rPr>
                      <w:color w:val="auto"/>
                      <w14:ligatures w14:val="standardContextual"/>
                    </w:rPr>
                  </w:pPr>
                  <w:r>
                    <w:rPr>
                      <w:rFonts w:hint="eastAsia"/>
                      <w:color w:val="auto"/>
                      <w14:ligatures w14:val="standardContextual"/>
                    </w:rPr>
                    <w:t>破碎、筛分、磁选、风选粉尘DA001</w:t>
                  </w:r>
                </w:p>
              </w:tc>
              <w:tc>
                <w:tcPr>
                  <w:tcW w:w="625" w:type="pct"/>
                  <w:vAlign w:val="top"/>
                </w:tcPr>
                <w:p w14:paraId="548806A2">
                  <w:pPr>
                    <w:widowControl w:val="0"/>
                    <w:overflowPunct w:val="0"/>
                    <w:autoSpaceDE w:val="0"/>
                    <w:autoSpaceDN w:val="0"/>
                    <w:snapToGrid w:val="0"/>
                    <w:spacing w:before="24" w:after="24"/>
                    <w:jc w:val="center"/>
                    <w:rPr>
                      <w:color w:val="auto"/>
                      <w14:ligatures w14:val="standardContextual"/>
                    </w:rPr>
                  </w:pPr>
                  <w:r>
                    <w:rPr>
                      <w:color w:val="auto"/>
                      <w14:ligatures w14:val="standardContextual"/>
                    </w:rPr>
                    <w:t>1.077</w:t>
                  </w:r>
                </w:p>
              </w:tc>
              <w:tc>
                <w:tcPr>
                  <w:tcW w:w="768" w:type="pct"/>
                  <w:vMerge w:val="restart"/>
                  <w:vAlign w:val="center"/>
                </w:tcPr>
                <w:p w14:paraId="2FDD9F45">
                  <w:pPr>
                    <w:widowControl w:val="0"/>
                    <w:overflowPunct w:val="0"/>
                    <w:autoSpaceDE w:val="0"/>
                    <w:autoSpaceDN w:val="0"/>
                    <w:snapToGrid w:val="0"/>
                    <w:spacing w:before="24" w:after="24"/>
                    <w:jc w:val="center"/>
                    <w:rPr>
                      <w:color w:val="auto"/>
                      <w14:ligatures w14:val="standardContextual"/>
                    </w:rPr>
                  </w:pPr>
                  <w:r>
                    <w:rPr>
                      <w:color w:val="auto"/>
                      <w14:ligatures w14:val="standardContextual"/>
                    </w:rPr>
                    <w:t>13.</w:t>
                  </w:r>
                  <w:r>
                    <w:rPr>
                      <w:rFonts w:hint="eastAsia"/>
                      <w:color w:val="auto"/>
                      <w14:ligatures w14:val="standardContextual"/>
                    </w:rPr>
                    <w:t xml:space="preserve">822 </w:t>
                  </w:r>
                </w:p>
              </w:tc>
            </w:tr>
            <w:tr w14:paraId="76AD7D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92" w:type="pct"/>
                  <w:vAlign w:val="center"/>
                </w:tcPr>
                <w:p w14:paraId="370449C2">
                  <w:pPr>
                    <w:pStyle w:val="65"/>
                    <w:widowControl w:val="0"/>
                    <w:numPr>
                      <w:ilvl w:val="0"/>
                      <w:numId w:val="3"/>
                    </w:numPr>
                    <w:overflowPunct w:val="0"/>
                    <w:autoSpaceDE w:val="0"/>
                    <w:autoSpaceDN w:val="0"/>
                    <w:snapToGrid w:val="0"/>
                    <w:spacing w:before="24" w:after="24"/>
                    <w:ind w:firstLineChars="0"/>
                    <w:jc w:val="center"/>
                    <w:rPr>
                      <w:color w:val="auto"/>
                      <w14:ligatures w14:val="standardContextual"/>
                    </w:rPr>
                  </w:pPr>
                </w:p>
              </w:tc>
              <w:tc>
                <w:tcPr>
                  <w:tcW w:w="625" w:type="pct"/>
                  <w:vAlign w:val="top"/>
                </w:tcPr>
                <w:p w14:paraId="3A8E62DB">
                  <w:pPr>
                    <w:widowControl w:val="0"/>
                    <w:overflowPunct w:val="0"/>
                    <w:autoSpaceDE w:val="0"/>
                    <w:autoSpaceDN w:val="0"/>
                    <w:snapToGrid w:val="0"/>
                    <w:spacing w:before="24" w:after="24"/>
                    <w:jc w:val="center"/>
                    <w:rPr>
                      <w:color w:val="auto"/>
                      <w14:ligatures w14:val="standardContextual"/>
                    </w:rPr>
                  </w:pPr>
                  <w:r>
                    <w:rPr>
                      <w:color w:val="auto"/>
                      <w14:ligatures w14:val="standardContextual"/>
                    </w:rPr>
                    <w:t>颗粒物</w:t>
                  </w:r>
                </w:p>
              </w:tc>
              <w:tc>
                <w:tcPr>
                  <w:tcW w:w="2590" w:type="pct"/>
                  <w:vAlign w:val="top"/>
                </w:tcPr>
                <w:p w14:paraId="7304EFAB">
                  <w:pPr>
                    <w:widowControl w:val="0"/>
                    <w:overflowPunct w:val="0"/>
                    <w:autoSpaceDE w:val="0"/>
                    <w:autoSpaceDN w:val="0"/>
                    <w:snapToGrid w:val="0"/>
                    <w:jc w:val="center"/>
                    <w:rPr>
                      <w:color w:val="auto"/>
                      <w14:ligatures w14:val="standardContextual"/>
                    </w:rPr>
                  </w:pPr>
                  <w:r>
                    <w:rPr>
                      <w:rFonts w:hint="eastAsia"/>
                      <w:color w:val="auto"/>
                      <w14:ligatures w14:val="standardContextual"/>
                    </w:rPr>
                    <w:t>破碎、筛分、磁选、风选粉尘（无组织）</w:t>
                  </w:r>
                </w:p>
              </w:tc>
              <w:tc>
                <w:tcPr>
                  <w:tcW w:w="625" w:type="pct"/>
                  <w:vAlign w:val="top"/>
                </w:tcPr>
                <w:p w14:paraId="3EAD38D6">
                  <w:pPr>
                    <w:widowControl w:val="0"/>
                    <w:overflowPunct w:val="0"/>
                    <w:autoSpaceDE w:val="0"/>
                    <w:autoSpaceDN w:val="0"/>
                    <w:snapToGrid w:val="0"/>
                    <w:spacing w:before="24" w:after="24"/>
                    <w:jc w:val="center"/>
                    <w:rPr>
                      <w:color w:val="auto"/>
                      <w14:ligatures w14:val="standardContextual"/>
                    </w:rPr>
                  </w:pPr>
                  <w:r>
                    <w:rPr>
                      <w:color w:val="auto"/>
                      <w14:ligatures w14:val="standardContextual"/>
                    </w:rPr>
                    <w:t>2.693</w:t>
                  </w:r>
                </w:p>
              </w:tc>
              <w:tc>
                <w:tcPr>
                  <w:tcW w:w="768" w:type="pct"/>
                  <w:vMerge w:val="continue"/>
                  <w:vAlign w:val="center"/>
                </w:tcPr>
                <w:p w14:paraId="03733B10">
                  <w:pPr>
                    <w:widowControl w:val="0"/>
                    <w:overflowPunct w:val="0"/>
                    <w:autoSpaceDE w:val="0"/>
                    <w:autoSpaceDN w:val="0"/>
                    <w:snapToGrid w:val="0"/>
                    <w:spacing w:before="24" w:after="24"/>
                    <w:jc w:val="center"/>
                    <w:rPr>
                      <w:color w:val="auto"/>
                      <w14:ligatures w14:val="standardContextual"/>
                    </w:rPr>
                  </w:pPr>
                </w:p>
              </w:tc>
            </w:tr>
            <w:tr w14:paraId="2E8755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92" w:type="pct"/>
                  <w:vAlign w:val="center"/>
                </w:tcPr>
                <w:p w14:paraId="78B7430C">
                  <w:pPr>
                    <w:pStyle w:val="65"/>
                    <w:widowControl w:val="0"/>
                    <w:numPr>
                      <w:ilvl w:val="0"/>
                      <w:numId w:val="3"/>
                    </w:numPr>
                    <w:overflowPunct w:val="0"/>
                    <w:autoSpaceDE w:val="0"/>
                    <w:autoSpaceDN w:val="0"/>
                    <w:snapToGrid w:val="0"/>
                    <w:spacing w:before="24" w:after="24"/>
                    <w:ind w:firstLineChars="0"/>
                    <w:jc w:val="center"/>
                    <w:rPr>
                      <w:color w:val="auto"/>
                      <w14:ligatures w14:val="standardContextual"/>
                    </w:rPr>
                  </w:pPr>
                </w:p>
              </w:tc>
              <w:tc>
                <w:tcPr>
                  <w:tcW w:w="625" w:type="pct"/>
                  <w:vAlign w:val="top"/>
                </w:tcPr>
                <w:p w14:paraId="29940AB0">
                  <w:pPr>
                    <w:widowControl w:val="0"/>
                    <w:overflowPunct w:val="0"/>
                    <w:autoSpaceDE w:val="0"/>
                    <w:autoSpaceDN w:val="0"/>
                    <w:snapToGrid w:val="0"/>
                    <w:spacing w:before="24" w:after="24"/>
                    <w:jc w:val="center"/>
                    <w:rPr>
                      <w:color w:val="auto"/>
                      <w14:ligatures w14:val="standardContextual"/>
                    </w:rPr>
                  </w:pPr>
                  <w:r>
                    <w:rPr>
                      <w:color w:val="auto"/>
                      <w14:ligatures w14:val="standardContextual"/>
                    </w:rPr>
                    <w:t>颗粒物</w:t>
                  </w:r>
                </w:p>
              </w:tc>
              <w:tc>
                <w:tcPr>
                  <w:tcW w:w="2590" w:type="pct"/>
                  <w:vAlign w:val="top"/>
                </w:tcPr>
                <w:p w14:paraId="4970736A">
                  <w:pPr>
                    <w:widowControl w:val="0"/>
                    <w:overflowPunct w:val="0"/>
                    <w:autoSpaceDE w:val="0"/>
                    <w:autoSpaceDN w:val="0"/>
                    <w:snapToGrid w:val="0"/>
                    <w:spacing w:before="24" w:after="24"/>
                    <w:jc w:val="center"/>
                    <w:rPr>
                      <w:color w:val="auto"/>
                      <w14:ligatures w14:val="standardContextual"/>
                    </w:rPr>
                  </w:pPr>
                  <w:r>
                    <w:rPr>
                      <w:rFonts w:hint="eastAsia"/>
                      <w:color w:val="auto"/>
                      <w14:ligatures w14:val="standardContextual"/>
                    </w:rPr>
                    <w:t>卸料、贮存、上料粉尘</w:t>
                  </w:r>
                </w:p>
              </w:tc>
              <w:tc>
                <w:tcPr>
                  <w:tcW w:w="625" w:type="pct"/>
                  <w:vAlign w:val="top"/>
                </w:tcPr>
                <w:p w14:paraId="05C0C77E">
                  <w:pPr>
                    <w:widowControl w:val="0"/>
                    <w:overflowPunct w:val="0"/>
                    <w:autoSpaceDE w:val="0"/>
                    <w:autoSpaceDN w:val="0"/>
                    <w:snapToGrid w:val="0"/>
                    <w:spacing w:before="24" w:after="24"/>
                    <w:jc w:val="center"/>
                    <w:rPr>
                      <w:color w:val="auto"/>
                      <w14:ligatures w14:val="standardContextual"/>
                    </w:rPr>
                  </w:pPr>
                  <w:r>
                    <w:rPr>
                      <w:color w:val="auto"/>
                      <w14:ligatures w14:val="standardContextual"/>
                    </w:rPr>
                    <w:t>9.695</w:t>
                  </w:r>
                </w:p>
              </w:tc>
              <w:tc>
                <w:tcPr>
                  <w:tcW w:w="768" w:type="pct"/>
                  <w:vMerge w:val="continue"/>
                  <w:vAlign w:val="center"/>
                </w:tcPr>
                <w:p w14:paraId="2F6AC7FF">
                  <w:pPr>
                    <w:widowControl w:val="0"/>
                    <w:overflowPunct w:val="0"/>
                    <w:autoSpaceDE w:val="0"/>
                    <w:autoSpaceDN w:val="0"/>
                    <w:snapToGrid w:val="0"/>
                    <w:spacing w:before="24" w:after="24"/>
                    <w:jc w:val="center"/>
                    <w:rPr>
                      <w:color w:val="auto"/>
                      <w14:ligatures w14:val="standardContextual"/>
                    </w:rPr>
                  </w:pPr>
                </w:p>
              </w:tc>
            </w:tr>
            <w:tr w14:paraId="34D38C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92" w:type="pct"/>
                  <w:vAlign w:val="center"/>
                </w:tcPr>
                <w:p w14:paraId="7C798E3E">
                  <w:pPr>
                    <w:pStyle w:val="65"/>
                    <w:widowControl w:val="0"/>
                    <w:numPr>
                      <w:ilvl w:val="0"/>
                      <w:numId w:val="3"/>
                    </w:numPr>
                    <w:overflowPunct w:val="0"/>
                    <w:autoSpaceDE w:val="0"/>
                    <w:autoSpaceDN w:val="0"/>
                    <w:snapToGrid w:val="0"/>
                    <w:spacing w:before="24" w:after="24"/>
                    <w:ind w:firstLineChars="0"/>
                    <w:jc w:val="center"/>
                    <w:rPr>
                      <w:color w:val="auto"/>
                      <w14:ligatures w14:val="standardContextual"/>
                    </w:rPr>
                  </w:pPr>
                </w:p>
              </w:tc>
              <w:tc>
                <w:tcPr>
                  <w:tcW w:w="625" w:type="pct"/>
                  <w:vAlign w:val="top"/>
                </w:tcPr>
                <w:p w14:paraId="5E52E1B3">
                  <w:pPr>
                    <w:widowControl w:val="0"/>
                    <w:overflowPunct w:val="0"/>
                    <w:autoSpaceDE w:val="0"/>
                    <w:autoSpaceDN w:val="0"/>
                    <w:snapToGrid w:val="0"/>
                    <w:spacing w:before="24" w:after="24"/>
                    <w:jc w:val="center"/>
                    <w:rPr>
                      <w:color w:val="auto"/>
                      <w14:ligatures w14:val="standardContextual"/>
                    </w:rPr>
                  </w:pPr>
                  <w:r>
                    <w:rPr>
                      <w:color w:val="auto"/>
                      <w14:ligatures w14:val="standardContextual"/>
                    </w:rPr>
                    <w:t>颗粒物</w:t>
                  </w:r>
                </w:p>
              </w:tc>
              <w:tc>
                <w:tcPr>
                  <w:tcW w:w="2590" w:type="pct"/>
                  <w:vAlign w:val="top"/>
                </w:tcPr>
                <w:p w14:paraId="2CA96F90">
                  <w:pPr>
                    <w:widowControl w:val="0"/>
                    <w:overflowPunct w:val="0"/>
                    <w:autoSpaceDE w:val="0"/>
                    <w:autoSpaceDN w:val="0"/>
                    <w:snapToGrid w:val="0"/>
                    <w:spacing w:before="24" w:after="24"/>
                    <w:jc w:val="center"/>
                    <w:rPr>
                      <w:color w:val="auto"/>
                      <w14:ligatures w14:val="standardContextual"/>
                    </w:rPr>
                  </w:pPr>
                  <w:r>
                    <w:rPr>
                      <w:rFonts w:hint="eastAsia"/>
                      <w:color w:val="auto"/>
                      <w14:ligatures w14:val="standardContextual"/>
                    </w:rPr>
                    <w:t>落料粉尘</w:t>
                  </w:r>
                </w:p>
              </w:tc>
              <w:tc>
                <w:tcPr>
                  <w:tcW w:w="625" w:type="pct"/>
                  <w:vAlign w:val="top"/>
                </w:tcPr>
                <w:p w14:paraId="7B29B17D">
                  <w:pPr>
                    <w:widowControl w:val="0"/>
                    <w:overflowPunct w:val="0"/>
                    <w:autoSpaceDE w:val="0"/>
                    <w:autoSpaceDN w:val="0"/>
                    <w:snapToGrid w:val="0"/>
                    <w:spacing w:before="24" w:after="24"/>
                    <w:jc w:val="center"/>
                    <w:rPr>
                      <w:color w:val="auto"/>
                      <w14:ligatures w14:val="standardContextual"/>
                    </w:rPr>
                  </w:pPr>
                  <w:r>
                    <w:rPr>
                      <w:rFonts w:hint="eastAsia"/>
                      <w:color w:val="auto"/>
                      <w14:ligatures w14:val="standardContextual"/>
                    </w:rPr>
                    <w:t>0.35</w:t>
                  </w:r>
                </w:p>
              </w:tc>
              <w:tc>
                <w:tcPr>
                  <w:tcW w:w="768" w:type="pct"/>
                  <w:vMerge w:val="continue"/>
                  <w:vAlign w:val="center"/>
                </w:tcPr>
                <w:p w14:paraId="098B01DF">
                  <w:pPr>
                    <w:widowControl w:val="0"/>
                    <w:overflowPunct w:val="0"/>
                    <w:autoSpaceDE w:val="0"/>
                    <w:autoSpaceDN w:val="0"/>
                    <w:snapToGrid w:val="0"/>
                    <w:spacing w:before="24" w:after="24"/>
                    <w:jc w:val="center"/>
                    <w:rPr>
                      <w:color w:val="auto"/>
                      <w14:ligatures w14:val="standardContextual"/>
                    </w:rPr>
                  </w:pPr>
                </w:p>
              </w:tc>
            </w:tr>
            <w:tr w14:paraId="1F5E8E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92" w:type="pct"/>
                  <w:tcBorders>
                    <w:bottom w:val="single" w:color="auto" w:sz="12" w:space="0"/>
                  </w:tcBorders>
                  <w:vAlign w:val="center"/>
                </w:tcPr>
                <w:p w14:paraId="4FE105BC">
                  <w:pPr>
                    <w:pStyle w:val="65"/>
                    <w:widowControl w:val="0"/>
                    <w:numPr>
                      <w:ilvl w:val="0"/>
                      <w:numId w:val="3"/>
                    </w:numPr>
                    <w:overflowPunct w:val="0"/>
                    <w:autoSpaceDE w:val="0"/>
                    <w:autoSpaceDN w:val="0"/>
                    <w:snapToGrid w:val="0"/>
                    <w:spacing w:before="24" w:after="24"/>
                    <w:ind w:firstLineChars="0"/>
                    <w:jc w:val="center"/>
                    <w:rPr>
                      <w:color w:val="auto"/>
                      <w14:ligatures w14:val="standardContextual"/>
                    </w:rPr>
                  </w:pPr>
                </w:p>
              </w:tc>
              <w:tc>
                <w:tcPr>
                  <w:tcW w:w="625" w:type="pct"/>
                  <w:tcBorders>
                    <w:bottom w:val="single" w:color="auto" w:sz="12" w:space="0"/>
                  </w:tcBorders>
                  <w:vAlign w:val="top"/>
                </w:tcPr>
                <w:p w14:paraId="06A5EA3F">
                  <w:pPr>
                    <w:widowControl w:val="0"/>
                    <w:overflowPunct w:val="0"/>
                    <w:autoSpaceDE w:val="0"/>
                    <w:autoSpaceDN w:val="0"/>
                    <w:snapToGrid w:val="0"/>
                    <w:spacing w:before="24" w:after="24"/>
                    <w:jc w:val="center"/>
                    <w:rPr>
                      <w:color w:val="auto"/>
                      <w14:ligatures w14:val="standardContextual"/>
                    </w:rPr>
                  </w:pPr>
                  <w:r>
                    <w:rPr>
                      <w:color w:val="auto"/>
                      <w14:ligatures w14:val="standardContextual"/>
                    </w:rPr>
                    <w:t>颗粒物</w:t>
                  </w:r>
                </w:p>
              </w:tc>
              <w:tc>
                <w:tcPr>
                  <w:tcW w:w="2590" w:type="pct"/>
                  <w:tcBorders>
                    <w:bottom w:val="single" w:color="auto" w:sz="12" w:space="0"/>
                  </w:tcBorders>
                  <w:vAlign w:val="top"/>
                </w:tcPr>
                <w:p w14:paraId="26182A69">
                  <w:pPr>
                    <w:widowControl w:val="0"/>
                    <w:overflowPunct w:val="0"/>
                    <w:autoSpaceDE w:val="0"/>
                    <w:autoSpaceDN w:val="0"/>
                    <w:snapToGrid w:val="0"/>
                    <w:spacing w:before="24" w:after="24"/>
                    <w:jc w:val="center"/>
                    <w:rPr>
                      <w:color w:val="auto"/>
                      <w14:ligatures w14:val="standardContextual"/>
                    </w:rPr>
                  </w:pPr>
                  <w:r>
                    <w:rPr>
                      <w:rFonts w:hint="eastAsia"/>
                      <w:color w:val="auto"/>
                      <w14:ligatures w14:val="standardContextual"/>
                    </w:rPr>
                    <w:t>车辆运输扬尘</w:t>
                  </w:r>
                </w:p>
              </w:tc>
              <w:tc>
                <w:tcPr>
                  <w:tcW w:w="625" w:type="pct"/>
                  <w:tcBorders>
                    <w:bottom w:val="single" w:color="auto" w:sz="12" w:space="0"/>
                  </w:tcBorders>
                  <w:vAlign w:val="top"/>
                </w:tcPr>
                <w:p w14:paraId="081FC87A">
                  <w:pPr>
                    <w:widowControl w:val="0"/>
                    <w:overflowPunct w:val="0"/>
                    <w:autoSpaceDE w:val="0"/>
                    <w:autoSpaceDN w:val="0"/>
                    <w:snapToGrid w:val="0"/>
                    <w:spacing w:before="24" w:after="24"/>
                    <w:jc w:val="center"/>
                    <w:rPr>
                      <w:color w:val="auto"/>
                      <w14:ligatures w14:val="standardContextual"/>
                    </w:rPr>
                  </w:pPr>
                  <w:r>
                    <w:rPr>
                      <w:rFonts w:hint="eastAsia"/>
                      <w:color w:val="auto"/>
                      <w14:ligatures w14:val="standardContextual"/>
                    </w:rPr>
                    <w:t>0.007</w:t>
                  </w:r>
                </w:p>
              </w:tc>
              <w:tc>
                <w:tcPr>
                  <w:tcW w:w="768" w:type="pct"/>
                  <w:vMerge w:val="continue"/>
                  <w:tcBorders>
                    <w:bottom w:val="single" w:color="auto" w:sz="12" w:space="0"/>
                  </w:tcBorders>
                  <w:vAlign w:val="center"/>
                </w:tcPr>
                <w:p w14:paraId="465AAAFD">
                  <w:pPr>
                    <w:widowControl w:val="0"/>
                    <w:overflowPunct w:val="0"/>
                    <w:autoSpaceDE w:val="0"/>
                    <w:autoSpaceDN w:val="0"/>
                    <w:snapToGrid w:val="0"/>
                    <w:spacing w:before="24" w:after="24"/>
                    <w:jc w:val="center"/>
                    <w:rPr>
                      <w:color w:val="auto"/>
                      <w14:ligatures w14:val="standardContextual"/>
                    </w:rPr>
                  </w:pPr>
                </w:p>
              </w:tc>
            </w:tr>
          </w:tbl>
          <w:p w14:paraId="2F8BF2B4">
            <w:pPr>
              <w:pStyle w:val="3"/>
              <w:ind w:firstLine="482"/>
              <w:rPr>
                <w:b/>
                <w:bCs/>
              </w:rPr>
            </w:pPr>
            <w:r>
              <w:rPr>
                <w:rFonts w:hint="eastAsia"/>
                <w:b/>
                <w:bCs/>
              </w:rPr>
              <w:t>3、非正常工况</w:t>
            </w:r>
            <w:bookmarkStart w:id="69" w:name="OLE_LINK85"/>
          </w:p>
          <w:bookmarkEnd w:id="69"/>
          <w:p w14:paraId="3937BAD6">
            <w:pPr>
              <w:pStyle w:val="3"/>
              <w:ind w:firstLine="480"/>
            </w:pPr>
            <w:r>
              <w:rPr>
                <w:rFonts w:hint="eastAsia"/>
              </w:rPr>
              <w:t>非正常排放是指生产过程中开停车（工、炉）、设备检修、工艺设备运转异常等非正常工况下的污染物排放，以及污染物排放控制措施达不到应有效率等情况下的排放。</w:t>
            </w:r>
          </w:p>
          <w:p w14:paraId="7F035FE4">
            <w:pPr>
              <w:pStyle w:val="3"/>
              <w:ind w:firstLine="480"/>
            </w:pPr>
            <w:r>
              <w:rPr>
                <w:rFonts w:hint="eastAsia"/>
              </w:rPr>
              <w:t>本次评价考虑的非正常工况为DA001废气处理设施故障，废气直接排放。</w:t>
            </w:r>
          </w:p>
          <w:p w14:paraId="12FAB9AF">
            <w:pPr>
              <w:pStyle w:val="48"/>
            </w:pPr>
            <w:bookmarkStart w:id="70" w:name="_Ref172984926"/>
            <w:bookmarkStart w:id="71" w:name="_Ref186542428"/>
            <w:r>
              <w:rPr>
                <w:rFonts w:hint="eastAsia"/>
              </w:rPr>
              <w:t xml:space="preserve">表4- </w:t>
            </w:r>
            <w:r>
              <w:fldChar w:fldCharType="begin"/>
            </w:r>
            <w:r>
              <w:instrText xml:space="preserve"> </w:instrText>
            </w:r>
            <w:r>
              <w:rPr>
                <w:rFonts w:hint="eastAsia"/>
              </w:rPr>
              <w:instrText xml:space="preserve">SEQ 表4- \* ARABIC</w:instrText>
            </w:r>
            <w:r>
              <w:instrText xml:space="preserve"> </w:instrText>
            </w:r>
            <w:r>
              <w:fldChar w:fldCharType="separate"/>
            </w:r>
            <w:r>
              <w:t>6</w:t>
            </w:r>
            <w:r>
              <w:fldChar w:fldCharType="end"/>
            </w:r>
            <w:bookmarkEnd w:id="70"/>
            <w:r>
              <w:rPr>
                <w:rFonts w:hint="eastAsia"/>
              </w:rPr>
              <w:t>：项目污染源非正常排放核算表</w:t>
            </w:r>
            <w:bookmarkEnd w:id="71"/>
          </w:p>
          <w:tbl>
            <w:tblPr>
              <w:tblStyle w:val="49"/>
              <w:tblW w:w="79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454"/>
              <w:gridCol w:w="742"/>
              <w:gridCol w:w="1249"/>
              <w:gridCol w:w="1156"/>
              <w:gridCol w:w="1225"/>
              <w:gridCol w:w="1087"/>
              <w:gridCol w:w="847"/>
              <w:gridCol w:w="1178"/>
            </w:tblGrid>
            <w:tr w14:paraId="239A2F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54" w:type="dxa"/>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44FE5FAE">
                  <w:pPr>
                    <w:keepLines w:val="0"/>
                    <w:widowControl w:val="0"/>
                    <w:suppressLineNumbers w:val="0"/>
                    <w:suppressAutoHyphens w:val="0"/>
                    <w:wordWrap/>
                    <w:overflowPunct w:val="0"/>
                    <w:topLinePunct w:val="0"/>
                    <w:autoSpaceDE w:val="0"/>
                    <w:autoSpaceDN w:val="0"/>
                    <w:adjustRightInd w:val="0"/>
                    <w:snapToGrid w:val="0"/>
                    <w:spacing w:before="24" w:after="24"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default" w:ascii="Times New Roman" w:hAnsi="Times New Roman" w:eastAsia="宋体" w:cs="Times New Roman"/>
                      <w:b/>
                      <w:i w:val="0"/>
                      <w14:ligatures w14:val="standardContextual"/>
                    </w:rPr>
                    <w:t>序号</w:t>
                  </w:r>
                </w:p>
              </w:tc>
              <w:tc>
                <w:tcPr>
                  <w:tcW w:w="742"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6DA96B7A">
                  <w:pPr>
                    <w:keepLines w:val="0"/>
                    <w:widowControl w:val="0"/>
                    <w:suppressLineNumbers w:val="0"/>
                    <w:suppressAutoHyphens w:val="0"/>
                    <w:wordWrap/>
                    <w:overflowPunct w:val="0"/>
                    <w:topLinePunct w:val="0"/>
                    <w:autoSpaceDE w:val="0"/>
                    <w:autoSpaceDN w:val="0"/>
                    <w:adjustRightInd w:val="0"/>
                    <w:snapToGrid w:val="0"/>
                    <w:spacing w:before="24" w:after="24"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default" w:ascii="Times New Roman" w:hAnsi="Times New Roman" w:eastAsia="宋体" w:cs="Times New Roman"/>
                      <w:b/>
                      <w:i w:val="0"/>
                      <w14:ligatures w14:val="standardContextual"/>
                    </w:rPr>
                    <w:t>污染源</w:t>
                  </w:r>
                </w:p>
              </w:tc>
              <w:tc>
                <w:tcPr>
                  <w:tcW w:w="1249"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178D1C49">
                  <w:pPr>
                    <w:keepLines w:val="0"/>
                    <w:widowControl w:val="0"/>
                    <w:suppressLineNumbers w:val="0"/>
                    <w:suppressAutoHyphens w:val="0"/>
                    <w:wordWrap/>
                    <w:overflowPunct w:val="0"/>
                    <w:topLinePunct w:val="0"/>
                    <w:autoSpaceDE w:val="0"/>
                    <w:autoSpaceDN w:val="0"/>
                    <w:adjustRightInd w:val="0"/>
                    <w:snapToGrid w:val="0"/>
                    <w:spacing w:before="24" w:after="24"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default" w:ascii="Times New Roman" w:hAnsi="Times New Roman" w:eastAsia="宋体" w:cs="Times New Roman"/>
                      <w:b/>
                      <w:i w:val="0"/>
                      <w14:ligatures w14:val="standardContextual"/>
                    </w:rPr>
                    <w:t>污染物</w:t>
                  </w:r>
                </w:p>
              </w:tc>
              <w:tc>
                <w:tcPr>
                  <w:tcW w:w="1156"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1B82E4D4">
                  <w:pPr>
                    <w:keepLines w:val="0"/>
                    <w:widowControl w:val="0"/>
                    <w:suppressLineNumbers w:val="0"/>
                    <w:suppressAutoHyphens w:val="0"/>
                    <w:wordWrap/>
                    <w:overflowPunct w:val="0"/>
                    <w:topLinePunct w:val="0"/>
                    <w:autoSpaceDE w:val="0"/>
                    <w:autoSpaceDN w:val="0"/>
                    <w:adjustRightInd w:val="0"/>
                    <w:snapToGrid w:val="0"/>
                    <w:spacing w:before="24" w:after="24"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default" w:ascii="Times New Roman" w:hAnsi="Times New Roman" w:eastAsia="宋体" w:cs="Times New Roman"/>
                      <w:b/>
                      <w:i w:val="0"/>
                      <w14:ligatures w14:val="standardContextual"/>
                    </w:rPr>
                    <w:t>排放浓度（</w:t>
                  </w:r>
                  <w:r>
                    <w:rPr>
                      <w:rFonts w:hint="default" w:ascii="Times New Roman" w:hAnsi="Times New Roman" w:eastAsia="Times New Roman" w:cs="Times New Roman"/>
                      <w:b/>
                      <w:i w:val="0"/>
                      <w14:ligatures w14:val="standardContextual"/>
                    </w:rPr>
                    <w:t>mg/m</w:t>
                  </w:r>
                  <w:r>
                    <w:rPr>
                      <w:rFonts w:hint="default" w:ascii="Times New Roman" w:hAnsi="Times New Roman" w:eastAsia="Times New Roman" w:cs="Times New Roman"/>
                      <w:b/>
                      <w:i w:val="0"/>
                      <w:position w:val="7"/>
                      <w:sz w:val="13"/>
                      <w:vertAlign w:val="superscript"/>
                      <w14:ligatures w14:val="standardContextual"/>
                    </w:rPr>
                    <w:t>3</w:t>
                  </w:r>
                  <w:r>
                    <w:rPr>
                      <w:rFonts w:hint="default" w:ascii="Times New Roman" w:hAnsi="Times New Roman" w:eastAsia="宋体" w:cs="Times New Roman"/>
                      <w:b/>
                      <w:i w:val="0"/>
                      <w14:ligatures w14:val="standardContextual"/>
                    </w:rPr>
                    <w:t>）</w:t>
                  </w:r>
                </w:p>
              </w:tc>
              <w:tc>
                <w:tcPr>
                  <w:tcW w:w="1225"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0791575C">
                  <w:pPr>
                    <w:keepLines w:val="0"/>
                    <w:widowControl w:val="0"/>
                    <w:suppressLineNumbers w:val="0"/>
                    <w:suppressAutoHyphens w:val="0"/>
                    <w:wordWrap/>
                    <w:overflowPunct w:val="0"/>
                    <w:topLinePunct w:val="0"/>
                    <w:autoSpaceDE w:val="0"/>
                    <w:autoSpaceDN w:val="0"/>
                    <w:adjustRightInd w:val="0"/>
                    <w:snapToGrid w:val="0"/>
                    <w:spacing w:before="24" w:after="24"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default" w:ascii="Times New Roman" w:hAnsi="Times New Roman" w:eastAsia="宋体" w:cs="Times New Roman"/>
                      <w:b/>
                      <w:i w:val="0"/>
                      <w:w w:val="95"/>
                      <w14:ligatures w14:val="standardContextual"/>
                    </w:rPr>
                    <w:t>排放</w:t>
                  </w:r>
                  <w:r>
                    <w:rPr>
                      <w:rFonts w:hint="eastAsia" w:ascii="Times New Roman" w:hAnsi="Times New Roman" w:eastAsia="宋体" w:cs="Times New Roman"/>
                      <w:b/>
                      <w:i w:val="0"/>
                      <w:w w:val="95"/>
                      <w14:ligatures w14:val="standardContextual"/>
                    </w:rPr>
                    <w:t>速率</w:t>
                  </w:r>
                  <w:r>
                    <w:rPr>
                      <w:rFonts w:hint="default" w:ascii="Times New Roman" w:hAnsi="Times New Roman" w:eastAsia="宋体" w:cs="Times New Roman"/>
                      <w:b/>
                      <w:i w:val="0"/>
                      <w14:ligatures w14:val="standardContextual"/>
                    </w:rPr>
                    <w:t>（</w:t>
                  </w:r>
                  <w:r>
                    <w:rPr>
                      <w:rFonts w:hint="default" w:ascii="Times New Roman" w:hAnsi="Times New Roman" w:eastAsia="Times New Roman" w:cs="Times New Roman"/>
                      <w:b/>
                      <w:i w:val="0"/>
                      <w14:ligatures w14:val="standardContextual"/>
                    </w:rPr>
                    <w:t>kg/</w:t>
                  </w:r>
                  <w:r>
                    <w:rPr>
                      <w:rFonts w:hint="eastAsia" w:ascii="Times New Roman" w:hAnsi="Times New Roman" w:cs="Times New Roman" w:eastAsiaTheme="minorEastAsia"/>
                      <w:b/>
                      <w:i w:val="0"/>
                      <w14:ligatures w14:val="standardContextual"/>
                    </w:rPr>
                    <w:t>h</w:t>
                  </w:r>
                  <w:r>
                    <w:rPr>
                      <w:rFonts w:hint="default" w:ascii="Times New Roman" w:hAnsi="Times New Roman" w:eastAsia="宋体" w:cs="Times New Roman"/>
                      <w:b/>
                      <w:i w:val="0"/>
                      <w14:ligatures w14:val="standardContextual"/>
                    </w:rPr>
                    <w:t>）</w:t>
                  </w:r>
                </w:p>
              </w:tc>
              <w:tc>
                <w:tcPr>
                  <w:tcW w:w="1087"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6DD11CB1">
                  <w:pPr>
                    <w:keepLines w:val="0"/>
                    <w:widowControl w:val="0"/>
                    <w:suppressLineNumbers w:val="0"/>
                    <w:suppressAutoHyphens w:val="0"/>
                    <w:wordWrap/>
                    <w:overflowPunct w:val="0"/>
                    <w:topLinePunct w:val="0"/>
                    <w:autoSpaceDE w:val="0"/>
                    <w:autoSpaceDN w:val="0"/>
                    <w:adjustRightInd w:val="0"/>
                    <w:snapToGrid w:val="0"/>
                    <w:spacing w:before="24" w:after="24"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default" w:ascii="Times New Roman" w:hAnsi="Times New Roman" w:eastAsia="宋体" w:cs="Times New Roman"/>
                      <w:b/>
                      <w:i w:val="0"/>
                      <w14:ligatures w14:val="standardContextual"/>
                    </w:rPr>
                    <w:t>单次持续时间/h</w:t>
                  </w:r>
                </w:p>
              </w:tc>
              <w:tc>
                <w:tcPr>
                  <w:tcW w:w="847"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0A469BF4">
                  <w:pPr>
                    <w:keepLines w:val="0"/>
                    <w:widowControl w:val="0"/>
                    <w:suppressLineNumbers w:val="0"/>
                    <w:suppressAutoHyphens w:val="0"/>
                    <w:wordWrap/>
                    <w:overflowPunct w:val="0"/>
                    <w:topLinePunct w:val="0"/>
                    <w:autoSpaceDE w:val="0"/>
                    <w:autoSpaceDN w:val="0"/>
                    <w:adjustRightInd w:val="0"/>
                    <w:snapToGrid w:val="0"/>
                    <w:spacing w:before="24" w:after="24"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default" w:ascii="Times New Roman" w:hAnsi="Times New Roman" w:eastAsia="宋体" w:cs="Times New Roman"/>
                      <w:b/>
                      <w:i w:val="0"/>
                      <w14:ligatures w14:val="standardContextual"/>
                    </w:rPr>
                    <w:t>年发生频次</w:t>
                  </w:r>
                </w:p>
              </w:tc>
              <w:tc>
                <w:tcPr>
                  <w:tcW w:w="1178" w:type="dxa"/>
                  <w:tcBorders>
                    <w:top w:val="single" w:color="auto" w:sz="12" w:space="0"/>
                    <w:bottom w:val="single" w:color="auto" w:sz="12" w:space="0"/>
                    <w:right w:val="nil"/>
                    <w:insideH w:val="single" w:sz="12" w:space="0"/>
                    <w:insideV w:val="single" w:sz="4" w:space="0"/>
                    <w:tl2br w:val="nil"/>
                    <w:tr2bl w:val="nil"/>
                  </w:tcBorders>
                  <w:vAlign w:val="center"/>
                </w:tcPr>
                <w:p w14:paraId="51D9979C">
                  <w:pPr>
                    <w:keepLines w:val="0"/>
                    <w:widowControl w:val="0"/>
                    <w:suppressLineNumbers w:val="0"/>
                    <w:suppressAutoHyphens w:val="0"/>
                    <w:wordWrap/>
                    <w:overflowPunct w:val="0"/>
                    <w:topLinePunct w:val="0"/>
                    <w:autoSpaceDE w:val="0"/>
                    <w:autoSpaceDN w:val="0"/>
                    <w:adjustRightInd w:val="0"/>
                    <w:snapToGrid w:val="0"/>
                    <w:spacing w:before="24" w:after="24"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default" w:ascii="Times New Roman" w:hAnsi="Times New Roman" w:eastAsia="宋体" w:cs="Times New Roman"/>
                      <w:b/>
                      <w:i w:val="0"/>
                      <w14:ligatures w14:val="standardContextual"/>
                    </w:rPr>
                    <w:t>应对措施</w:t>
                  </w:r>
                </w:p>
              </w:tc>
            </w:tr>
            <w:tr w14:paraId="262E63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54" w:type="dxa"/>
                  <w:tcBorders>
                    <w:bottom w:val="single" w:color="auto" w:sz="12" w:space="0"/>
                  </w:tcBorders>
                  <w:vAlign w:val="center"/>
                </w:tcPr>
                <w:p w14:paraId="6D2906DE">
                  <w:pPr>
                    <w:pStyle w:val="65"/>
                    <w:widowControl w:val="0"/>
                    <w:numPr>
                      <w:ilvl w:val="0"/>
                      <w:numId w:val="4"/>
                    </w:numPr>
                    <w:overflowPunct w:val="0"/>
                    <w:autoSpaceDE w:val="0"/>
                    <w:autoSpaceDN w:val="0"/>
                    <w:snapToGrid w:val="0"/>
                    <w:spacing w:before="24" w:after="24"/>
                    <w:ind w:firstLineChars="0"/>
                    <w:jc w:val="center"/>
                    <w:rPr>
                      <w:color w:val="auto"/>
                      <w14:ligatures w14:val="standardContextual"/>
                    </w:rPr>
                  </w:pPr>
                </w:p>
              </w:tc>
              <w:tc>
                <w:tcPr>
                  <w:tcW w:w="742" w:type="dxa"/>
                  <w:tcBorders>
                    <w:bottom w:val="single" w:color="auto" w:sz="12" w:space="0"/>
                  </w:tcBorders>
                  <w:vAlign w:val="center"/>
                </w:tcPr>
                <w:p w14:paraId="59F9575A">
                  <w:pPr>
                    <w:widowControl w:val="0"/>
                    <w:overflowPunct w:val="0"/>
                    <w:autoSpaceDE w:val="0"/>
                    <w:autoSpaceDN w:val="0"/>
                    <w:snapToGrid w:val="0"/>
                    <w:spacing w:before="24" w:after="24"/>
                    <w:jc w:val="center"/>
                    <w:rPr>
                      <w:color w:val="auto"/>
                      <w14:ligatures w14:val="standardContextual"/>
                    </w:rPr>
                  </w:pPr>
                  <w:r>
                    <w:rPr>
                      <w:rFonts w:hint="eastAsia"/>
                      <w:color w:val="auto"/>
                      <w14:ligatures w14:val="standardContextual"/>
                    </w:rPr>
                    <w:t>DA001</w:t>
                  </w:r>
                </w:p>
              </w:tc>
              <w:tc>
                <w:tcPr>
                  <w:tcW w:w="1249" w:type="dxa"/>
                  <w:tcBorders>
                    <w:bottom w:val="single" w:color="auto" w:sz="12" w:space="0"/>
                  </w:tcBorders>
                  <w:vAlign w:val="center"/>
                </w:tcPr>
                <w:p w14:paraId="4D98F654">
                  <w:pPr>
                    <w:widowControl w:val="0"/>
                    <w:overflowPunct w:val="0"/>
                    <w:autoSpaceDE w:val="0"/>
                    <w:autoSpaceDN w:val="0"/>
                    <w:snapToGrid w:val="0"/>
                    <w:jc w:val="center"/>
                    <w:rPr>
                      <w:color w:val="auto"/>
                      <w14:ligatures w14:val="standardContextual"/>
                    </w:rPr>
                  </w:pPr>
                  <w:r>
                    <w:rPr>
                      <w:rFonts w:hint="eastAsia"/>
                      <w:color w:val="auto"/>
                      <w14:ligatures w14:val="standardContextual"/>
                    </w:rPr>
                    <w:t>颗粒物</w:t>
                  </w:r>
                </w:p>
              </w:tc>
              <w:tc>
                <w:tcPr>
                  <w:tcW w:w="1156" w:type="dxa"/>
                  <w:tcBorders>
                    <w:bottom w:val="single" w:color="auto" w:sz="12" w:space="0"/>
                  </w:tcBorders>
                  <w:vAlign w:val="center"/>
                </w:tcPr>
                <w:p w14:paraId="002EDE2B">
                  <w:pPr>
                    <w:widowControl w:val="0"/>
                    <w:overflowPunct w:val="0"/>
                    <w:autoSpaceDE w:val="0"/>
                    <w:autoSpaceDN w:val="0"/>
                    <w:snapToGrid w:val="0"/>
                    <w:jc w:val="center"/>
                    <w:rPr>
                      <w:color w:val="auto"/>
                      <w14:ligatures w14:val="standardContextual"/>
                    </w:rPr>
                  </w:pPr>
                  <w:r>
                    <w:rPr>
                      <w:color w:val="auto"/>
                      <w14:ligatures w14:val="standardContextual"/>
                    </w:rPr>
                    <w:t>4488.2</w:t>
                  </w:r>
                </w:p>
              </w:tc>
              <w:tc>
                <w:tcPr>
                  <w:tcW w:w="1225" w:type="dxa"/>
                  <w:tcBorders>
                    <w:bottom w:val="single" w:color="auto" w:sz="12" w:space="0"/>
                  </w:tcBorders>
                  <w:vAlign w:val="center"/>
                </w:tcPr>
                <w:p w14:paraId="210DCF72">
                  <w:pPr>
                    <w:widowControl w:val="0"/>
                    <w:overflowPunct w:val="0"/>
                    <w:autoSpaceDE w:val="0"/>
                    <w:autoSpaceDN w:val="0"/>
                    <w:snapToGrid w:val="0"/>
                    <w:jc w:val="center"/>
                    <w:rPr>
                      <w:color w:val="auto"/>
                      <w14:ligatures w14:val="standardContextual"/>
                    </w:rPr>
                  </w:pPr>
                  <w:r>
                    <w:rPr>
                      <w:rFonts w:hint="eastAsia"/>
                      <w:color w:val="auto"/>
                      <w:sz w:val="18"/>
                      <w:szCs w:val="18"/>
                      <w14:ligatures w14:val="standardContextual"/>
                    </w:rPr>
                    <w:t>44.882</w:t>
                  </w:r>
                </w:p>
              </w:tc>
              <w:tc>
                <w:tcPr>
                  <w:tcW w:w="1087" w:type="dxa"/>
                  <w:tcBorders>
                    <w:bottom w:val="single" w:color="auto" w:sz="12" w:space="0"/>
                  </w:tcBorders>
                  <w:vAlign w:val="center"/>
                </w:tcPr>
                <w:p w14:paraId="29DC0842">
                  <w:pPr>
                    <w:widowControl w:val="0"/>
                    <w:overflowPunct w:val="0"/>
                    <w:autoSpaceDE w:val="0"/>
                    <w:autoSpaceDN w:val="0"/>
                    <w:snapToGrid w:val="0"/>
                    <w:spacing w:before="24" w:after="24"/>
                    <w:jc w:val="center"/>
                    <w:rPr>
                      <w:color w:val="auto"/>
                      <w:sz w:val="20"/>
                      <w14:ligatures w14:val="standardContextual"/>
                    </w:rPr>
                  </w:pPr>
                  <w:r>
                    <w:rPr>
                      <w:color w:val="auto"/>
                      <w:w w:val="99"/>
                      <w14:ligatures w14:val="standardContextual"/>
                    </w:rPr>
                    <w:t>1</w:t>
                  </w:r>
                </w:p>
              </w:tc>
              <w:tc>
                <w:tcPr>
                  <w:tcW w:w="847" w:type="dxa"/>
                  <w:tcBorders>
                    <w:bottom w:val="single" w:color="auto" w:sz="12" w:space="0"/>
                  </w:tcBorders>
                  <w:vAlign w:val="center"/>
                </w:tcPr>
                <w:p w14:paraId="7935848B">
                  <w:pPr>
                    <w:widowControl w:val="0"/>
                    <w:overflowPunct w:val="0"/>
                    <w:autoSpaceDE w:val="0"/>
                    <w:autoSpaceDN w:val="0"/>
                    <w:snapToGrid w:val="0"/>
                    <w:spacing w:before="24" w:after="24"/>
                    <w:jc w:val="center"/>
                    <w:rPr>
                      <w:color w:val="auto"/>
                      <w:sz w:val="20"/>
                      <w14:ligatures w14:val="standardContextual"/>
                    </w:rPr>
                  </w:pPr>
                  <w:r>
                    <w:rPr>
                      <w:color w:val="auto"/>
                      <w:w w:val="99"/>
                      <w14:ligatures w14:val="standardContextual"/>
                    </w:rPr>
                    <w:t>1</w:t>
                  </w:r>
                </w:p>
              </w:tc>
              <w:tc>
                <w:tcPr>
                  <w:tcW w:w="1178" w:type="dxa"/>
                  <w:tcBorders>
                    <w:bottom w:val="single" w:color="auto" w:sz="12" w:space="0"/>
                  </w:tcBorders>
                  <w:vAlign w:val="center"/>
                </w:tcPr>
                <w:p w14:paraId="152ACE05">
                  <w:pPr>
                    <w:widowControl w:val="0"/>
                    <w:overflowPunct w:val="0"/>
                    <w:autoSpaceDE w:val="0"/>
                    <w:autoSpaceDN w:val="0"/>
                    <w:snapToGrid w:val="0"/>
                    <w:jc w:val="center"/>
                    <w:rPr>
                      <w:color w:val="auto"/>
                      <w:sz w:val="20"/>
                      <w14:ligatures w14:val="standardContextual"/>
                    </w:rPr>
                  </w:pPr>
                  <w:r>
                    <w:rPr>
                      <w:rFonts w:hint="eastAsia"/>
                      <w:color w:val="auto"/>
                      <w:w w:val="95"/>
                      <w14:ligatures w14:val="standardContextual"/>
                    </w:rPr>
                    <w:t>立即停止该工序生产设备，对废气治理设施进行抢修</w:t>
                  </w:r>
                </w:p>
              </w:tc>
            </w:tr>
          </w:tbl>
          <w:p w14:paraId="4D1B532D">
            <w:pPr>
              <w:pStyle w:val="3"/>
              <w:ind w:firstLine="480"/>
            </w:pPr>
            <w:r>
              <w:rPr>
                <w:rFonts w:hint="eastAsia"/>
                <w:color w:val="auto"/>
              </w:rPr>
              <w:t>由</w:t>
            </w:r>
            <w:r>
              <w:rPr>
                <w:color w:val="auto"/>
              </w:rPr>
              <w:fldChar w:fldCharType="begin"/>
            </w:r>
            <w:r>
              <w:rPr>
                <w:color w:val="auto"/>
              </w:rPr>
              <w:instrText xml:space="preserve"> </w:instrText>
            </w:r>
            <w:r>
              <w:rPr>
                <w:rFonts w:hint="eastAsia"/>
                <w:color w:val="auto"/>
              </w:rPr>
              <w:instrText xml:space="preserve">REF _Ref172984926 \h</w:instrText>
            </w:r>
            <w:r>
              <w:rPr>
                <w:color w:val="auto"/>
              </w:rPr>
              <w:instrText xml:space="preserve">  \* MERGEFORMAT </w:instrText>
            </w:r>
            <w:r>
              <w:rPr>
                <w:color w:val="auto"/>
              </w:rPr>
              <w:fldChar w:fldCharType="separate"/>
            </w:r>
            <w:r>
              <w:rPr>
                <w:rFonts w:hint="eastAsia"/>
                <w:color w:val="auto"/>
              </w:rPr>
              <w:t xml:space="preserve">表4- </w:t>
            </w:r>
            <w:r>
              <w:rPr>
                <w:color w:val="auto"/>
              </w:rPr>
              <w:t>6</w:t>
            </w:r>
            <w:r>
              <w:rPr>
                <w:color w:val="auto"/>
              </w:rPr>
              <w:fldChar w:fldCharType="end"/>
            </w:r>
            <w:r>
              <w:rPr>
                <w:rFonts w:hint="eastAsia"/>
                <w:color w:val="auto"/>
              </w:rPr>
              <w:t>可知，当DA001废气处理设施发生故障时，非正常情况下，污染源DA001中颗粒物不能满足《大气污染物综合排放标准》（GB16297-1996）表2中二级标准。因此，为减少废气对周边环境的影响，因此当DA001废气处理设施故障时，应及时关停并对处理设施进行维修，保证</w:t>
            </w:r>
            <w:r>
              <w:rPr>
                <w:rFonts w:hint="eastAsia"/>
              </w:rPr>
              <w:t>处理措施的正常运行。</w:t>
            </w:r>
          </w:p>
          <w:p w14:paraId="422071A4">
            <w:pPr>
              <w:pStyle w:val="3"/>
              <w:ind w:firstLine="482"/>
              <w:rPr>
                <w:b/>
                <w:bCs/>
              </w:rPr>
            </w:pPr>
            <w:r>
              <w:rPr>
                <w:rFonts w:hint="eastAsia"/>
                <w:b/>
                <w:bCs/>
              </w:rPr>
              <w:t>4、废气污染防治措施可行性分析</w:t>
            </w:r>
          </w:p>
          <w:p w14:paraId="597DF1B4">
            <w:pPr>
              <w:pStyle w:val="3"/>
              <w:ind w:firstLine="480"/>
            </w:pPr>
            <w:bookmarkStart w:id="72" w:name="（1）排气筒高度合理性分析"/>
            <w:r>
              <w:rPr>
                <w:rFonts w:hint="eastAsia"/>
              </w:rPr>
              <w:t>（1）</w:t>
            </w:r>
            <w:bookmarkEnd w:id="72"/>
            <w:r>
              <w:rPr>
                <w:rFonts w:hint="eastAsia"/>
              </w:rPr>
              <w:t>布袋除尘</w:t>
            </w:r>
          </w:p>
          <w:p w14:paraId="5838657F">
            <w:pPr>
              <w:pStyle w:val="3"/>
              <w:ind w:firstLine="480"/>
              <w:rPr>
                <w:rFonts w:hint="eastAsia"/>
              </w:rPr>
            </w:pPr>
            <w:r>
              <w:rPr>
                <w:rFonts w:hint="eastAsia"/>
              </w:rPr>
              <w:t>袋式除尘器是一种干式滤尘装置。它适用于捕集细小、干燥、非纤维性粉尘。滤袋采用纺织的滤布或非纺织的毡制成，利用纤维织物的过滤作用对含尘气体进行过滤，当含尘气体进入袋式除尘器，颗粒大、比重大的粉尘，由于重力的作用沉降下来，落入灰斗，含有较细小粉尘的气体在通过滤料时，粉尘被阻留，使气体得到净化。此类袋式除尘器的除尘效率可到99.0%～99.9%之间，为市场较为常用的除尘措施。根据《排污许可证申请与核发技术规范 废弃资源加工业》（HJ1034-2019）“表A.1废弃资源加工工业排污单位废气污染防治可行技术参考表”，本项目采用布袋除尘处理为可行性处理技术。</w:t>
            </w:r>
          </w:p>
          <w:p w14:paraId="314FE589">
            <w:pPr>
              <w:pStyle w:val="50"/>
              <w:keepNext/>
            </w:pPr>
            <w:r>
              <w:drawing>
                <wp:inline distT="0" distB="0" distL="0" distR="0">
                  <wp:extent cx="2984500" cy="2967355"/>
                  <wp:effectExtent l="0" t="0" r="6350" b="4445"/>
                  <wp:docPr id="924039327"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039327" name="图片 1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984500" cy="2967355"/>
                          </a:xfrm>
                          <a:prstGeom prst="rect">
                            <a:avLst/>
                          </a:prstGeom>
                          <a:noFill/>
                          <a:ln>
                            <a:noFill/>
                          </a:ln>
                        </pic:spPr>
                      </pic:pic>
                    </a:graphicData>
                  </a:graphic>
                </wp:inline>
              </w:drawing>
            </w:r>
          </w:p>
          <w:p w14:paraId="414AE2B0">
            <w:pPr>
              <w:pStyle w:val="48"/>
              <w:rPr>
                <w:color w:val="auto"/>
                <w:u w:val="single"/>
              </w:rPr>
            </w:pPr>
            <w:r>
              <w:rPr>
                <w:rFonts w:hint="eastAsia"/>
                <w:color w:val="auto"/>
                <w:u w:val="single"/>
              </w:rPr>
              <w:t xml:space="preserve">图4- </w:t>
            </w:r>
            <w:r>
              <w:rPr>
                <w:color w:val="auto"/>
                <w:u w:val="single"/>
              </w:rPr>
              <w:fldChar w:fldCharType="begin"/>
            </w:r>
            <w:r>
              <w:rPr>
                <w:color w:val="auto"/>
                <w:u w:val="single"/>
              </w:rPr>
              <w:instrText xml:space="preserve"> </w:instrText>
            </w:r>
            <w:r>
              <w:rPr>
                <w:rFonts w:hint="eastAsia"/>
                <w:color w:val="auto"/>
                <w:u w:val="single"/>
              </w:rPr>
              <w:instrText xml:space="preserve">SEQ 图4- \* ARABIC</w:instrText>
            </w:r>
            <w:r>
              <w:rPr>
                <w:color w:val="auto"/>
                <w:u w:val="single"/>
              </w:rPr>
              <w:instrText xml:space="preserve"> </w:instrText>
            </w:r>
            <w:r>
              <w:rPr>
                <w:color w:val="auto"/>
                <w:u w:val="single"/>
              </w:rPr>
              <w:fldChar w:fldCharType="separate"/>
            </w:r>
            <w:r>
              <w:rPr>
                <w:color w:val="auto"/>
                <w:u w:val="single"/>
              </w:rPr>
              <w:t>1</w:t>
            </w:r>
            <w:r>
              <w:rPr>
                <w:color w:val="auto"/>
                <w:u w:val="single"/>
              </w:rPr>
              <w:fldChar w:fldCharType="end"/>
            </w:r>
            <w:r>
              <w:rPr>
                <w:rFonts w:hint="eastAsia"/>
                <w:color w:val="auto"/>
                <w:u w:val="single"/>
              </w:rPr>
              <w:t>：袋式除尘器结构示意图</w:t>
            </w:r>
          </w:p>
          <w:p w14:paraId="18D078A3">
            <w:pPr>
              <w:pStyle w:val="3"/>
              <w:ind w:firstLine="480"/>
              <w:rPr>
                <w:color w:val="auto"/>
                <w:u w:val="single"/>
              </w:rPr>
            </w:pPr>
            <w:r>
              <w:rPr>
                <w:rFonts w:hint="eastAsia"/>
                <w:color w:val="auto"/>
                <w:u w:val="single"/>
              </w:rPr>
              <w:t>袋式除尘器结构简单，维护操作方便除尘效率高，一般在99%以上，除尘器出口气体含尘浓度在15mg/m</w:t>
            </w:r>
            <w:r>
              <w:rPr>
                <w:rFonts w:hint="eastAsia"/>
                <w:color w:val="auto"/>
                <w:u w:val="single"/>
                <w:vertAlign w:val="superscript"/>
              </w:rPr>
              <w:t>3</w:t>
            </w:r>
            <w:r>
              <w:rPr>
                <w:rFonts w:hint="eastAsia"/>
                <w:color w:val="auto"/>
                <w:u w:val="single"/>
              </w:rPr>
              <w:t>以下。袋式除尘器在处理效率上普遍要优于水膜除尘、旋风除尘等工艺，较同等除尘效率的静电除尘器具有较低的造价和维护成本。袋式除尘器具有净化效率高，性能稳定，操作简便，适应性强，回收的粉尘便于利用等特点。根据《袋式除尘器通用技术规范》（HJ2020-2012），袋式除尘器工艺适用于含尘空气的净化、炉窑烟气的净化、粉尘具有回收价值的粉尘净化等应用场合，以上场合宜优先采用袋式除尘工艺。本项目破碎、筛分、磁选、风选粉尘收集后可用于路基铺路综合利用，具有回收利用价值，因此采取布袋除尘措施可行。</w:t>
            </w:r>
          </w:p>
          <w:p w14:paraId="0123B09D">
            <w:pPr>
              <w:pStyle w:val="3"/>
              <w:ind w:firstLine="480"/>
              <w:rPr>
                <w:color w:val="auto"/>
                <w:u w:val="single"/>
              </w:rPr>
            </w:pPr>
            <w:r>
              <w:rPr>
                <w:rFonts w:hint="eastAsia"/>
                <w:color w:val="auto"/>
                <w:u w:val="single"/>
              </w:rPr>
              <w:t>（2）无组织粉尘控制措施</w:t>
            </w:r>
          </w:p>
          <w:p w14:paraId="4DE24FE6">
            <w:pPr>
              <w:pStyle w:val="3"/>
              <w:ind w:firstLine="480"/>
              <w:rPr>
                <w:color w:val="auto"/>
                <w:u w:val="single"/>
              </w:rPr>
            </w:pPr>
            <w:r>
              <w:rPr>
                <w:rFonts w:hint="eastAsia"/>
                <w:color w:val="auto"/>
                <w:u w:val="single"/>
              </w:rPr>
              <w:t>针对项目卸料点、进料点及落料点等产生的较难进行收集的扬尘，采用喷雾器喷雾降尘，经过喷雾降尘系统降尘后可以有效地抑制扬尘的扩展，水雾喷淋降尘大大加重了扬尘的自重，能使本来就较重的粉尘更多更快地进行沉降，大大减少了扬尘的逸散量，降低了项目粉尘进入外环境的</w:t>
            </w:r>
            <w:r>
              <w:rPr>
                <w:rFonts w:hint="eastAsia"/>
                <w:color w:val="auto"/>
                <w:u w:val="single"/>
                <w:lang w:eastAsia="zh-CN"/>
              </w:rPr>
              <w:t>概率</w:t>
            </w:r>
            <w:r>
              <w:rPr>
                <w:rFonts w:hint="eastAsia"/>
                <w:color w:val="auto"/>
                <w:u w:val="single"/>
              </w:rPr>
              <w:t>。本项目建筑垃圾入厂后堆存在生产车间，产品（碎石）以及二次固废（渣土、轻物质、废金属等）堆存在</w:t>
            </w:r>
            <w:r>
              <w:rPr>
                <w:rFonts w:hint="eastAsia"/>
                <w:color w:val="auto"/>
                <w:u w:val="single"/>
                <w:lang w:eastAsia="zh-CN"/>
              </w:rPr>
              <w:t>钢结构</w:t>
            </w:r>
            <w:r>
              <w:rPr>
                <w:rFonts w:hint="eastAsia"/>
                <w:color w:val="auto"/>
                <w:u w:val="single"/>
              </w:rPr>
              <w:t>厂房内，在无风扰动的车间环境下，粉尘自重较大，结合喷雾器喷雾降尘，可使大部粉尘充分沉降到室内地面，通过清扫收集回用到生产。本项目厂房建设条件较好，封闭设计投资较小，喷雾降尘技术成熟，运行成本低，治理措施在经济技术上可行。</w:t>
            </w:r>
          </w:p>
          <w:p w14:paraId="5C1AA26F">
            <w:pPr>
              <w:pStyle w:val="3"/>
              <w:ind w:firstLine="480"/>
              <w:rPr>
                <w:color w:val="auto"/>
                <w:u w:val="single"/>
              </w:rPr>
            </w:pPr>
            <w:r>
              <w:rPr>
                <w:rFonts w:hint="eastAsia"/>
                <w:color w:val="auto"/>
                <w:u w:val="single"/>
              </w:rPr>
              <w:t>针对运输车辆扬尘，本项目拟通过加强物流运输的管理，严格执行封闭车辆运输，在运输期间定期道路洒水降尘，厂区出入车辆冲洗，可有效减少道路扬尘的产生。同时，通过对运输车辆的合规使用宣传，避免装载过满，定期对措施进行检查，以免垃圾洒落，遵守规定路线、低速行驶等规定。通过以上措施，可以较好地控制物料运输的扬尘产生，治理措施可行。</w:t>
            </w:r>
          </w:p>
          <w:p w14:paraId="0340581B">
            <w:pPr>
              <w:pStyle w:val="3"/>
              <w:ind w:firstLine="480"/>
            </w:pPr>
            <w:r>
              <w:rPr>
                <w:rFonts w:hint="eastAsia"/>
              </w:rPr>
              <w:t>（2）</w:t>
            </w:r>
            <w:r>
              <w:rPr>
                <w:rFonts w:hint="eastAsia"/>
                <w:b/>
                <w:bCs/>
              </w:rPr>
              <w:t>排气筒高度设置合理性分析</w:t>
            </w:r>
          </w:p>
          <w:p w14:paraId="612AC529">
            <w:pPr>
              <w:pStyle w:val="3"/>
              <w:ind w:firstLine="480"/>
            </w:pPr>
            <w:r>
              <w:rPr>
                <w:rFonts w:hint="eastAsia"/>
              </w:rPr>
              <w:t>根据《大气污染物综合排放标准》（GB16297-1996），新污染源的排气筒一般不应低于15m，排气筒高度除须遵守表列排放速率标准值外，还应高出周围200m半径范围的建筑5m以上，不能达到该要求的排气筒，应按其高度对应的表列排放速率标准值严格50%执行。根据</w:t>
            </w:r>
            <w:r>
              <w:rPr>
                <w:rFonts w:hint="eastAsia"/>
                <w:lang w:eastAsia="zh-CN"/>
              </w:rPr>
              <w:t>现场勘查</w:t>
            </w:r>
            <w:r>
              <w:rPr>
                <w:rFonts w:hint="eastAsia"/>
              </w:rPr>
              <w:t>，半径200m距离内无高出本项目建筑，故项目排气筒（DA001）高度设置为15m，高度设置合理。</w:t>
            </w:r>
          </w:p>
          <w:p w14:paraId="581B3CB2">
            <w:pPr>
              <w:pStyle w:val="3"/>
              <w:ind w:firstLine="482"/>
              <w:rPr>
                <w:b/>
                <w:bCs/>
              </w:rPr>
            </w:pPr>
            <w:r>
              <w:rPr>
                <w:rFonts w:hint="eastAsia"/>
                <w:b/>
                <w:bCs/>
              </w:rPr>
              <w:t>5、自行监测要求</w:t>
            </w:r>
          </w:p>
          <w:p w14:paraId="3C8BAA4C">
            <w:pPr>
              <w:pStyle w:val="3"/>
              <w:ind w:firstLine="480"/>
            </w:pPr>
            <w:r>
              <w:rPr>
                <w:rFonts w:hint="eastAsia"/>
              </w:rPr>
              <w:t>参考《排污单位自行监测技术指南 总则》（HJ819-2017）、《排污许可证申请与核发技术规范 废弃资源加工工业》（HJ1034-2019），本项目废气污染源监测计划见表4-9。</w:t>
            </w:r>
          </w:p>
          <w:p w14:paraId="5F0CDA58">
            <w:pPr>
              <w:pStyle w:val="48"/>
            </w:pPr>
            <w:bookmarkStart w:id="73" w:name="_Ref192717133"/>
            <w:r>
              <w:rPr>
                <w:rFonts w:hint="eastAsia"/>
              </w:rPr>
              <w:t xml:space="preserve">表4- </w:t>
            </w:r>
            <w:r>
              <w:fldChar w:fldCharType="begin"/>
            </w:r>
            <w:r>
              <w:instrText xml:space="preserve"> </w:instrText>
            </w:r>
            <w:r>
              <w:rPr>
                <w:rFonts w:hint="eastAsia"/>
              </w:rPr>
              <w:instrText xml:space="preserve">SEQ 表4- \* ARABIC</w:instrText>
            </w:r>
            <w:r>
              <w:instrText xml:space="preserve"> </w:instrText>
            </w:r>
            <w:r>
              <w:fldChar w:fldCharType="separate"/>
            </w:r>
            <w:r>
              <w:t>7</w:t>
            </w:r>
            <w:r>
              <w:fldChar w:fldCharType="end"/>
            </w:r>
            <w:r>
              <w:rPr>
                <w:rFonts w:hint="eastAsia"/>
              </w:rPr>
              <w:t>：废气监测计划</w:t>
            </w:r>
            <w:bookmarkEnd w:id="73"/>
          </w:p>
          <w:tbl>
            <w:tblPr>
              <w:tblStyle w:val="4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342"/>
              <w:gridCol w:w="4105"/>
              <w:gridCol w:w="1280"/>
              <w:gridCol w:w="1216"/>
            </w:tblGrid>
            <w:tr w14:paraId="29E837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845" w:type="pc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061DC8B8">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排放形式</w:t>
                  </w:r>
                </w:p>
              </w:tc>
              <w:tc>
                <w:tcPr>
                  <w:tcW w:w="2584"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3FA9F2D1">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default" w:ascii="Times New Roman" w:hAnsi="Times New Roman" w:eastAsia="宋体" w:cs="Times New Roman"/>
                      <w:b/>
                      <w:i w:val="0"/>
                      <w14:ligatures w14:val="standardContextual"/>
                    </w:rPr>
                    <w:t>监测项目</w:t>
                  </w:r>
                </w:p>
              </w:tc>
              <w:tc>
                <w:tcPr>
                  <w:tcW w:w="806"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75D509B3">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default" w:ascii="Times New Roman" w:hAnsi="Times New Roman" w:eastAsia="宋体" w:cs="Times New Roman"/>
                      <w:b/>
                      <w:i w:val="0"/>
                      <w14:ligatures w14:val="standardContextual"/>
                    </w:rPr>
                    <w:t>监测点位</w:t>
                  </w:r>
                </w:p>
              </w:tc>
              <w:tc>
                <w:tcPr>
                  <w:tcW w:w="765" w:type="pct"/>
                  <w:tcBorders>
                    <w:top w:val="single" w:color="auto" w:sz="12" w:space="0"/>
                    <w:bottom w:val="single" w:color="auto" w:sz="12" w:space="0"/>
                    <w:right w:val="nil"/>
                    <w:insideH w:val="single" w:sz="12" w:space="0"/>
                    <w:insideV w:val="single" w:sz="4" w:space="0"/>
                    <w:tl2br w:val="nil"/>
                    <w:tr2bl w:val="nil"/>
                  </w:tcBorders>
                  <w:vAlign w:val="center"/>
                </w:tcPr>
                <w:p w14:paraId="08E206B3">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default" w:ascii="Times New Roman" w:hAnsi="Times New Roman" w:eastAsia="宋体" w:cs="Times New Roman"/>
                      <w:b/>
                      <w:i w:val="0"/>
                      <w14:ligatures w14:val="standardContextual"/>
                    </w:rPr>
                    <w:t>监测频次</w:t>
                  </w:r>
                </w:p>
              </w:tc>
            </w:tr>
            <w:tr w14:paraId="49BEEE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845" w:type="pct"/>
                  <w:vAlign w:val="center"/>
                </w:tcPr>
                <w:p w14:paraId="4631D20E">
                  <w:pPr>
                    <w:widowControl w:val="0"/>
                    <w:overflowPunct w:val="0"/>
                    <w:autoSpaceDE w:val="0"/>
                    <w:autoSpaceDN w:val="0"/>
                    <w:snapToGrid w:val="0"/>
                    <w:jc w:val="center"/>
                    <w:rPr>
                      <w14:ligatures w14:val="standardContextual"/>
                    </w:rPr>
                  </w:pPr>
                  <w:r>
                    <w:rPr>
                      <w:rFonts w:hint="eastAsia"/>
                      <w14:ligatures w14:val="standardContextual"/>
                    </w:rPr>
                    <w:t>有组织</w:t>
                  </w:r>
                </w:p>
              </w:tc>
              <w:tc>
                <w:tcPr>
                  <w:tcW w:w="2584" w:type="pct"/>
                  <w:vAlign w:val="center"/>
                </w:tcPr>
                <w:p w14:paraId="00544D43">
                  <w:pPr>
                    <w:widowControl w:val="0"/>
                    <w:overflowPunct w:val="0"/>
                    <w:autoSpaceDE w:val="0"/>
                    <w:autoSpaceDN w:val="0"/>
                    <w:snapToGrid w:val="0"/>
                    <w:jc w:val="center"/>
                    <w:rPr>
                      <w14:ligatures w14:val="standardContextual"/>
                    </w:rPr>
                  </w:pPr>
                  <w:r>
                    <w:rPr>
                      <w:rFonts w:hint="eastAsia"/>
                      <w14:ligatures w14:val="standardContextual"/>
                    </w:rPr>
                    <w:t>颗粒物</w:t>
                  </w:r>
                </w:p>
              </w:tc>
              <w:tc>
                <w:tcPr>
                  <w:tcW w:w="806" w:type="pct"/>
                  <w:vAlign w:val="center"/>
                </w:tcPr>
                <w:p w14:paraId="3D24C594">
                  <w:pPr>
                    <w:widowControl w:val="0"/>
                    <w:overflowPunct w:val="0"/>
                    <w:autoSpaceDE w:val="0"/>
                    <w:autoSpaceDN w:val="0"/>
                    <w:snapToGrid w:val="0"/>
                    <w:jc w:val="center"/>
                    <w:rPr>
                      <w:rFonts w:eastAsiaTheme="minorEastAsia"/>
                      <w14:ligatures w14:val="standardContextual"/>
                    </w:rPr>
                  </w:pPr>
                  <w:r>
                    <w:rPr>
                      <w:rFonts w:hint="eastAsia" w:eastAsiaTheme="minorEastAsia"/>
                      <w14:ligatures w14:val="standardContextual"/>
                    </w:rPr>
                    <w:t>DA001</w:t>
                  </w:r>
                </w:p>
              </w:tc>
              <w:tc>
                <w:tcPr>
                  <w:tcW w:w="765" w:type="pct"/>
                  <w:vAlign w:val="center"/>
                </w:tcPr>
                <w:p w14:paraId="46BC881F">
                  <w:pPr>
                    <w:widowControl w:val="0"/>
                    <w:overflowPunct w:val="0"/>
                    <w:autoSpaceDE w:val="0"/>
                    <w:autoSpaceDN w:val="0"/>
                    <w:snapToGrid w:val="0"/>
                    <w:jc w:val="center"/>
                    <w:rPr>
                      <w14:ligatures w14:val="standardContextual"/>
                    </w:rPr>
                  </w:pPr>
                  <w:r>
                    <w:rPr>
                      <w:rFonts w:hint="eastAsia"/>
                      <w14:ligatures w14:val="standardContextual"/>
                    </w:rPr>
                    <w:t>1次/年</w:t>
                  </w:r>
                </w:p>
              </w:tc>
            </w:tr>
            <w:tr w14:paraId="7A3F09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845" w:type="pct"/>
                  <w:tcBorders>
                    <w:bottom w:val="single" w:color="auto" w:sz="12" w:space="0"/>
                  </w:tcBorders>
                  <w:vAlign w:val="center"/>
                </w:tcPr>
                <w:p w14:paraId="5B2BBE97">
                  <w:pPr>
                    <w:widowControl w:val="0"/>
                    <w:overflowPunct w:val="0"/>
                    <w:autoSpaceDE w:val="0"/>
                    <w:autoSpaceDN w:val="0"/>
                    <w:snapToGrid w:val="0"/>
                    <w:jc w:val="center"/>
                    <w:rPr>
                      <w14:ligatures w14:val="standardContextual"/>
                    </w:rPr>
                  </w:pPr>
                  <w:r>
                    <w:rPr>
                      <w:rFonts w:hint="eastAsia"/>
                      <w14:ligatures w14:val="standardContextual"/>
                    </w:rPr>
                    <w:t>无组织</w:t>
                  </w:r>
                </w:p>
              </w:tc>
              <w:tc>
                <w:tcPr>
                  <w:tcW w:w="2584" w:type="pct"/>
                  <w:tcBorders>
                    <w:bottom w:val="single" w:color="auto" w:sz="12" w:space="0"/>
                  </w:tcBorders>
                  <w:vAlign w:val="center"/>
                </w:tcPr>
                <w:p w14:paraId="383B7E99">
                  <w:pPr>
                    <w:widowControl w:val="0"/>
                    <w:overflowPunct w:val="0"/>
                    <w:autoSpaceDE w:val="0"/>
                    <w:autoSpaceDN w:val="0"/>
                    <w:snapToGrid w:val="0"/>
                    <w:jc w:val="center"/>
                    <w:rPr>
                      <w14:ligatures w14:val="standardContextual"/>
                    </w:rPr>
                  </w:pPr>
                  <w:r>
                    <w:rPr>
                      <w:rFonts w:hint="eastAsia"/>
                      <w14:ligatures w14:val="standardContextual"/>
                    </w:rPr>
                    <w:t>颗粒物</w:t>
                  </w:r>
                </w:p>
              </w:tc>
              <w:tc>
                <w:tcPr>
                  <w:tcW w:w="806" w:type="pct"/>
                  <w:tcBorders>
                    <w:bottom w:val="single" w:color="auto" w:sz="12" w:space="0"/>
                  </w:tcBorders>
                  <w:vAlign w:val="center"/>
                </w:tcPr>
                <w:p w14:paraId="5D7481F5">
                  <w:pPr>
                    <w:widowControl w:val="0"/>
                    <w:overflowPunct w:val="0"/>
                    <w:autoSpaceDE w:val="0"/>
                    <w:autoSpaceDN w:val="0"/>
                    <w:snapToGrid w:val="0"/>
                    <w:jc w:val="center"/>
                    <w:rPr>
                      <w:rFonts w:eastAsiaTheme="minorEastAsia"/>
                      <w14:ligatures w14:val="standardContextual"/>
                    </w:rPr>
                  </w:pPr>
                  <w:r>
                    <w:rPr>
                      <w:rFonts w:hint="eastAsia" w:eastAsiaTheme="minorEastAsia"/>
                      <w14:ligatures w14:val="standardContextual"/>
                    </w:rPr>
                    <w:t>厂界</w:t>
                  </w:r>
                </w:p>
              </w:tc>
              <w:tc>
                <w:tcPr>
                  <w:tcW w:w="765" w:type="pct"/>
                  <w:tcBorders>
                    <w:bottom w:val="single" w:color="auto" w:sz="12" w:space="0"/>
                  </w:tcBorders>
                  <w:vAlign w:val="center"/>
                </w:tcPr>
                <w:p w14:paraId="59AA6DB1">
                  <w:pPr>
                    <w:widowControl w:val="0"/>
                    <w:overflowPunct w:val="0"/>
                    <w:autoSpaceDE w:val="0"/>
                    <w:autoSpaceDN w:val="0"/>
                    <w:snapToGrid w:val="0"/>
                    <w:jc w:val="center"/>
                    <w:rPr>
                      <w14:ligatures w14:val="standardContextual"/>
                    </w:rPr>
                  </w:pPr>
                  <w:r>
                    <w:rPr>
                      <w:rFonts w:hint="eastAsia"/>
                      <w14:ligatures w14:val="standardContextual"/>
                    </w:rPr>
                    <w:t>1次/年</w:t>
                  </w:r>
                </w:p>
              </w:tc>
            </w:tr>
          </w:tbl>
          <w:p w14:paraId="6EAB7381">
            <w:pPr>
              <w:pStyle w:val="3"/>
              <w:ind w:firstLine="482"/>
              <w:rPr>
                <w:b/>
                <w:bCs/>
              </w:rPr>
            </w:pPr>
            <w:r>
              <w:rPr>
                <w:rFonts w:hint="eastAsia"/>
                <w:b/>
                <w:bCs/>
              </w:rPr>
              <w:t>6、大气环境影响评价结论</w:t>
            </w:r>
          </w:p>
          <w:p w14:paraId="5072339F">
            <w:pPr>
              <w:pStyle w:val="3"/>
              <w:ind w:firstLine="480"/>
            </w:pPr>
            <w:r>
              <w:rPr>
                <w:rFonts w:hint="eastAsia"/>
              </w:rPr>
              <w:t>本项目所在区域为达标区，厂界外500米范围内不存在环境空气保护</w:t>
            </w:r>
            <w:r>
              <w:rPr>
                <w:rFonts w:hint="eastAsia"/>
                <w:lang w:eastAsia="zh-CN"/>
              </w:rPr>
              <w:t>目标</w:t>
            </w:r>
            <w:r>
              <w:rPr>
                <w:rFonts w:hint="eastAsia"/>
              </w:rPr>
              <w:t>。本项目运营期间，生产废气主要为颗粒物。本项目废气均经治理后达标排放，排放浓度和排放量较低，因此本项目废气排放对周边环境影响可接受。</w:t>
            </w:r>
          </w:p>
          <w:p w14:paraId="30F4D48A">
            <w:pPr>
              <w:pStyle w:val="7"/>
            </w:pPr>
            <w:r>
              <w:rPr>
                <w:rFonts w:hint="eastAsia"/>
              </w:rPr>
              <w:t>二、废水</w:t>
            </w:r>
          </w:p>
          <w:p w14:paraId="6076292C">
            <w:pPr>
              <w:pStyle w:val="3"/>
              <w:ind w:firstLine="482"/>
              <w:rPr>
                <w:b/>
                <w:bCs/>
              </w:rPr>
            </w:pPr>
            <w:r>
              <w:rPr>
                <w:rFonts w:hint="eastAsia"/>
                <w:b/>
                <w:bCs/>
              </w:rPr>
              <w:t>1、废水产生及治理情况</w:t>
            </w:r>
          </w:p>
          <w:p w14:paraId="22E256B6">
            <w:pPr>
              <w:pStyle w:val="3"/>
              <w:ind w:firstLine="480"/>
            </w:pPr>
            <w:r>
              <w:rPr>
                <w:rFonts w:hint="eastAsia"/>
              </w:rPr>
              <w:t>根据建设项目工程分析章节水平衡分析可知：项目</w:t>
            </w:r>
            <w:bookmarkStart w:id="74" w:name="OLE_LINK247"/>
            <w:r>
              <w:rPr>
                <w:rFonts w:hint="eastAsia"/>
              </w:rPr>
              <w:t>运营期主要的废水污染为喷雾除尘废水、车辆清洗废水、初期雨水、生活污水。</w:t>
            </w:r>
            <w:bookmarkEnd w:id="74"/>
          </w:p>
          <w:p w14:paraId="6DBAE9F0">
            <w:pPr>
              <w:pStyle w:val="3"/>
              <w:ind w:firstLine="480"/>
            </w:pPr>
            <w:r>
              <w:rPr>
                <w:rFonts w:hint="eastAsia"/>
              </w:rPr>
              <w:t>喷雾除尘废水全部蒸发消耗无外排；车辆清洗废水经沉淀池收集沉淀后循环使用，不外排；初期雨水经沉淀池收集沉淀处理后用于场地洒水抑尘，不外排。生活污水经自建化粪池处理达标后</w:t>
            </w:r>
            <w:r>
              <w:rPr>
                <w:rFonts w:hint="eastAsia"/>
                <w:lang w:eastAsia="zh-CN"/>
              </w:rPr>
              <w:t>排入</w:t>
            </w:r>
            <w:r>
              <w:rPr>
                <w:rFonts w:hint="eastAsia"/>
              </w:rPr>
              <w:t>园区污水管网，送至大揽平处理厂处理达标后排放。</w:t>
            </w:r>
          </w:p>
          <w:p w14:paraId="3A0A6168">
            <w:pPr>
              <w:pStyle w:val="48"/>
            </w:pPr>
            <w:bookmarkStart w:id="75" w:name="_Ref173003040"/>
            <w:bookmarkStart w:id="76" w:name="_Ref176946665"/>
            <w:r>
              <w:rPr>
                <w:rFonts w:hint="eastAsia"/>
              </w:rPr>
              <w:t xml:space="preserve">表4- </w:t>
            </w:r>
            <w:r>
              <w:fldChar w:fldCharType="begin"/>
            </w:r>
            <w:r>
              <w:instrText xml:space="preserve"> </w:instrText>
            </w:r>
            <w:r>
              <w:rPr>
                <w:rFonts w:hint="eastAsia"/>
              </w:rPr>
              <w:instrText xml:space="preserve">SEQ 表4- \* ARABIC</w:instrText>
            </w:r>
            <w:r>
              <w:instrText xml:space="preserve"> </w:instrText>
            </w:r>
            <w:r>
              <w:fldChar w:fldCharType="separate"/>
            </w:r>
            <w:r>
              <w:t>8</w:t>
            </w:r>
            <w:r>
              <w:fldChar w:fldCharType="end"/>
            </w:r>
            <w:bookmarkEnd w:id="75"/>
            <w:r>
              <w:rPr>
                <w:rFonts w:hint="eastAsia"/>
              </w:rPr>
              <w:t>：废水产生治理排放情况一览表</w:t>
            </w:r>
            <w:bookmarkEnd w:id="76"/>
          </w:p>
          <w:tbl>
            <w:tblPr>
              <w:tblStyle w:val="49"/>
              <w:tblW w:w="79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555"/>
              <w:gridCol w:w="1169"/>
              <w:gridCol w:w="968"/>
              <w:gridCol w:w="902"/>
              <w:gridCol w:w="1271"/>
              <w:gridCol w:w="1121"/>
              <w:gridCol w:w="1033"/>
              <w:gridCol w:w="919"/>
            </w:tblGrid>
            <w:tr w14:paraId="4EDCF3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089" w:hRule="atLeast"/>
                <w:jc w:val="center"/>
              </w:trPr>
              <w:tc>
                <w:tcPr>
                  <w:tcW w:w="555" w:type="dxa"/>
                  <w:tcBorders>
                    <w:top w:val="single" w:color="auto" w:sz="12" w:space="0"/>
                    <w:left w:val="nil"/>
                    <w:bottom w:val="single" w:color="auto" w:sz="12" w:space="0"/>
                    <w:right w:val="single" w:color="auto" w:sz="4" w:space="0"/>
                    <w:insideH w:val="single" w:sz="12" w:space="0"/>
                    <w:insideV w:val="single" w:sz="4" w:space="0"/>
                    <w:tl2br w:val="nil"/>
                    <w:tr2bl w:val="nil"/>
                  </w:tcBorders>
                  <w:noWrap/>
                  <w:vAlign w:val="center"/>
                </w:tcPr>
                <w:p w14:paraId="57DD2727">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bookmarkStart w:id="77" w:name="_Hlk178502912"/>
                  <w:r>
                    <w:rPr>
                      <w:rFonts w:hint="eastAsia" w:ascii="Times New Roman" w:hAnsi="Times New Roman" w:eastAsia="宋体" w:cs="Times New Roman"/>
                      <w:b/>
                      <w:i w:val="0"/>
                      <w14:ligatures w14:val="standardContextual"/>
                    </w:rPr>
                    <w:t>类别</w:t>
                  </w:r>
                </w:p>
              </w:tc>
              <w:tc>
                <w:tcPr>
                  <w:tcW w:w="1169" w:type="dxa"/>
                  <w:tcBorders>
                    <w:top w:val="single" w:color="auto" w:sz="12" w:space="0"/>
                    <w:bottom w:val="single" w:color="auto" w:sz="12" w:space="0"/>
                    <w:right w:val="single" w:color="auto" w:sz="4" w:space="0"/>
                    <w:insideH w:val="single" w:sz="12" w:space="0"/>
                    <w:insideV w:val="single" w:sz="4" w:space="0"/>
                    <w:tl2br w:val="nil"/>
                    <w:tr2bl w:val="nil"/>
                  </w:tcBorders>
                  <w:noWrap/>
                  <w:vAlign w:val="center"/>
                </w:tcPr>
                <w:p w14:paraId="5A33D9B5">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污染物种类</w:t>
                  </w:r>
                </w:p>
              </w:tc>
              <w:tc>
                <w:tcPr>
                  <w:tcW w:w="968" w:type="dxa"/>
                  <w:tcBorders>
                    <w:top w:val="single" w:color="auto" w:sz="12" w:space="0"/>
                    <w:bottom w:val="single" w:color="auto" w:sz="12" w:space="0"/>
                    <w:right w:val="single" w:color="auto" w:sz="4" w:space="0"/>
                    <w:insideH w:val="single" w:sz="12" w:space="0"/>
                    <w:insideV w:val="single" w:sz="4" w:space="0"/>
                    <w:tl2br w:val="nil"/>
                    <w:tr2bl w:val="nil"/>
                  </w:tcBorders>
                  <w:noWrap/>
                  <w:vAlign w:val="center"/>
                </w:tcPr>
                <w:p w14:paraId="1233ED18">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产生浓度(</w:t>
                  </w:r>
                  <w:r>
                    <w:rPr>
                      <w:rFonts w:hint="default" w:ascii="Times New Roman" w:hAnsi="Times New Roman" w:eastAsia="宋体" w:cs="Times New Roman"/>
                      <w:b/>
                      <w:i w:val="0"/>
                      <w14:ligatures w14:val="standardContextual"/>
                    </w:rPr>
                    <w:t>mg/</w:t>
                  </w:r>
                  <w:r>
                    <w:rPr>
                      <w:rFonts w:hint="eastAsia" w:ascii="Times New Roman" w:hAnsi="Times New Roman" w:eastAsia="宋体" w:cs="Times New Roman"/>
                      <w:b/>
                      <w:i w:val="0"/>
                      <w14:ligatures w14:val="standardContextual"/>
                    </w:rPr>
                    <w:t>L)</w:t>
                  </w:r>
                </w:p>
              </w:tc>
              <w:tc>
                <w:tcPr>
                  <w:tcW w:w="902"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6D1B5A41">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产生量（</w:t>
                  </w:r>
                  <w:r>
                    <w:rPr>
                      <w:rFonts w:hint="default" w:ascii="Times New Roman" w:hAnsi="Times New Roman" w:eastAsia="宋体" w:cs="Times New Roman"/>
                      <w:b/>
                      <w:i w:val="0"/>
                      <w14:ligatures w14:val="standardContextual"/>
                    </w:rPr>
                    <w:t>t/a</w:t>
                  </w:r>
                  <w:r>
                    <w:rPr>
                      <w:rFonts w:hint="eastAsia" w:ascii="Times New Roman" w:hAnsi="Times New Roman" w:eastAsia="宋体" w:cs="Times New Roman"/>
                      <w:b/>
                      <w:i w:val="0"/>
                      <w14:ligatures w14:val="standardContextual"/>
                    </w:rPr>
                    <w:t>）</w:t>
                  </w:r>
                </w:p>
              </w:tc>
              <w:tc>
                <w:tcPr>
                  <w:tcW w:w="1271"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4D6253B8">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治理设施及效率</w:t>
                  </w:r>
                </w:p>
              </w:tc>
              <w:tc>
                <w:tcPr>
                  <w:tcW w:w="1121"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3D7587F9">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排放浓度（</w:t>
                  </w:r>
                  <w:r>
                    <w:rPr>
                      <w:rFonts w:hint="default" w:ascii="Times New Roman" w:hAnsi="Times New Roman" w:eastAsia="宋体" w:cs="Times New Roman"/>
                      <w:b/>
                      <w:i w:val="0"/>
                      <w14:ligatures w14:val="standardContextual"/>
                    </w:rPr>
                    <w:t>mg/</w:t>
                  </w:r>
                  <w:r>
                    <w:rPr>
                      <w:rFonts w:hint="eastAsia" w:ascii="Times New Roman" w:hAnsi="Times New Roman" w:eastAsia="宋体" w:cs="Times New Roman"/>
                      <w:b/>
                      <w:i w:val="0"/>
                      <w14:ligatures w14:val="standardContextual"/>
                    </w:rPr>
                    <w:t>L）</w:t>
                  </w:r>
                </w:p>
              </w:tc>
              <w:tc>
                <w:tcPr>
                  <w:tcW w:w="1033"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60EE36A5">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排放量（</w:t>
                  </w:r>
                  <w:r>
                    <w:rPr>
                      <w:rFonts w:hint="default" w:ascii="Times New Roman" w:hAnsi="Times New Roman" w:eastAsia="宋体" w:cs="Times New Roman"/>
                      <w:b/>
                      <w:i w:val="0"/>
                      <w14:ligatures w14:val="standardContextual"/>
                    </w:rPr>
                    <w:t>t/a</w:t>
                  </w:r>
                  <w:r>
                    <w:rPr>
                      <w:rFonts w:hint="eastAsia" w:ascii="Times New Roman" w:hAnsi="Times New Roman" w:eastAsia="宋体" w:cs="Times New Roman"/>
                      <w:b/>
                      <w:i w:val="0"/>
                      <w14:ligatures w14:val="standardContextual"/>
                    </w:rPr>
                    <w:t>）</w:t>
                  </w:r>
                </w:p>
              </w:tc>
              <w:tc>
                <w:tcPr>
                  <w:tcW w:w="919" w:type="dxa"/>
                  <w:tcBorders>
                    <w:top w:val="single" w:color="auto" w:sz="12" w:space="0"/>
                    <w:bottom w:val="single" w:color="auto" w:sz="12" w:space="0"/>
                    <w:right w:val="nil"/>
                    <w:insideH w:val="single" w:sz="12" w:space="0"/>
                    <w:insideV w:val="single" w:sz="4" w:space="0"/>
                    <w:tl2br w:val="nil"/>
                    <w:tr2bl w:val="nil"/>
                  </w:tcBorders>
                  <w:vAlign w:val="center"/>
                </w:tcPr>
                <w:p w14:paraId="2DB333F4">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排放标准</w:t>
                  </w:r>
                </w:p>
              </w:tc>
            </w:tr>
            <w:tr w14:paraId="4E4A1F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55" w:type="dxa"/>
                  <w:vMerge w:val="restart"/>
                  <w:vAlign w:val="center"/>
                </w:tcPr>
                <w:p w14:paraId="7AC4EE26">
                  <w:pPr>
                    <w:widowControl w:val="0"/>
                    <w:overflowPunct w:val="0"/>
                    <w:autoSpaceDE w:val="0"/>
                    <w:autoSpaceDN w:val="0"/>
                    <w:snapToGrid w:val="0"/>
                    <w:jc w:val="center"/>
                    <w:rPr>
                      <w14:ligatures w14:val="standardContextual"/>
                    </w:rPr>
                  </w:pPr>
                  <w:r>
                    <w:rPr>
                      <w:rFonts w:hint="eastAsia"/>
                      <w14:ligatures w14:val="standardContextual"/>
                    </w:rPr>
                    <w:t>生活污水</w:t>
                  </w:r>
                </w:p>
              </w:tc>
              <w:tc>
                <w:tcPr>
                  <w:tcW w:w="1169" w:type="dxa"/>
                  <w:noWrap/>
                  <w:vAlign w:val="center"/>
                </w:tcPr>
                <w:p w14:paraId="6FF113C6">
                  <w:pPr>
                    <w:widowControl w:val="0"/>
                    <w:overflowPunct w:val="0"/>
                    <w:autoSpaceDE w:val="0"/>
                    <w:autoSpaceDN w:val="0"/>
                    <w:snapToGrid w:val="0"/>
                    <w:jc w:val="center"/>
                    <w:rPr>
                      <w14:ligatures w14:val="standardContextual"/>
                    </w:rPr>
                  </w:pPr>
                  <w:r>
                    <w:rPr>
                      <w:rFonts w:hint="eastAsia"/>
                      <w14:ligatures w14:val="standardContextual"/>
                    </w:rPr>
                    <w:t>水量</w:t>
                  </w:r>
                </w:p>
              </w:tc>
              <w:tc>
                <w:tcPr>
                  <w:tcW w:w="968" w:type="dxa"/>
                  <w:noWrap/>
                  <w:vAlign w:val="center"/>
                </w:tcPr>
                <w:p w14:paraId="0E908965">
                  <w:pPr>
                    <w:widowControl w:val="0"/>
                    <w:overflowPunct w:val="0"/>
                    <w:autoSpaceDE w:val="0"/>
                    <w:autoSpaceDN w:val="0"/>
                    <w:snapToGrid w:val="0"/>
                    <w:jc w:val="center"/>
                    <w:rPr>
                      <w14:ligatures w14:val="standardContextual"/>
                    </w:rPr>
                  </w:pPr>
                  <w:r>
                    <w:rPr>
                      <w:rFonts w:hint="eastAsia"/>
                      <w14:ligatures w14:val="standardContextual"/>
                    </w:rPr>
                    <w:t>/</w:t>
                  </w:r>
                </w:p>
              </w:tc>
              <w:tc>
                <w:tcPr>
                  <w:tcW w:w="902" w:type="dxa"/>
                  <w:noWrap/>
                  <w:vAlign w:val="center"/>
                </w:tcPr>
                <w:p w14:paraId="59F3A1E9">
                  <w:pPr>
                    <w:widowControl w:val="0"/>
                    <w:overflowPunct w:val="0"/>
                    <w:autoSpaceDE w:val="0"/>
                    <w:autoSpaceDN w:val="0"/>
                    <w:snapToGrid w:val="0"/>
                    <w:jc w:val="center"/>
                    <w:rPr>
                      <w14:ligatures w14:val="standardContextual"/>
                    </w:rPr>
                  </w:pPr>
                  <w:r>
                    <w:rPr>
                      <w:rFonts w:hint="eastAsia"/>
                      <w14:ligatures w14:val="standardContextual"/>
                    </w:rPr>
                    <w:t xml:space="preserve">72 </w:t>
                  </w:r>
                </w:p>
              </w:tc>
              <w:tc>
                <w:tcPr>
                  <w:tcW w:w="1271" w:type="dxa"/>
                  <w:noWrap/>
                  <w:vAlign w:val="center"/>
                </w:tcPr>
                <w:p w14:paraId="729746A7">
                  <w:pPr>
                    <w:widowControl w:val="0"/>
                    <w:overflowPunct w:val="0"/>
                    <w:autoSpaceDE w:val="0"/>
                    <w:autoSpaceDN w:val="0"/>
                    <w:snapToGrid w:val="0"/>
                    <w:jc w:val="center"/>
                    <w:rPr>
                      <w14:ligatures w14:val="standardContextual"/>
                    </w:rPr>
                  </w:pPr>
                  <w:r>
                    <w:rPr>
                      <w:rFonts w:hint="eastAsia"/>
                      <w14:ligatures w14:val="standardContextual"/>
                    </w:rPr>
                    <w:t>化粪池（1t/d）</w:t>
                  </w:r>
                </w:p>
              </w:tc>
              <w:tc>
                <w:tcPr>
                  <w:tcW w:w="1121" w:type="dxa"/>
                  <w:vAlign w:val="center"/>
                </w:tcPr>
                <w:p w14:paraId="307E5ACC">
                  <w:pPr>
                    <w:widowControl w:val="0"/>
                    <w:overflowPunct w:val="0"/>
                    <w:autoSpaceDE w:val="0"/>
                    <w:autoSpaceDN w:val="0"/>
                    <w:snapToGrid w:val="0"/>
                    <w:jc w:val="center"/>
                    <w:rPr>
                      <w14:ligatures w14:val="standardContextual"/>
                    </w:rPr>
                  </w:pPr>
                  <w:r>
                    <w:rPr>
                      <w14:ligatures w14:val="standardContextual"/>
                    </w:rPr>
                    <w:t>/</w:t>
                  </w:r>
                </w:p>
              </w:tc>
              <w:tc>
                <w:tcPr>
                  <w:tcW w:w="1033" w:type="dxa"/>
                  <w:vAlign w:val="center"/>
                </w:tcPr>
                <w:p w14:paraId="7A6E0DC3">
                  <w:pPr>
                    <w:widowControl w:val="0"/>
                    <w:overflowPunct w:val="0"/>
                    <w:autoSpaceDE w:val="0"/>
                    <w:autoSpaceDN w:val="0"/>
                    <w:snapToGrid w:val="0"/>
                    <w:jc w:val="center"/>
                    <w:rPr>
                      <w14:ligatures w14:val="standardContextual"/>
                    </w:rPr>
                  </w:pPr>
                  <w:r>
                    <w:rPr>
                      <w14:ligatures w14:val="standardContextual"/>
                    </w:rPr>
                    <w:t>72</w:t>
                  </w:r>
                </w:p>
              </w:tc>
              <w:tc>
                <w:tcPr>
                  <w:tcW w:w="919" w:type="dxa"/>
                  <w:vAlign w:val="center"/>
                </w:tcPr>
                <w:p w14:paraId="6B12E0E2">
                  <w:pPr>
                    <w:widowControl w:val="0"/>
                    <w:overflowPunct w:val="0"/>
                    <w:autoSpaceDE w:val="0"/>
                    <w:autoSpaceDN w:val="0"/>
                    <w:snapToGrid w:val="0"/>
                    <w:jc w:val="center"/>
                    <w:rPr>
                      <w14:ligatures w14:val="standardContextual"/>
                    </w:rPr>
                  </w:pPr>
                  <w:r>
                    <w:rPr>
                      <w14:ligatures w14:val="standardContextual"/>
                    </w:rPr>
                    <w:t>/</w:t>
                  </w:r>
                </w:p>
              </w:tc>
            </w:tr>
            <w:tr w14:paraId="3B0A5A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55" w:type="dxa"/>
                  <w:vMerge w:val="continue"/>
                  <w:vAlign w:val="center"/>
                </w:tcPr>
                <w:p w14:paraId="1EEA43AE">
                  <w:pPr>
                    <w:widowControl w:val="0"/>
                    <w:overflowPunct w:val="0"/>
                    <w:autoSpaceDE w:val="0"/>
                    <w:autoSpaceDN w:val="0"/>
                    <w:snapToGrid w:val="0"/>
                    <w:jc w:val="center"/>
                    <w:rPr>
                      <w14:ligatures w14:val="standardContextual"/>
                    </w:rPr>
                  </w:pPr>
                </w:p>
              </w:tc>
              <w:tc>
                <w:tcPr>
                  <w:tcW w:w="1169" w:type="dxa"/>
                  <w:noWrap/>
                  <w:vAlign w:val="center"/>
                </w:tcPr>
                <w:p w14:paraId="1C33294E">
                  <w:pPr>
                    <w:widowControl w:val="0"/>
                    <w:overflowPunct w:val="0"/>
                    <w:autoSpaceDE w:val="0"/>
                    <w:autoSpaceDN w:val="0"/>
                    <w:snapToGrid w:val="0"/>
                    <w:jc w:val="center"/>
                    <w:rPr>
                      <w14:ligatures w14:val="standardContextual"/>
                    </w:rPr>
                  </w:pPr>
                  <w:r>
                    <w:rPr>
                      <w14:ligatures w14:val="standardContextual"/>
                    </w:rPr>
                    <w:t>COD</w:t>
                  </w:r>
                </w:p>
              </w:tc>
              <w:tc>
                <w:tcPr>
                  <w:tcW w:w="968" w:type="dxa"/>
                  <w:noWrap/>
                  <w:vAlign w:val="center"/>
                </w:tcPr>
                <w:p w14:paraId="71C45210">
                  <w:pPr>
                    <w:widowControl w:val="0"/>
                    <w:overflowPunct w:val="0"/>
                    <w:autoSpaceDE w:val="0"/>
                    <w:autoSpaceDN w:val="0"/>
                    <w:snapToGrid w:val="0"/>
                    <w:jc w:val="center"/>
                    <w:rPr>
                      <w14:ligatures w14:val="standardContextual"/>
                    </w:rPr>
                  </w:pPr>
                  <w:r>
                    <w:rPr>
                      <w14:ligatures w14:val="standardContextual"/>
                    </w:rPr>
                    <w:t>250</w:t>
                  </w:r>
                </w:p>
              </w:tc>
              <w:tc>
                <w:tcPr>
                  <w:tcW w:w="902" w:type="dxa"/>
                  <w:noWrap/>
                  <w:vAlign w:val="center"/>
                </w:tcPr>
                <w:p w14:paraId="138D2544">
                  <w:pPr>
                    <w:widowControl w:val="0"/>
                    <w:overflowPunct w:val="0"/>
                    <w:autoSpaceDE w:val="0"/>
                    <w:autoSpaceDN w:val="0"/>
                    <w:snapToGrid w:val="0"/>
                    <w:jc w:val="center"/>
                    <w:rPr>
                      <w14:ligatures w14:val="standardContextual"/>
                    </w:rPr>
                  </w:pPr>
                  <w:r>
                    <w:rPr>
                      <w14:ligatures w14:val="standardContextual"/>
                    </w:rPr>
                    <w:t>0.018</w:t>
                  </w:r>
                </w:p>
              </w:tc>
              <w:tc>
                <w:tcPr>
                  <w:tcW w:w="1271" w:type="dxa"/>
                  <w:noWrap/>
                  <w:vAlign w:val="center"/>
                </w:tcPr>
                <w:p w14:paraId="28DB5DB9">
                  <w:pPr>
                    <w:widowControl w:val="0"/>
                    <w:overflowPunct w:val="0"/>
                    <w:autoSpaceDE w:val="0"/>
                    <w:autoSpaceDN w:val="0"/>
                    <w:snapToGrid w:val="0"/>
                    <w:jc w:val="center"/>
                    <w:rPr>
                      <w14:ligatures w14:val="standardContextual"/>
                    </w:rPr>
                  </w:pPr>
                  <w:r>
                    <w:rPr>
                      <w14:ligatures w14:val="standardContextual"/>
                    </w:rPr>
                    <w:t>43%</w:t>
                  </w:r>
                </w:p>
              </w:tc>
              <w:tc>
                <w:tcPr>
                  <w:tcW w:w="1121" w:type="dxa"/>
                  <w:vAlign w:val="center"/>
                </w:tcPr>
                <w:p w14:paraId="02A748A5">
                  <w:pPr>
                    <w:widowControl w:val="0"/>
                    <w:overflowPunct w:val="0"/>
                    <w:autoSpaceDE w:val="0"/>
                    <w:autoSpaceDN w:val="0"/>
                    <w:snapToGrid w:val="0"/>
                    <w:jc w:val="center"/>
                    <w:rPr>
                      <w14:ligatures w14:val="standardContextual"/>
                    </w:rPr>
                  </w:pPr>
                  <w:r>
                    <w:rPr>
                      <w14:ligatures w14:val="standardContextual"/>
                    </w:rPr>
                    <w:t>142.5</w:t>
                  </w:r>
                </w:p>
              </w:tc>
              <w:tc>
                <w:tcPr>
                  <w:tcW w:w="1033" w:type="dxa"/>
                  <w:vAlign w:val="center"/>
                </w:tcPr>
                <w:p w14:paraId="669A8B86">
                  <w:pPr>
                    <w:widowControl w:val="0"/>
                    <w:overflowPunct w:val="0"/>
                    <w:autoSpaceDE w:val="0"/>
                    <w:autoSpaceDN w:val="0"/>
                    <w:snapToGrid w:val="0"/>
                    <w:jc w:val="center"/>
                    <w:rPr>
                      <w:b/>
                      <w:bCs/>
                      <w14:ligatures w14:val="standardContextual"/>
                    </w:rPr>
                  </w:pPr>
                  <w:r>
                    <w:rPr>
                      <w:b/>
                      <w:bCs/>
                      <w14:ligatures w14:val="standardContextual"/>
                    </w:rPr>
                    <w:t>0.01</w:t>
                  </w:r>
                </w:p>
              </w:tc>
              <w:tc>
                <w:tcPr>
                  <w:tcW w:w="919" w:type="dxa"/>
                  <w:vAlign w:val="center"/>
                </w:tcPr>
                <w:p w14:paraId="51E78C9E">
                  <w:pPr>
                    <w:widowControl w:val="0"/>
                    <w:overflowPunct w:val="0"/>
                    <w:autoSpaceDE w:val="0"/>
                    <w:autoSpaceDN w:val="0"/>
                    <w:snapToGrid w:val="0"/>
                    <w:jc w:val="center"/>
                    <w:rPr>
                      <w14:ligatures w14:val="standardContextual"/>
                    </w:rPr>
                  </w:pPr>
                  <w:r>
                    <w:rPr>
                      <w:rFonts w:hint="eastAsia"/>
                      <w14:ligatures w14:val="standardContextual"/>
                    </w:rPr>
                    <w:t>500</w:t>
                  </w:r>
                </w:p>
              </w:tc>
            </w:tr>
            <w:tr w14:paraId="371114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55" w:type="dxa"/>
                  <w:vMerge w:val="continue"/>
                  <w:vAlign w:val="center"/>
                </w:tcPr>
                <w:p w14:paraId="24DCC8AC">
                  <w:pPr>
                    <w:widowControl w:val="0"/>
                    <w:overflowPunct w:val="0"/>
                    <w:autoSpaceDE w:val="0"/>
                    <w:autoSpaceDN w:val="0"/>
                    <w:snapToGrid w:val="0"/>
                    <w:jc w:val="center"/>
                    <w:rPr>
                      <w14:ligatures w14:val="standardContextual"/>
                    </w:rPr>
                  </w:pPr>
                </w:p>
              </w:tc>
              <w:tc>
                <w:tcPr>
                  <w:tcW w:w="1169" w:type="dxa"/>
                  <w:noWrap/>
                  <w:vAlign w:val="center"/>
                </w:tcPr>
                <w:p w14:paraId="450B2688">
                  <w:pPr>
                    <w:widowControl w:val="0"/>
                    <w:overflowPunct w:val="0"/>
                    <w:autoSpaceDE w:val="0"/>
                    <w:autoSpaceDN w:val="0"/>
                    <w:snapToGrid w:val="0"/>
                    <w:jc w:val="center"/>
                    <w:rPr>
                      <w14:ligatures w14:val="standardContextual"/>
                    </w:rPr>
                  </w:pPr>
                  <w:r>
                    <w:rPr>
                      <w14:ligatures w14:val="standardContextual"/>
                    </w:rPr>
                    <w:t>BOD</w:t>
                  </w:r>
                  <w:r>
                    <w:rPr>
                      <w:vertAlign w:val="subscript"/>
                      <w14:ligatures w14:val="standardContextual"/>
                    </w:rPr>
                    <w:t>5</w:t>
                  </w:r>
                </w:p>
              </w:tc>
              <w:tc>
                <w:tcPr>
                  <w:tcW w:w="968" w:type="dxa"/>
                  <w:noWrap/>
                  <w:vAlign w:val="center"/>
                </w:tcPr>
                <w:p w14:paraId="57D20426">
                  <w:pPr>
                    <w:widowControl w:val="0"/>
                    <w:overflowPunct w:val="0"/>
                    <w:autoSpaceDE w:val="0"/>
                    <w:autoSpaceDN w:val="0"/>
                    <w:snapToGrid w:val="0"/>
                    <w:jc w:val="center"/>
                    <w:rPr>
                      <w14:ligatures w14:val="standardContextual"/>
                    </w:rPr>
                  </w:pPr>
                  <w:r>
                    <w:rPr>
                      <w14:ligatures w14:val="standardContextual"/>
                    </w:rPr>
                    <w:t>100</w:t>
                  </w:r>
                </w:p>
              </w:tc>
              <w:tc>
                <w:tcPr>
                  <w:tcW w:w="902" w:type="dxa"/>
                  <w:noWrap/>
                  <w:vAlign w:val="center"/>
                </w:tcPr>
                <w:p w14:paraId="2EF6105B">
                  <w:pPr>
                    <w:widowControl w:val="0"/>
                    <w:overflowPunct w:val="0"/>
                    <w:autoSpaceDE w:val="0"/>
                    <w:autoSpaceDN w:val="0"/>
                    <w:snapToGrid w:val="0"/>
                    <w:jc w:val="center"/>
                    <w:rPr>
                      <w14:ligatures w14:val="standardContextual"/>
                    </w:rPr>
                  </w:pPr>
                  <w:r>
                    <w:rPr>
                      <w14:ligatures w14:val="standardContextual"/>
                    </w:rPr>
                    <w:t>0.007</w:t>
                  </w:r>
                </w:p>
              </w:tc>
              <w:tc>
                <w:tcPr>
                  <w:tcW w:w="1271" w:type="dxa"/>
                  <w:noWrap/>
                  <w:vAlign w:val="center"/>
                </w:tcPr>
                <w:p w14:paraId="30DE31C6">
                  <w:pPr>
                    <w:widowControl w:val="0"/>
                    <w:overflowPunct w:val="0"/>
                    <w:autoSpaceDE w:val="0"/>
                    <w:autoSpaceDN w:val="0"/>
                    <w:snapToGrid w:val="0"/>
                    <w:jc w:val="center"/>
                    <w:rPr>
                      <w14:ligatures w14:val="standardContextual"/>
                    </w:rPr>
                  </w:pPr>
                  <w:r>
                    <w:rPr>
                      <w14:ligatures w14:val="standardContextual"/>
                    </w:rPr>
                    <w:t>50%</w:t>
                  </w:r>
                </w:p>
              </w:tc>
              <w:tc>
                <w:tcPr>
                  <w:tcW w:w="1121" w:type="dxa"/>
                  <w:vAlign w:val="center"/>
                </w:tcPr>
                <w:p w14:paraId="5728540B">
                  <w:pPr>
                    <w:widowControl w:val="0"/>
                    <w:overflowPunct w:val="0"/>
                    <w:autoSpaceDE w:val="0"/>
                    <w:autoSpaceDN w:val="0"/>
                    <w:snapToGrid w:val="0"/>
                    <w:jc w:val="center"/>
                    <w:rPr>
                      <w14:ligatures w14:val="standardContextual"/>
                    </w:rPr>
                  </w:pPr>
                  <w:r>
                    <w:rPr>
                      <w14:ligatures w14:val="standardContextual"/>
                    </w:rPr>
                    <w:t>50.0</w:t>
                  </w:r>
                </w:p>
              </w:tc>
              <w:tc>
                <w:tcPr>
                  <w:tcW w:w="1033" w:type="dxa"/>
                  <w:vAlign w:val="center"/>
                </w:tcPr>
                <w:p w14:paraId="412CFF0A">
                  <w:pPr>
                    <w:widowControl w:val="0"/>
                    <w:overflowPunct w:val="0"/>
                    <w:autoSpaceDE w:val="0"/>
                    <w:autoSpaceDN w:val="0"/>
                    <w:snapToGrid w:val="0"/>
                    <w:jc w:val="center"/>
                    <w:rPr>
                      <w14:ligatures w14:val="standardContextual"/>
                    </w:rPr>
                  </w:pPr>
                  <w:r>
                    <w:rPr>
                      <w14:ligatures w14:val="standardContextual"/>
                    </w:rPr>
                    <w:t>0.004</w:t>
                  </w:r>
                </w:p>
              </w:tc>
              <w:tc>
                <w:tcPr>
                  <w:tcW w:w="919" w:type="dxa"/>
                  <w:vAlign w:val="center"/>
                </w:tcPr>
                <w:p w14:paraId="764102B0">
                  <w:pPr>
                    <w:widowControl w:val="0"/>
                    <w:overflowPunct w:val="0"/>
                    <w:autoSpaceDE w:val="0"/>
                    <w:autoSpaceDN w:val="0"/>
                    <w:snapToGrid w:val="0"/>
                    <w:jc w:val="center"/>
                    <w:rPr>
                      <w14:ligatures w14:val="standardContextual"/>
                    </w:rPr>
                  </w:pPr>
                  <w:r>
                    <w:rPr>
                      <w:rFonts w:hint="eastAsia"/>
                      <w14:ligatures w14:val="standardContextual"/>
                    </w:rPr>
                    <w:t>20</w:t>
                  </w:r>
                  <w:r>
                    <w:rPr>
                      <w14:ligatures w14:val="standardContextual"/>
                    </w:rPr>
                    <w:t>0</w:t>
                  </w:r>
                </w:p>
              </w:tc>
            </w:tr>
            <w:tr w14:paraId="6B058A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55" w:type="dxa"/>
                  <w:vMerge w:val="continue"/>
                  <w:vAlign w:val="center"/>
                </w:tcPr>
                <w:p w14:paraId="41CC74EC">
                  <w:pPr>
                    <w:widowControl w:val="0"/>
                    <w:overflowPunct w:val="0"/>
                    <w:autoSpaceDE w:val="0"/>
                    <w:autoSpaceDN w:val="0"/>
                    <w:snapToGrid w:val="0"/>
                    <w:jc w:val="center"/>
                    <w:rPr>
                      <w14:ligatures w14:val="standardContextual"/>
                    </w:rPr>
                  </w:pPr>
                </w:p>
              </w:tc>
              <w:tc>
                <w:tcPr>
                  <w:tcW w:w="1169" w:type="dxa"/>
                  <w:noWrap/>
                  <w:vAlign w:val="center"/>
                </w:tcPr>
                <w:p w14:paraId="5BAE6563">
                  <w:pPr>
                    <w:widowControl w:val="0"/>
                    <w:overflowPunct w:val="0"/>
                    <w:autoSpaceDE w:val="0"/>
                    <w:autoSpaceDN w:val="0"/>
                    <w:snapToGrid w:val="0"/>
                    <w:jc w:val="center"/>
                    <w:rPr>
                      <w14:ligatures w14:val="standardContextual"/>
                    </w:rPr>
                  </w:pPr>
                  <w:r>
                    <w:rPr>
                      <w14:ligatures w14:val="standardContextual"/>
                    </w:rPr>
                    <w:t>SS</w:t>
                  </w:r>
                </w:p>
              </w:tc>
              <w:tc>
                <w:tcPr>
                  <w:tcW w:w="968" w:type="dxa"/>
                  <w:noWrap/>
                  <w:vAlign w:val="center"/>
                </w:tcPr>
                <w:p w14:paraId="4C747722">
                  <w:pPr>
                    <w:widowControl w:val="0"/>
                    <w:overflowPunct w:val="0"/>
                    <w:autoSpaceDE w:val="0"/>
                    <w:autoSpaceDN w:val="0"/>
                    <w:snapToGrid w:val="0"/>
                    <w:jc w:val="center"/>
                    <w:rPr>
                      <w14:ligatures w14:val="standardContextual"/>
                    </w:rPr>
                  </w:pPr>
                  <w:r>
                    <w:rPr>
                      <w14:ligatures w14:val="standardContextual"/>
                    </w:rPr>
                    <w:t>150</w:t>
                  </w:r>
                </w:p>
              </w:tc>
              <w:tc>
                <w:tcPr>
                  <w:tcW w:w="902" w:type="dxa"/>
                  <w:noWrap/>
                  <w:vAlign w:val="center"/>
                </w:tcPr>
                <w:p w14:paraId="2B0B29F8">
                  <w:pPr>
                    <w:widowControl w:val="0"/>
                    <w:overflowPunct w:val="0"/>
                    <w:autoSpaceDE w:val="0"/>
                    <w:autoSpaceDN w:val="0"/>
                    <w:snapToGrid w:val="0"/>
                    <w:jc w:val="center"/>
                    <w:rPr>
                      <w14:ligatures w14:val="standardContextual"/>
                    </w:rPr>
                  </w:pPr>
                  <w:r>
                    <w:rPr>
                      <w14:ligatures w14:val="standardContextual"/>
                    </w:rPr>
                    <w:t>0.011</w:t>
                  </w:r>
                </w:p>
              </w:tc>
              <w:tc>
                <w:tcPr>
                  <w:tcW w:w="1271" w:type="dxa"/>
                  <w:noWrap/>
                  <w:vAlign w:val="center"/>
                </w:tcPr>
                <w:p w14:paraId="6655E808">
                  <w:pPr>
                    <w:widowControl w:val="0"/>
                    <w:overflowPunct w:val="0"/>
                    <w:autoSpaceDE w:val="0"/>
                    <w:autoSpaceDN w:val="0"/>
                    <w:snapToGrid w:val="0"/>
                    <w:jc w:val="center"/>
                    <w:rPr>
                      <w14:ligatures w14:val="standardContextual"/>
                    </w:rPr>
                  </w:pPr>
                  <w:r>
                    <w:rPr>
                      <w14:ligatures w14:val="standardContextual"/>
                    </w:rPr>
                    <w:t>55%</w:t>
                  </w:r>
                </w:p>
              </w:tc>
              <w:tc>
                <w:tcPr>
                  <w:tcW w:w="1121" w:type="dxa"/>
                  <w:vAlign w:val="center"/>
                </w:tcPr>
                <w:p w14:paraId="08B36C0D">
                  <w:pPr>
                    <w:widowControl w:val="0"/>
                    <w:overflowPunct w:val="0"/>
                    <w:autoSpaceDE w:val="0"/>
                    <w:autoSpaceDN w:val="0"/>
                    <w:snapToGrid w:val="0"/>
                    <w:jc w:val="center"/>
                    <w:rPr>
                      <w14:ligatures w14:val="standardContextual"/>
                    </w:rPr>
                  </w:pPr>
                  <w:r>
                    <w:rPr>
                      <w14:ligatures w14:val="standardContextual"/>
                    </w:rPr>
                    <w:t>67.5</w:t>
                  </w:r>
                </w:p>
              </w:tc>
              <w:tc>
                <w:tcPr>
                  <w:tcW w:w="1033" w:type="dxa"/>
                  <w:vAlign w:val="center"/>
                </w:tcPr>
                <w:p w14:paraId="6644ECD6">
                  <w:pPr>
                    <w:widowControl w:val="0"/>
                    <w:overflowPunct w:val="0"/>
                    <w:autoSpaceDE w:val="0"/>
                    <w:autoSpaceDN w:val="0"/>
                    <w:snapToGrid w:val="0"/>
                    <w:jc w:val="center"/>
                    <w:rPr>
                      <w14:ligatures w14:val="standardContextual"/>
                    </w:rPr>
                  </w:pPr>
                  <w:r>
                    <w:rPr>
                      <w14:ligatures w14:val="standardContextual"/>
                    </w:rPr>
                    <w:t>0.005</w:t>
                  </w:r>
                </w:p>
              </w:tc>
              <w:tc>
                <w:tcPr>
                  <w:tcW w:w="919" w:type="dxa"/>
                  <w:vAlign w:val="center"/>
                </w:tcPr>
                <w:p w14:paraId="7D3EBDD5">
                  <w:pPr>
                    <w:widowControl w:val="0"/>
                    <w:overflowPunct w:val="0"/>
                    <w:autoSpaceDE w:val="0"/>
                    <w:autoSpaceDN w:val="0"/>
                    <w:snapToGrid w:val="0"/>
                    <w:jc w:val="center"/>
                    <w:rPr>
                      <w14:ligatures w14:val="standardContextual"/>
                    </w:rPr>
                  </w:pPr>
                  <w:r>
                    <w:rPr>
                      <w:rFonts w:hint="eastAsia"/>
                      <w14:ligatures w14:val="standardContextual"/>
                    </w:rPr>
                    <w:t>3</w:t>
                  </w:r>
                  <w:r>
                    <w:rPr>
                      <w14:ligatures w14:val="standardContextual"/>
                    </w:rPr>
                    <w:t>00</w:t>
                  </w:r>
                </w:p>
              </w:tc>
            </w:tr>
            <w:tr w14:paraId="12CB00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55" w:type="dxa"/>
                  <w:vMerge w:val="continue"/>
                  <w:vAlign w:val="center"/>
                </w:tcPr>
                <w:p w14:paraId="566657D6">
                  <w:pPr>
                    <w:widowControl w:val="0"/>
                    <w:overflowPunct w:val="0"/>
                    <w:autoSpaceDE w:val="0"/>
                    <w:autoSpaceDN w:val="0"/>
                    <w:snapToGrid w:val="0"/>
                    <w:jc w:val="center"/>
                    <w:rPr>
                      <w14:ligatures w14:val="standardContextual"/>
                    </w:rPr>
                  </w:pPr>
                </w:p>
              </w:tc>
              <w:tc>
                <w:tcPr>
                  <w:tcW w:w="1169" w:type="dxa"/>
                  <w:noWrap/>
                  <w:vAlign w:val="center"/>
                </w:tcPr>
                <w:p w14:paraId="2F449FC2">
                  <w:pPr>
                    <w:widowControl w:val="0"/>
                    <w:overflowPunct w:val="0"/>
                    <w:autoSpaceDE w:val="0"/>
                    <w:autoSpaceDN w:val="0"/>
                    <w:snapToGrid w:val="0"/>
                    <w:jc w:val="center"/>
                    <w:rPr>
                      <w14:ligatures w14:val="standardContextual"/>
                    </w:rPr>
                  </w:pPr>
                  <w:r>
                    <w:rPr>
                      <w:rFonts w:hint="eastAsia"/>
                      <w14:ligatures w14:val="standardContextual"/>
                    </w:rPr>
                    <w:t>氨氮</w:t>
                  </w:r>
                </w:p>
              </w:tc>
              <w:tc>
                <w:tcPr>
                  <w:tcW w:w="968" w:type="dxa"/>
                  <w:noWrap/>
                  <w:vAlign w:val="center"/>
                </w:tcPr>
                <w:p w14:paraId="76B1A858">
                  <w:pPr>
                    <w:widowControl w:val="0"/>
                    <w:overflowPunct w:val="0"/>
                    <w:autoSpaceDE w:val="0"/>
                    <w:autoSpaceDN w:val="0"/>
                    <w:snapToGrid w:val="0"/>
                    <w:jc w:val="center"/>
                    <w:rPr>
                      <w14:ligatures w14:val="standardContextual"/>
                    </w:rPr>
                  </w:pPr>
                  <w:r>
                    <w:rPr>
                      <w14:ligatures w14:val="standardContextual"/>
                    </w:rPr>
                    <w:t>12</w:t>
                  </w:r>
                </w:p>
              </w:tc>
              <w:tc>
                <w:tcPr>
                  <w:tcW w:w="902" w:type="dxa"/>
                  <w:noWrap/>
                  <w:vAlign w:val="center"/>
                </w:tcPr>
                <w:p w14:paraId="18943421">
                  <w:pPr>
                    <w:widowControl w:val="0"/>
                    <w:overflowPunct w:val="0"/>
                    <w:autoSpaceDE w:val="0"/>
                    <w:autoSpaceDN w:val="0"/>
                    <w:snapToGrid w:val="0"/>
                    <w:jc w:val="center"/>
                    <w:rPr>
                      <w14:ligatures w14:val="standardContextual"/>
                    </w:rPr>
                  </w:pPr>
                  <w:r>
                    <w:rPr>
                      <w14:ligatures w14:val="standardContextual"/>
                    </w:rPr>
                    <w:t>0.001</w:t>
                  </w:r>
                </w:p>
              </w:tc>
              <w:tc>
                <w:tcPr>
                  <w:tcW w:w="1271" w:type="dxa"/>
                  <w:noWrap/>
                  <w:vAlign w:val="center"/>
                </w:tcPr>
                <w:p w14:paraId="08A088B8">
                  <w:pPr>
                    <w:widowControl w:val="0"/>
                    <w:overflowPunct w:val="0"/>
                    <w:autoSpaceDE w:val="0"/>
                    <w:autoSpaceDN w:val="0"/>
                    <w:snapToGrid w:val="0"/>
                    <w:jc w:val="center"/>
                    <w:rPr>
                      <w14:ligatures w14:val="standardContextual"/>
                    </w:rPr>
                  </w:pPr>
                  <w:r>
                    <w:rPr>
                      <w14:ligatures w14:val="standardContextual"/>
                    </w:rPr>
                    <w:t>27.50%</w:t>
                  </w:r>
                </w:p>
              </w:tc>
              <w:tc>
                <w:tcPr>
                  <w:tcW w:w="1121" w:type="dxa"/>
                  <w:vAlign w:val="center"/>
                </w:tcPr>
                <w:p w14:paraId="11A9AD33">
                  <w:pPr>
                    <w:widowControl w:val="0"/>
                    <w:overflowPunct w:val="0"/>
                    <w:autoSpaceDE w:val="0"/>
                    <w:autoSpaceDN w:val="0"/>
                    <w:snapToGrid w:val="0"/>
                    <w:jc w:val="center"/>
                    <w:rPr>
                      <w14:ligatures w14:val="standardContextual"/>
                    </w:rPr>
                  </w:pPr>
                  <w:r>
                    <w:rPr>
                      <w14:ligatures w14:val="standardContextual"/>
                    </w:rPr>
                    <w:t>8.7</w:t>
                  </w:r>
                </w:p>
              </w:tc>
              <w:tc>
                <w:tcPr>
                  <w:tcW w:w="1033" w:type="dxa"/>
                  <w:vAlign w:val="center"/>
                </w:tcPr>
                <w:p w14:paraId="35663367">
                  <w:pPr>
                    <w:widowControl w:val="0"/>
                    <w:overflowPunct w:val="0"/>
                    <w:autoSpaceDE w:val="0"/>
                    <w:autoSpaceDN w:val="0"/>
                    <w:snapToGrid w:val="0"/>
                    <w:jc w:val="center"/>
                    <w:rPr>
                      <w:b/>
                      <w:bCs/>
                      <w14:ligatures w14:val="standardContextual"/>
                    </w:rPr>
                  </w:pPr>
                  <w:r>
                    <w:rPr>
                      <w:b/>
                      <w:bCs/>
                      <w14:ligatures w14:val="standardContextual"/>
                    </w:rPr>
                    <w:t>0.001</w:t>
                  </w:r>
                </w:p>
              </w:tc>
              <w:tc>
                <w:tcPr>
                  <w:tcW w:w="919" w:type="dxa"/>
                  <w:vAlign w:val="center"/>
                </w:tcPr>
                <w:p w14:paraId="2CCEC0E6">
                  <w:pPr>
                    <w:widowControl w:val="0"/>
                    <w:overflowPunct w:val="0"/>
                    <w:autoSpaceDE w:val="0"/>
                    <w:autoSpaceDN w:val="0"/>
                    <w:snapToGrid w:val="0"/>
                    <w:jc w:val="center"/>
                    <w:rPr>
                      <w14:ligatures w14:val="standardContextual"/>
                    </w:rPr>
                  </w:pPr>
                  <w:r>
                    <w:rPr>
                      <w14:ligatures w14:val="standardContextual"/>
                    </w:rPr>
                    <w:t>3</w:t>
                  </w:r>
                  <w:r>
                    <w:rPr>
                      <w:rFonts w:hint="eastAsia"/>
                      <w14:ligatures w14:val="standardContextual"/>
                    </w:rPr>
                    <w:t>5</w:t>
                  </w:r>
                </w:p>
              </w:tc>
            </w:tr>
            <w:tr w14:paraId="04DACC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55" w:type="dxa"/>
                  <w:vMerge w:val="continue"/>
                  <w:vAlign w:val="center"/>
                </w:tcPr>
                <w:p w14:paraId="10D1FF1D">
                  <w:pPr>
                    <w:widowControl w:val="0"/>
                    <w:overflowPunct w:val="0"/>
                    <w:autoSpaceDE w:val="0"/>
                    <w:autoSpaceDN w:val="0"/>
                    <w:snapToGrid w:val="0"/>
                    <w:jc w:val="center"/>
                    <w:rPr>
                      <w14:ligatures w14:val="standardContextual"/>
                    </w:rPr>
                  </w:pPr>
                </w:p>
              </w:tc>
              <w:tc>
                <w:tcPr>
                  <w:tcW w:w="1169" w:type="dxa"/>
                  <w:noWrap/>
                  <w:vAlign w:val="center"/>
                </w:tcPr>
                <w:p w14:paraId="6334A352">
                  <w:pPr>
                    <w:widowControl w:val="0"/>
                    <w:overflowPunct w:val="0"/>
                    <w:autoSpaceDE w:val="0"/>
                    <w:autoSpaceDN w:val="0"/>
                    <w:snapToGrid w:val="0"/>
                    <w:jc w:val="center"/>
                    <w:rPr>
                      <w14:ligatures w14:val="standardContextual"/>
                    </w:rPr>
                  </w:pPr>
                  <w:r>
                    <w:rPr>
                      <w:rFonts w:hint="eastAsia"/>
                      <w14:ligatures w14:val="standardContextual"/>
                    </w:rPr>
                    <w:t>总磷</w:t>
                  </w:r>
                </w:p>
              </w:tc>
              <w:tc>
                <w:tcPr>
                  <w:tcW w:w="968" w:type="dxa"/>
                  <w:noWrap/>
                  <w:vAlign w:val="center"/>
                </w:tcPr>
                <w:p w14:paraId="756A6BEF">
                  <w:pPr>
                    <w:widowControl w:val="0"/>
                    <w:overflowPunct w:val="0"/>
                    <w:autoSpaceDE w:val="0"/>
                    <w:autoSpaceDN w:val="0"/>
                    <w:snapToGrid w:val="0"/>
                    <w:jc w:val="center"/>
                    <w:rPr>
                      <w14:ligatures w14:val="standardContextual"/>
                    </w:rPr>
                  </w:pPr>
                  <w:r>
                    <w:rPr>
                      <w14:ligatures w14:val="standardContextual"/>
                    </w:rPr>
                    <w:t>1</w:t>
                  </w:r>
                </w:p>
              </w:tc>
              <w:tc>
                <w:tcPr>
                  <w:tcW w:w="902" w:type="dxa"/>
                  <w:noWrap/>
                  <w:vAlign w:val="center"/>
                </w:tcPr>
                <w:p w14:paraId="0EBBA64A">
                  <w:pPr>
                    <w:widowControl w:val="0"/>
                    <w:overflowPunct w:val="0"/>
                    <w:autoSpaceDE w:val="0"/>
                    <w:autoSpaceDN w:val="0"/>
                    <w:snapToGrid w:val="0"/>
                    <w:jc w:val="center"/>
                    <w:rPr>
                      <w14:ligatures w14:val="standardContextual"/>
                    </w:rPr>
                  </w:pPr>
                  <w:r>
                    <w:rPr>
                      <w14:ligatures w14:val="standardContextual"/>
                    </w:rPr>
                    <w:t>0.0001</w:t>
                  </w:r>
                </w:p>
              </w:tc>
              <w:tc>
                <w:tcPr>
                  <w:tcW w:w="1271" w:type="dxa"/>
                  <w:noWrap/>
                  <w:vAlign w:val="center"/>
                </w:tcPr>
                <w:p w14:paraId="4FE71F1A">
                  <w:pPr>
                    <w:widowControl w:val="0"/>
                    <w:overflowPunct w:val="0"/>
                    <w:autoSpaceDE w:val="0"/>
                    <w:autoSpaceDN w:val="0"/>
                    <w:snapToGrid w:val="0"/>
                    <w:jc w:val="center"/>
                    <w:rPr>
                      <w14:ligatures w14:val="standardContextual"/>
                    </w:rPr>
                  </w:pPr>
                  <w:r>
                    <w:rPr>
                      <w14:ligatures w14:val="standardContextual"/>
                    </w:rPr>
                    <w:t>15%</w:t>
                  </w:r>
                </w:p>
              </w:tc>
              <w:tc>
                <w:tcPr>
                  <w:tcW w:w="1121" w:type="dxa"/>
                  <w:vAlign w:val="center"/>
                </w:tcPr>
                <w:p w14:paraId="70A10774">
                  <w:pPr>
                    <w:widowControl w:val="0"/>
                    <w:overflowPunct w:val="0"/>
                    <w:autoSpaceDE w:val="0"/>
                    <w:autoSpaceDN w:val="0"/>
                    <w:snapToGrid w:val="0"/>
                    <w:jc w:val="center"/>
                    <w:rPr>
                      <w14:ligatures w14:val="standardContextual"/>
                    </w:rPr>
                  </w:pPr>
                  <w:r>
                    <w:rPr>
                      <w14:ligatures w14:val="standardContextual"/>
                    </w:rPr>
                    <w:t>0.9</w:t>
                  </w:r>
                </w:p>
              </w:tc>
              <w:tc>
                <w:tcPr>
                  <w:tcW w:w="1033" w:type="dxa"/>
                  <w:vAlign w:val="center"/>
                </w:tcPr>
                <w:p w14:paraId="6CA7D344">
                  <w:pPr>
                    <w:widowControl w:val="0"/>
                    <w:overflowPunct w:val="0"/>
                    <w:autoSpaceDE w:val="0"/>
                    <w:autoSpaceDN w:val="0"/>
                    <w:snapToGrid w:val="0"/>
                    <w:jc w:val="center"/>
                    <w:rPr>
                      <w14:ligatures w14:val="standardContextual"/>
                    </w:rPr>
                  </w:pPr>
                  <w:r>
                    <w:rPr>
                      <w14:ligatures w14:val="standardContextual"/>
                    </w:rPr>
                    <w:t>0.0001</w:t>
                  </w:r>
                </w:p>
              </w:tc>
              <w:tc>
                <w:tcPr>
                  <w:tcW w:w="919" w:type="dxa"/>
                  <w:vAlign w:val="center"/>
                </w:tcPr>
                <w:p w14:paraId="7D60C7B8">
                  <w:pPr>
                    <w:widowControl w:val="0"/>
                    <w:overflowPunct w:val="0"/>
                    <w:autoSpaceDE w:val="0"/>
                    <w:autoSpaceDN w:val="0"/>
                    <w:snapToGrid w:val="0"/>
                    <w:jc w:val="center"/>
                    <w:rPr>
                      <w14:ligatures w14:val="standardContextual"/>
                    </w:rPr>
                  </w:pPr>
                  <w:r>
                    <w:rPr>
                      <w14:ligatures w14:val="standardContextual"/>
                    </w:rPr>
                    <w:t>4</w:t>
                  </w:r>
                  <w:r>
                    <w:rPr>
                      <w:rFonts w:hint="eastAsia"/>
                      <w14:ligatures w14:val="standardContextual"/>
                    </w:rPr>
                    <w:t>.5</w:t>
                  </w:r>
                </w:p>
              </w:tc>
            </w:tr>
            <w:bookmarkEnd w:id="77"/>
          </w:tbl>
          <w:p w14:paraId="714774AA">
            <w:pPr>
              <w:pStyle w:val="48"/>
            </w:pPr>
            <w:r>
              <w:rPr>
                <w:rFonts w:hint="eastAsia"/>
              </w:rPr>
              <w:t xml:space="preserve">表4- </w:t>
            </w:r>
            <w:r>
              <w:fldChar w:fldCharType="begin"/>
            </w:r>
            <w:r>
              <w:instrText xml:space="preserve"> </w:instrText>
            </w:r>
            <w:r>
              <w:rPr>
                <w:rFonts w:hint="eastAsia"/>
              </w:rPr>
              <w:instrText xml:space="preserve">SEQ 表4- \* ARABIC</w:instrText>
            </w:r>
            <w:r>
              <w:instrText xml:space="preserve"> </w:instrText>
            </w:r>
            <w:r>
              <w:fldChar w:fldCharType="separate"/>
            </w:r>
            <w:r>
              <w:t>9</w:t>
            </w:r>
            <w:r>
              <w:fldChar w:fldCharType="end"/>
            </w:r>
            <w:r>
              <w:rPr>
                <w:rFonts w:hint="eastAsia"/>
              </w:rPr>
              <w:t>：排放口基本情况一览表</w:t>
            </w:r>
          </w:p>
          <w:tbl>
            <w:tblPr>
              <w:tblStyle w:val="49"/>
              <w:tblW w:w="79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387"/>
              <w:gridCol w:w="780"/>
              <w:gridCol w:w="1219"/>
              <w:gridCol w:w="1138"/>
              <w:gridCol w:w="945"/>
              <w:gridCol w:w="1662"/>
              <w:gridCol w:w="679"/>
              <w:gridCol w:w="1128"/>
            </w:tblGrid>
            <w:tr w14:paraId="71D358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44" w:type="pct"/>
                  <w:vMerge w:val="restar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4782E84E">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序号</w:t>
                  </w:r>
                </w:p>
              </w:tc>
              <w:tc>
                <w:tcPr>
                  <w:tcW w:w="491" w:type="pct"/>
                  <w:vMerge w:val="restar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0416C764">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排放口编号</w:t>
                  </w:r>
                </w:p>
              </w:tc>
              <w:tc>
                <w:tcPr>
                  <w:tcW w:w="1485" w:type="pct"/>
                  <w:gridSpan w:val="2"/>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78EBECA4">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排放口地理坐标</w:t>
                  </w:r>
                </w:p>
              </w:tc>
              <w:tc>
                <w:tcPr>
                  <w:tcW w:w="595" w:type="pct"/>
                  <w:vMerge w:val="restar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0DE23AF4">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排放去向</w:t>
                  </w:r>
                </w:p>
              </w:tc>
              <w:tc>
                <w:tcPr>
                  <w:tcW w:w="1047" w:type="pct"/>
                  <w:vMerge w:val="restar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3AFC615B">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排放规律</w:t>
                  </w:r>
                </w:p>
              </w:tc>
              <w:tc>
                <w:tcPr>
                  <w:tcW w:w="428" w:type="pct"/>
                  <w:vMerge w:val="restar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7F2FBB2B">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间歇排放时段</w:t>
                  </w:r>
                </w:p>
              </w:tc>
              <w:tc>
                <w:tcPr>
                  <w:tcW w:w="710" w:type="pct"/>
                  <w:vMerge w:val="restart"/>
                  <w:tcBorders>
                    <w:top w:val="single" w:color="auto" w:sz="12" w:space="0"/>
                    <w:bottom w:val="single" w:color="auto" w:sz="12" w:space="0"/>
                    <w:right w:val="nil"/>
                    <w:insideH w:val="single" w:sz="12" w:space="0"/>
                    <w:insideV w:val="single" w:sz="4" w:space="0"/>
                    <w:tl2br w:val="nil"/>
                    <w:tr2bl w:val="nil"/>
                  </w:tcBorders>
                  <w:vAlign w:val="center"/>
                </w:tcPr>
                <w:p w14:paraId="652C5C07">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排放口类型</w:t>
                  </w:r>
                </w:p>
              </w:tc>
            </w:tr>
            <w:tr w14:paraId="3B2C30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44" w:type="pct"/>
                  <w:vMerge w:val="continue"/>
                  <w:vAlign w:val="center"/>
                </w:tcPr>
                <w:p w14:paraId="53FDC069">
                  <w:pPr>
                    <w:widowControl w:val="0"/>
                    <w:overflowPunct w:val="0"/>
                    <w:autoSpaceDE w:val="0"/>
                    <w:autoSpaceDN w:val="0"/>
                    <w:snapToGrid w:val="0"/>
                    <w:jc w:val="center"/>
                    <w:rPr>
                      <w14:ligatures w14:val="standardContextual"/>
                    </w:rPr>
                  </w:pPr>
                </w:p>
              </w:tc>
              <w:tc>
                <w:tcPr>
                  <w:tcW w:w="491" w:type="pct"/>
                  <w:vMerge w:val="continue"/>
                  <w:vAlign w:val="center"/>
                </w:tcPr>
                <w:p w14:paraId="48CB54C9">
                  <w:pPr>
                    <w:widowControl w:val="0"/>
                    <w:overflowPunct w:val="0"/>
                    <w:autoSpaceDE w:val="0"/>
                    <w:autoSpaceDN w:val="0"/>
                    <w:snapToGrid w:val="0"/>
                    <w:jc w:val="center"/>
                    <w:rPr>
                      <w14:ligatures w14:val="standardContextual"/>
                    </w:rPr>
                  </w:pPr>
                </w:p>
              </w:tc>
              <w:tc>
                <w:tcPr>
                  <w:tcW w:w="768" w:type="pct"/>
                  <w:vAlign w:val="center"/>
                </w:tcPr>
                <w:p w14:paraId="3B80784A">
                  <w:pPr>
                    <w:widowControl w:val="0"/>
                    <w:overflowPunct w:val="0"/>
                    <w:autoSpaceDE w:val="0"/>
                    <w:autoSpaceDN w:val="0"/>
                    <w:snapToGrid w:val="0"/>
                    <w:jc w:val="center"/>
                    <w:rPr>
                      <w14:ligatures w14:val="standardContextual"/>
                    </w:rPr>
                  </w:pPr>
                  <w:r>
                    <w:rPr>
                      <w:rFonts w:hint="eastAsia"/>
                      <w14:ligatures w14:val="standardContextual"/>
                    </w:rPr>
                    <w:t>经度</w:t>
                  </w:r>
                </w:p>
              </w:tc>
              <w:tc>
                <w:tcPr>
                  <w:tcW w:w="717" w:type="pct"/>
                  <w:vAlign w:val="center"/>
                </w:tcPr>
                <w:p w14:paraId="4A937D7B">
                  <w:pPr>
                    <w:widowControl w:val="0"/>
                    <w:overflowPunct w:val="0"/>
                    <w:autoSpaceDE w:val="0"/>
                    <w:autoSpaceDN w:val="0"/>
                    <w:snapToGrid w:val="0"/>
                    <w:jc w:val="center"/>
                    <w:rPr>
                      <w14:ligatures w14:val="standardContextual"/>
                    </w:rPr>
                  </w:pPr>
                  <w:r>
                    <w:rPr>
                      <w:rFonts w:hint="eastAsia"/>
                      <w14:ligatures w14:val="standardContextual"/>
                    </w:rPr>
                    <w:t>纬度</w:t>
                  </w:r>
                </w:p>
              </w:tc>
              <w:tc>
                <w:tcPr>
                  <w:tcW w:w="595" w:type="pct"/>
                  <w:vMerge w:val="continue"/>
                  <w:vAlign w:val="center"/>
                </w:tcPr>
                <w:p w14:paraId="1741C648">
                  <w:pPr>
                    <w:widowControl w:val="0"/>
                    <w:overflowPunct w:val="0"/>
                    <w:autoSpaceDE w:val="0"/>
                    <w:autoSpaceDN w:val="0"/>
                    <w:snapToGrid w:val="0"/>
                    <w:jc w:val="center"/>
                    <w:rPr>
                      <w14:ligatures w14:val="standardContextual"/>
                    </w:rPr>
                  </w:pPr>
                </w:p>
              </w:tc>
              <w:tc>
                <w:tcPr>
                  <w:tcW w:w="1047" w:type="pct"/>
                  <w:vMerge w:val="continue"/>
                  <w:vAlign w:val="center"/>
                </w:tcPr>
                <w:p w14:paraId="51606F87">
                  <w:pPr>
                    <w:widowControl w:val="0"/>
                    <w:overflowPunct w:val="0"/>
                    <w:autoSpaceDE w:val="0"/>
                    <w:autoSpaceDN w:val="0"/>
                    <w:snapToGrid w:val="0"/>
                    <w:jc w:val="center"/>
                    <w:rPr>
                      <w14:ligatures w14:val="standardContextual"/>
                    </w:rPr>
                  </w:pPr>
                </w:p>
              </w:tc>
              <w:tc>
                <w:tcPr>
                  <w:tcW w:w="428" w:type="pct"/>
                  <w:vMerge w:val="continue"/>
                  <w:vAlign w:val="center"/>
                </w:tcPr>
                <w:p w14:paraId="7BA370CC">
                  <w:pPr>
                    <w:widowControl w:val="0"/>
                    <w:overflowPunct w:val="0"/>
                    <w:autoSpaceDE w:val="0"/>
                    <w:autoSpaceDN w:val="0"/>
                    <w:snapToGrid w:val="0"/>
                    <w:jc w:val="center"/>
                    <w:rPr>
                      <w14:ligatures w14:val="standardContextual"/>
                    </w:rPr>
                  </w:pPr>
                </w:p>
              </w:tc>
              <w:tc>
                <w:tcPr>
                  <w:tcW w:w="710" w:type="pct"/>
                  <w:vMerge w:val="continue"/>
                  <w:vAlign w:val="center"/>
                </w:tcPr>
                <w:p w14:paraId="482B2B62">
                  <w:pPr>
                    <w:widowControl w:val="0"/>
                    <w:overflowPunct w:val="0"/>
                    <w:autoSpaceDE w:val="0"/>
                    <w:autoSpaceDN w:val="0"/>
                    <w:snapToGrid w:val="0"/>
                    <w:jc w:val="center"/>
                    <w:rPr>
                      <w14:ligatures w14:val="standardContextual"/>
                    </w:rPr>
                  </w:pPr>
                </w:p>
              </w:tc>
            </w:tr>
            <w:tr w14:paraId="75BC33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44" w:type="pct"/>
                  <w:vAlign w:val="center"/>
                </w:tcPr>
                <w:p w14:paraId="2948FB04">
                  <w:pPr>
                    <w:widowControl w:val="0"/>
                    <w:overflowPunct w:val="0"/>
                    <w:autoSpaceDE w:val="0"/>
                    <w:autoSpaceDN w:val="0"/>
                    <w:snapToGrid w:val="0"/>
                    <w:jc w:val="center"/>
                    <w:rPr>
                      <w14:ligatures w14:val="standardContextual"/>
                    </w:rPr>
                  </w:pPr>
                  <w:r>
                    <w:rPr>
                      <w:rFonts w:hint="eastAsia"/>
                      <w14:ligatures w14:val="standardContextual"/>
                    </w:rPr>
                    <w:t>1</w:t>
                  </w:r>
                </w:p>
              </w:tc>
              <w:tc>
                <w:tcPr>
                  <w:tcW w:w="491" w:type="pct"/>
                  <w:vAlign w:val="center"/>
                </w:tcPr>
                <w:p w14:paraId="6FD29301">
                  <w:pPr>
                    <w:widowControl w:val="0"/>
                    <w:overflowPunct w:val="0"/>
                    <w:autoSpaceDE w:val="0"/>
                    <w:autoSpaceDN w:val="0"/>
                    <w:snapToGrid w:val="0"/>
                    <w:jc w:val="center"/>
                    <w:rPr>
                      <w14:ligatures w14:val="standardContextual"/>
                    </w:rPr>
                  </w:pPr>
                  <w:r>
                    <w:rPr>
                      <w:rFonts w:hint="eastAsia"/>
                      <w14:ligatures w14:val="standardContextual"/>
                    </w:rPr>
                    <w:t>D</w:t>
                  </w:r>
                  <w:r>
                    <w:rPr>
                      <w14:ligatures w14:val="standardContextual"/>
                    </w:rPr>
                    <w:t>W001</w:t>
                  </w:r>
                </w:p>
              </w:tc>
              <w:tc>
                <w:tcPr>
                  <w:tcW w:w="768" w:type="pct"/>
                  <w:vAlign w:val="center"/>
                </w:tcPr>
                <w:p w14:paraId="7C5E834C">
                  <w:pPr>
                    <w:widowControl w:val="0"/>
                    <w:wordWrap w:val="0"/>
                    <w:overflowPunct w:val="0"/>
                    <w:autoSpaceDE w:val="0"/>
                    <w:autoSpaceDN w:val="0"/>
                    <w:snapToGrid w:val="0"/>
                    <w:jc w:val="center"/>
                    <w:rPr>
                      <w14:ligatures w14:val="standardContextual"/>
                    </w:rPr>
                  </w:pPr>
                  <w:r>
                    <w:rPr>
                      <w14:ligatures w14:val="standardContextual"/>
                    </w:rPr>
                    <w:t>E</w:t>
                  </w:r>
                  <w:r>
                    <w:rPr>
                      <w:rFonts w:hint="eastAsia"/>
                      <w14:ligatures w14:val="standardContextual"/>
                    </w:rPr>
                    <w:t>108°40′2.447″</w:t>
                  </w:r>
                </w:p>
              </w:tc>
              <w:tc>
                <w:tcPr>
                  <w:tcW w:w="717" w:type="pct"/>
                  <w:vAlign w:val="center"/>
                </w:tcPr>
                <w:p w14:paraId="50DFF737">
                  <w:pPr>
                    <w:widowControl w:val="0"/>
                    <w:wordWrap w:val="0"/>
                    <w:overflowPunct w:val="0"/>
                    <w:autoSpaceDE w:val="0"/>
                    <w:autoSpaceDN w:val="0"/>
                    <w:snapToGrid w:val="0"/>
                    <w:jc w:val="center"/>
                    <w:rPr>
                      <w14:ligatures w14:val="standardContextual"/>
                    </w:rPr>
                  </w:pPr>
                  <w:r>
                    <w:rPr>
                      <w14:ligatures w14:val="standardContextual"/>
                    </w:rPr>
                    <w:t>N</w:t>
                  </w:r>
                  <w:r>
                    <w:rPr>
                      <w:rFonts w:hint="eastAsia"/>
                      <w14:ligatures w14:val="standardContextual"/>
                    </w:rPr>
                    <w:t>21°41′50.763″</w:t>
                  </w:r>
                </w:p>
              </w:tc>
              <w:tc>
                <w:tcPr>
                  <w:tcW w:w="595" w:type="pct"/>
                  <w:vAlign w:val="center"/>
                </w:tcPr>
                <w:p w14:paraId="3B1BD584">
                  <w:pPr>
                    <w:widowControl w:val="0"/>
                    <w:overflowPunct w:val="0"/>
                    <w:autoSpaceDE w:val="0"/>
                    <w:autoSpaceDN w:val="0"/>
                    <w:snapToGrid w:val="0"/>
                    <w:jc w:val="center"/>
                    <w:rPr>
                      <w14:ligatures w14:val="standardContextual"/>
                    </w:rPr>
                  </w:pPr>
                  <w:r>
                    <w:rPr>
                      <w:rFonts w:hint="eastAsia"/>
                      <w14:ligatures w14:val="standardContextual"/>
                    </w:rPr>
                    <w:t>大揽平污水处理厂</w:t>
                  </w:r>
                </w:p>
              </w:tc>
              <w:tc>
                <w:tcPr>
                  <w:tcW w:w="1047" w:type="pct"/>
                  <w:vAlign w:val="center"/>
                </w:tcPr>
                <w:p w14:paraId="35DB0F4E">
                  <w:pPr>
                    <w:widowControl w:val="0"/>
                    <w:overflowPunct w:val="0"/>
                    <w:autoSpaceDE w:val="0"/>
                    <w:autoSpaceDN w:val="0"/>
                    <w:snapToGrid w:val="0"/>
                    <w:jc w:val="center"/>
                    <w:rPr>
                      <w14:ligatures w14:val="standardContextual"/>
                    </w:rPr>
                  </w:pPr>
                  <w:r>
                    <w:rPr>
                      <w:rFonts w:hint="eastAsia"/>
                      <w14:ligatures w14:val="standardContextual"/>
                    </w:rPr>
                    <w:t>连续排放，流量不稳定，但有周期性规律</w:t>
                  </w:r>
                </w:p>
              </w:tc>
              <w:tc>
                <w:tcPr>
                  <w:tcW w:w="428" w:type="pct"/>
                  <w:vAlign w:val="center"/>
                </w:tcPr>
                <w:p w14:paraId="2FE701D2">
                  <w:pPr>
                    <w:widowControl w:val="0"/>
                    <w:overflowPunct w:val="0"/>
                    <w:autoSpaceDE w:val="0"/>
                    <w:autoSpaceDN w:val="0"/>
                    <w:snapToGrid w:val="0"/>
                    <w:jc w:val="center"/>
                    <w:rPr>
                      <w14:ligatures w14:val="standardContextual"/>
                    </w:rPr>
                  </w:pPr>
                  <w:r>
                    <w:rPr>
                      <w14:ligatures w14:val="standardContextual"/>
                    </w:rPr>
                    <w:t>/</w:t>
                  </w:r>
                </w:p>
              </w:tc>
              <w:tc>
                <w:tcPr>
                  <w:tcW w:w="710" w:type="pct"/>
                  <w:vAlign w:val="center"/>
                </w:tcPr>
                <w:p w14:paraId="4C3DB100">
                  <w:pPr>
                    <w:widowControl w:val="0"/>
                    <w:overflowPunct w:val="0"/>
                    <w:autoSpaceDE w:val="0"/>
                    <w:autoSpaceDN w:val="0"/>
                    <w:snapToGrid w:val="0"/>
                    <w:jc w:val="center"/>
                    <w:rPr>
                      <w14:ligatures w14:val="standardContextual"/>
                    </w:rPr>
                  </w:pPr>
                  <w:r>
                    <w:rPr>
                      <w:rFonts w:hint="eastAsia"/>
                      <w14:ligatures w14:val="standardContextual"/>
                    </w:rPr>
                    <w:t>生活污水排放口</w:t>
                  </w:r>
                </w:p>
              </w:tc>
            </w:tr>
          </w:tbl>
          <w:p w14:paraId="2EF48BA2">
            <w:pPr>
              <w:pStyle w:val="3"/>
              <w:ind w:firstLine="482"/>
              <w:rPr>
                <w:b/>
                <w:bCs/>
              </w:rPr>
            </w:pPr>
            <w:bookmarkStart w:id="78" w:name="废水治理设施可行性分析"/>
            <w:r>
              <w:rPr>
                <w:rFonts w:hint="eastAsia"/>
                <w:b/>
                <w:bCs/>
              </w:rPr>
              <w:t>2、污染源强核算过程</w:t>
            </w:r>
          </w:p>
          <w:p w14:paraId="14806374">
            <w:pPr>
              <w:pStyle w:val="3"/>
              <w:ind w:firstLine="482"/>
              <w:rPr>
                <w:b/>
                <w:bCs/>
              </w:rPr>
            </w:pPr>
            <w:r>
              <w:rPr>
                <w:rFonts w:hint="eastAsia"/>
                <w:b/>
                <w:bCs/>
              </w:rPr>
              <w:t>1）生产废水</w:t>
            </w:r>
          </w:p>
          <w:p w14:paraId="0D4832CE">
            <w:pPr>
              <w:pStyle w:val="3"/>
              <w:ind w:firstLine="480"/>
            </w:pPr>
            <w:r>
              <w:rPr>
                <w:rFonts w:hint="eastAsia"/>
              </w:rPr>
              <w:t>本项目喷雾除尘废水全部蒸发消耗无外排；车辆清洗废水经沉淀池收集沉淀后循环使用，不外排；初期雨水经沉淀池收集沉淀处理后用于场地洒水抑尘，不外排。</w:t>
            </w:r>
          </w:p>
          <w:p w14:paraId="3520070E">
            <w:pPr>
              <w:pStyle w:val="3"/>
              <w:ind w:firstLine="480"/>
            </w:pPr>
            <w:r>
              <w:rPr>
                <w:rFonts w:hint="eastAsia"/>
              </w:rPr>
              <w:t>厂区设置2座沉淀池，分别收集车辆清洗废水和初期雨水，有效容积分别为10m</w:t>
            </w:r>
            <w:r>
              <w:rPr>
                <w:rFonts w:hint="eastAsia"/>
                <w:vertAlign w:val="superscript"/>
              </w:rPr>
              <w:t>3</w:t>
            </w:r>
            <w:r>
              <w:rPr>
                <w:rFonts w:hint="eastAsia"/>
              </w:rPr>
              <w:t>、150m</w:t>
            </w:r>
            <w:r>
              <w:rPr>
                <w:rFonts w:hint="eastAsia"/>
                <w:vertAlign w:val="superscript"/>
              </w:rPr>
              <w:t>3</w:t>
            </w:r>
            <w:r>
              <w:rPr>
                <w:rFonts w:hint="eastAsia"/>
              </w:rPr>
              <w:t>，容积满足收集容纳车辆清洗废水和初期雨水的要求。</w:t>
            </w:r>
          </w:p>
          <w:p w14:paraId="4DC1B17A">
            <w:pPr>
              <w:pStyle w:val="3"/>
              <w:ind w:firstLine="482"/>
              <w:rPr>
                <w:b/>
                <w:bCs/>
              </w:rPr>
            </w:pPr>
            <w:r>
              <w:rPr>
                <w:rFonts w:hint="eastAsia"/>
                <w:b/>
                <w:bCs/>
              </w:rPr>
              <w:t>2）生活污水</w:t>
            </w:r>
          </w:p>
          <w:p w14:paraId="285B01DB">
            <w:pPr>
              <w:pStyle w:val="3"/>
              <w:ind w:firstLine="480"/>
            </w:pPr>
            <w:r>
              <w:rPr>
                <w:rFonts w:hint="eastAsia"/>
              </w:rPr>
              <w:t>项目生活污水量为72 m</w:t>
            </w:r>
            <w:r>
              <w:rPr>
                <w:rFonts w:hint="eastAsia"/>
                <w:vertAlign w:val="superscript"/>
              </w:rPr>
              <w:t>3</w:t>
            </w:r>
            <w:r>
              <w:rPr>
                <w:rFonts w:hint="eastAsia"/>
              </w:rPr>
              <w:t>/a（0.24 m</w:t>
            </w:r>
            <w:r>
              <w:rPr>
                <w:rFonts w:hint="eastAsia"/>
                <w:vertAlign w:val="superscript"/>
              </w:rPr>
              <w:t>3</w:t>
            </w:r>
            <w:r>
              <w:rPr>
                <w:rFonts w:hint="eastAsia"/>
              </w:rPr>
              <w:t>/d）。生活污水中各污染物浓度参考《城市污水处理技术及工程实例》（化学工业出版社）典型生活污水水质指标，其主要污染物</w:t>
            </w:r>
            <w:bookmarkStart w:id="79" w:name="OLE_LINK65"/>
            <w:r>
              <w:rPr>
                <w:rFonts w:hint="eastAsia"/>
              </w:rPr>
              <w:t>COD、BOD</w:t>
            </w:r>
            <w:r>
              <w:rPr>
                <w:rFonts w:hint="eastAsia"/>
                <w:vertAlign w:val="subscript"/>
              </w:rPr>
              <w:t>5</w:t>
            </w:r>
            <w:r>
              <w:rPr>
                <w:rFonts w:hint="eastAsia"/>
              </w:rPr>
              <w:t>、SS、氨氮、TP</w:t>
            </w:r>
            <w:bookmarkEnd w:id="79"/>
            <w:r>
              <w:rPr>
                <w:rFonts w:hint="eastAsia"/>
              </w:rPr>
              <w:t>，浓度依次为250mg/L、100mg/L、150mg/L、12mg/L、1mg/L。</w:t>
            </w:r>
          </w:p>
          <w:p w14:paraId="4662FD3C">
            <w:pPr>
              <w:pStyle w:val="3"/>
              <w:ind w:firstLine="480"/>
            </w:pPr>
            <w:r>
              <w:rPr>
                <w:rFonts w:hint="eastAsia"/>
              </w:rPr>
              <w:t>参考《我国农村化粪池污染物去除效果及影响因素分析》（环境工程学报，2021年2月第15卷第2期）、《化粪池在实际生活中的比选和应用》（环境与发展，陈杰、姜红）、《化粪池与人工湿地联用处理湖南农村地区生活污水研究》（湖南大学，蒙语）等文献，化粪池对COD去除效率为21%~65%、BOD</w:t>
            </w:r>
            <w:r>
              <w:rPr>
                <w:rFonts w:hint="eastAsia"/>
                <w:vertAlign w:val="subscript"/>
              </w:rPr>
              <w:t>5</w:t>
            </w:r>
            <w:r>
              <w:rPr>
                <w:rFonts w:hint="eastAsia"/>
              </w:rPr>
              <w:t>去除效率29%~72%、SS去除效率50%~60%、氨氨去除效率25%~30%；参考《第一次全国污染源普查城镇生活源产排污系数手册》中的化粪池产排污系数计算处理效率，化粪池对总磷去除效率为15%。因此，本项目化粪池对COD、BOD</w:t>
            </w:r>
            <w:r>
              <w:rPr>
                <w:rFonts w:hint="eastAsia"/>
                <w:vertAlign w:val="subscript"/>
              </w:rPr>
              <w:t>5</w:t>
            </w:r>
            <w:r>
              <w:rPr>
                <w:rFonts w:hint="eastAsia"/>
              </w:rPr>
              <w:t>、SS、氨氮、总磷的去除效率分别取43%、50%、55%、27.5%、15%。</w:t>
            </w:r>
          </w:p>
          <w:p w14:paraId="52077363">
            <w:pPr>
              <w:pStyle w:val="3"/>
              <w:ind w:firstLine="480"/>
              <w:rPr>
                <w:b/>
                <w:bCs/>
              </w:rPr>
            </w:pPr>
            <w:r>
              <w:rPr>
                <w:rFonts w:hint="eastAsia"/>
              </w:rPr>
              <w:t>项目生活污水经化粪池处理后，经园区污水管网进入大榄坪污水处理厂处理。</w:t>
            </w:r>
          </w:p>
          <w:p w14:paraId="108E5530">
            <w:pPr>
              <w:pStyle w:val="3"/>
              <w:ind w:firstLine="482"/>
              <w:rPr>
                <w:b/>
                <w:bCs/>
              </w:rPr>
            </w:pPr>
            <w:r>
              <w:rPr>
                <w:rFonts w:hint="eastAsia"/>
                <w:b/>
                <w:bCs/>
              </w:rPr>
              <w:t>3、废水治理设施可行性分析</w:t>
            </w:r>
            <w:bookmarkEnd w:id="78"/>
          </w:p>
          <w:p w14:paraId="3E1A772D">
            <w:pPr>
              <w:pStyle w:val="3"/>
              <w:ind w:firstLine="480"/>
            </w:pPr>
            <w:r>
              <w:rPr>
                <w:rFonts w:hint="eastAsia"/>
              </w:rPr>
              <w:t>化粪池是一种利用沉淀和厌氧发酵的原理，去除生活污水中悬浮性有机物的处理设施，属于初级的过渡性生活处理构筑物，可有效处理粪便等，属于治理生活污水的可行性技术。</w:t>
            </w:r>
          </w:p>
          <w:p w14:paraId="0E49432C">
            <w:pPr>
              <w:pStyle w:val="3"/>
              <w:ind w:firstLine="480"/>
            </w:pPr>
            <w:r>
              <w:rPr>
                <w:rFonts w:hint="eastAsia"/>
              </w:rPr>
              <w:t>综上所述，故本项目废水治理措施可行。</w:t>
            </w:r>
          </w:p>
          <w:p w14:paraId="6904604E">
            <w:pPr>
              <w:pStyle w:val="3"/>
              <w:ind w:firstLine="482"/>
              <w:rPr>
                <w:b/>
                <w:bCs/>
              </w:rPr>
            </w:pPr>
            <w:r>
              <w:rPr>
                <w:rFonts w:hint="eastAsia"/>
                <w:b/>
                <w:bCs/>
              </w:rPr>
              <w:t>4、依托园区污水处理厂可行性分析</w:t>
            </w:r>
          </w:p>
          <w:p w14:paraId="7092782B">
            <w:pPr>
              <w:pStyle w:val="3"/>
              <w:ind w:firstLine="480"/>
            </w:pPr>
            <w:r>
              <w:rPr>
                <w:rFonts w:hint="eastAsia"/>
              </w:rPr>
              <w:t>①接管符合性</w:t>
            </w:r>
          </w:p>
          <w:p w14:paraId="3E190C5F">
            <w:pPr>
              <w:pStyle w:val="3"/>
              <w:ind w:firstLine="480"/>
            </w:pPr>
            <w:r>
              <w:t>钦州市大榄坪污水处理厂位于钦州市钦州港区大榄坪综合物流加工区，服务范围为大榄坪工业区44km</w:t>
            </w:r>
            <w:r>
              <w:rPr>
                <w:vertAlign w:val="superscript"/>
              </w:rPr>
              <w:t>2</w:t>
            </w:r>
            <w:r>
              <w:t>，厂外管网一期设计范围为：西起金鼓江航道，东至鹿耳环江，北至规划环珠东大街，南至第八大街。大榄坪</w:t>
            </w:r>
            <w:r>
              <w:rPr>
                <w:rFonts w:hint="eastAsia"/>
              </w:rPr>
              <w:t>污水处理厂</w:t>
            </w:r>
            <w:r>
              <w:t>建设分为近期5万m</w:t>
            </w:r>
            <w:r>
              <w:rPr>
                <w:vertAlign w:val="superscript"/>
              </w:rPr>
              <w:t>3</w:t>
            </w:r>
            <w:r>
              <w:t>/d和远期20万m</w:t>
            </w:r>
            <w:r>
              <w:rPr>
                <w:vertAlign w:val="superscript"/>
              </w:rPr>
              <w:t>3</w:t>
            </w:r>
            <w:r>
              <w:t>/d两个阶段，近期工程已于2016年投入运行，项目占地面积40020m</w:t>
            </w:r>
            <w:r>
              <w:rPr>
                <w:vertAlign w:val="superscript"/>
              </w:rPr>
              <w:t>2</w:t>
            </w:r>
            <w:r>
              <w:t>，采用“A/A/O曝气氧化沟+化学辅助除磷”工艺处理生活污水，设计处理后出水达到《城镇污水处理厂污染物排放标准》中一级A标准，排放去向为钦州港大榄坪污水深海排放区（A2排放区）。</w:t>
            </w:r>
          </w:p>
          <w:p w14:paraId="61FC7100">
            <w:pPr>
              <w:pStyle w:val="3"/>
              <w:ind w:firstLine="480"/>
            </w:pPr>
            <w:r>
              <w:t>配套管网设计一期管网范围为：西起规划的金鼓江航道，</w:t>
            </w:r>
            <w:r>
              <w:rPr>
                <w:rFonts w:hint="eastAsia"/>
              </w:rPr>
              <w:t>东至</w:t>
            </w:r>
            <w:r>
              <w:t>鹿耳环江，北至规划环珠东大街，南至规划第八大街，配套新建DN300-DN2000污水管总厂67.70km。大榄坪污水处理厂出水水质要求见</w:t>
            </w:r>
            <w:r>
              <w:fldChar w:fldCharType="begin"/>
            </w:r>
            <w:r>
              <w:instrText xml:space="preserve"> REF _HandyRef458488683680556 \h \* MERGEFORMAT </w:instrText>
            </w:r>
            <w:r>
              <w:fldChar w:fldCharType="separate"/>
            </w:r>
            <w:r>
              <w:rPr>
                <w:rFonts w:hint="eastAsia"/>
              </w:rPr>
              <w:t xml:space="preserve">表3- </w:t>
            </w:r>
            <w:r>
              <w:t>8</w:t>
            </w:r>
            <w:r>
              <w:fldChar w:fldCharType="end"/>
            </w:r>
            <w:r>
              <w:t>；</w:t>
            </w:r>
          </w:p>
          <w:p w14:paraId="19FA27C3">
            <w:pPr>
              <w:pStyle w:val="3"/>
              <w:ind w:firstLine="480"/>
            </w:pPr>
            <w:r>
              <w:rPr>
                <w:rFonts w:ascii="Cambria Math" w:hAnsi="Cambria Math" w:cs="Cambria Math"/>
              </w:rPr>
              <w:t>②</w:t>
            </w:r>
            <w:r>
              <w:t>水质可行性分析</w:t>
            </w:r>
          </w:p>
          <w:p w14:paraId="2CD412F9">
            <w:pPr>
              <w:pStyle w:val="3"/>
              <w:ind w:firstLine="480"/>
            </w:pPr>
            <w:r>
              <w:t>项目</w:t>
            </w:r>
            <w:r>
              <w:rPr>
                <w:rFonts w:hint="eastAsia"/>
              </w:rPr>
              <w:t>仅排放生活污水，生活污水</w:t>
            </w:r>
            <w:r>
              <w:t>水质成分简单，不含</w:t>
            </w:r>
            <w:r>
              <w:rPr>
                <w:rFonts w:hint="eastAsia"/>
              </w:rPr>
              <w:t>其他有毒</w:t>
            </w:r>
            <w:r>
              <w:t>有害或腐蚀性物质，不会对管道产生腐蚀的现象。项目废水符合大榄坪污水处理厂的进水水质要求，因此，项目排放的废水对市政污水管道和污水处理厂的构筑物不会有特殊的腐蚀影响，不会影响污水处理厂的进水水质，不会对其造成太大冲击。</w:t>
            </w:r>
          </w:p>
          <w:p w14:paraId="5EE8AE9A">
            <w:pPr>
              <w:pStyle w:val="3"/>
              <w:ind w:firstLine="480"/>
            </w:pPr>
            <w:r>
              <w:rPr>
                <w:rFonts w:ascii="Cambria Math" w:hAnsi="Cambria Math" w:cs="Cambria Math"/>
              </w:rPr>
              <w:t>③</w:t>
            </w:r>
            <w:r>
              <w:t>水量可行性分析</w:t>
            </w:r>
          </w:p>
          <w:p w14:paraId="1F7F231D">
            <w:pPr>
              <w:pStyle w:val="3"/>
              <w:ind w:firstLine="480"/>
            </w:pPr>
            <w:r>
              <w:t>项目</w:t>
            </w:r>
            <w:r>
              <w:rPr>
                <w:rFonts w:hint="eastAsia"/>
              </w:rPr>
              <w:t>生活污水</w:t>
            </w:r>
            <w:r>
              <w:t>排放量为</w:t>
            </w:r>
            <w:r>
              <w:rPr>
                <w:rFonts w:hint="eastAsia"/>
              </w:rPr>
              <w:t>72 m</w:t>
            </w:r>
            <w:r>
              <w:rPr>
                <w:rFonts w:hint="eastAsia"/>
                <w:vertAlign w:val="superscript"/>
              </w:rPr>
              <w:t>3</w:t>
            </w:r>
            <w:r>
              <w:rPr>
                <w:rFonts w:hint="eastAsia"/>
              </w:rPr>
              <w:t>/a（0.24 m</w:t>
            </w:r>
            <w:r>
              <w:rPr>
                <w:rFonts w:hint="eastAsia"/>
                <w:vertAlign w:val="superscript"/>
              </w:rPr>
              <w:t>3</w:t>
            </w:r>
            <w:r>
              <w:rPr>
                <w:rFonts w:hint="eastAsia"/>
              </w:rPr>
              <w:t>/d）</w:t>
            </w:r>
            <w:r>
              <w:t>，钦州市大榄坪污水处理厂一期规模为5万m³/d，远期（2025年）规划25万m³/d，目前</w:t>
            </w:r>
            <w:r>
              <w:rPr>
                <w:rFonts w:hint="eastAsia"/>
              </w:rPr>
              <w:t>污水处理厂</w:t>
            </w:r>
            <w:r>
              <w:t>实际处理规模为3000</w:t>
            </w:r>
            <w:r>
              <w:rPr>
                <w:rFonts w:hint="eastAsia"/>
              </w:rPr>
              <w:t>-4000</w:t>
            </w:r>
            <w:r>
              <w:t>m</w:t>
            </w:r>
            <w:r>
              <w:rPr>
                <w:vertAlign w:val="superscript"/>
              </w:rPr>
              <w:t>3</w:t>
            </w:r>
            <w:r>
              <w:t>/d，出水水质为 COD：15.01mg/L（阶段性验收监测值），氨氮：0.38mg/L（阶段性验收</w:t>
            </w:r>
            <w:r>
              <w:rPr>
                <w:rFonts w:hint="eastAsia"/>
              </w:rPr>
              <w:t>检测值</w:t>
            </w:r>
            <w:r>
              <w:t>），出水水质可达《城镇污水处理厂污染物排放标准》（GB18918-2002）的一级 A 标准。项目废水为生活污水，排放量很少，水质简单，不会对</w:t>
            </w:r>
            <w:r>
              <w:rPr>
                <w:rFonts w:hint="eastAsia"/>
              </w:rPr>
              <w:t>污水处理厂</w:t>
            </w:r>
            <w:r>
              <w:t>造成水质水量上的冲击，大榄坪</w:t>
            </w:r>
            <w:r>
              <w:rPr>
                <w:rFonts w:hint="eastAsia"/>
              </w:rPr>
              <w:t>污水处理厂</w:t>
            </w:r>
            <w:r>
              <w:t>接纳本项目废水后仍能够稳定达标排放，不会对钦州湾海域产生大的影响。</w:t>
            </w:r>
          </w:p>
          <w:p w14:paraId="6B72C8DA">
            <w:pPr>
              <w:pStyle w:val="3"/>
              <w:ind w:firstLine="480"/>
            </w:pPr>
            <w:r>
              <w:t>综上，本项目营运期产生的废水均不排到附近水体中，对地表水环境影响不大。</w:t>
            </w:r>
          </w:p>
          <w:p w14:paraId="630027FB">
            <w:pPr>
              <w:pStyle w:val="3"/>
              <w:ind w:firstLine="482"/>
              <w:rPr>
                <w:b/>
                <w:bCs/>
              </w:rPr>
            </w:pPr>
            <w:r>
              <w:rPr>
                <w:rFonts w:hint="eastAsia"/>
                <w:b/>
                <w:bCs/>
              </w:rPr>
              <w:t>5、自行监测要求</w:t>
            </w:r>
          </w:p>
          <w:p w14:paraId="75B52F61">
            <w:pPr>
              <w:pStyle w:val="3"/>
              <w:ind w:firstLine="480"/>
            </w:pPr>
            <w:r>
              <w:rPr>
                <w:rFonts w:hint="eastAsia"/>
              </w:rPr>
              <w:t>参考《排污单位自行监测技术指南 总则》（HJ819-2017）、《排污许可证申请与核发技术规范 废弃资源加工工业》（HJ1034-2019），本项目废水污染源监测计划见表4-9。</w:t>
            </w:r>
          </w:p>
          <w:p w14:paraId="42E783DD">
            <w:pPr>
              <w:pStyle w:val="48"/>
            </w:pPr>
            <w:bookmarkStart w:id="80" w:name="_Ref176954282"/>
            <w:r>
              <w:rPr>
                <w:rFonts w:hint="eastAsia"/>
              </w:rPr>
              <w:t xml:space="preserve">表4- </w:t>
            </w:r>
            <w:r>
              <w:fldChar w:fldCharType="begin"/>
            </w:r>
            <w:r>
              <w:instrText xml:space="preserve"> </w:instrText>
            </w:r>
            <w:r>
              <w:rPr>
                <w:rFonts w:hint="eastAsia"/>
              </w:rPr>
              <w:instrText xml:space="preserve">SEQ 表4- \* ARABIC</w:instrText>
            </w:r>
            <w:r>
              <w:instrText xml:space="preserve"> </w:instrText>
            </w:r>
            <w:r>
              <w:fldChar w:fldCharType="separate"/>
            </w:r>
            <w:r>
              <w:t>10</w:t>
            </w:r>
            <w:r>
              <w:fldChar w:fldCharType="end"/>
            </w:r>
            <w:r>
              <w:rPr>
                <w:rFonts w:hint="eastAsia"/>
              </w:rPr>
              <w:t>：废水监测计划</w:t>
            </w:r>
            <w:bookmarkEnd w:id="80"/>
          </w:p>
          <w:tbl>
            <w:tblPr>
              <w:tblStyle w:val="4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626"/>
              <w:gridCol w:w="4817"/>
              <w:gridCol w:w="1500"/>
            </w:tblGrid>
            <w:tr w14:paraId="3A5899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024" w:type="pc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629F2948">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default" w:ascii="Times New Roman" w:hAnsi="Times New Roman" w:eastAsia="宋体" w:cs="Times New Roman"/>
                      <w:b/>
                      <w:i w:val="0"/>
                      <w14:ligatures w14:val="standardContextual"/>
                    </w:rPr>
                    <w:t>监测点位</w:t>
                  </w:r>
                </w:p>
              </w:tc>
              <w:tc>
                <w:tcPr>
                  <w:tcW w:w="3032"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7F480253">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default" w:ascii="Times New Roman" w:hAnsi="Times New Roman" w:eastAsia="宋体" w:cs="Times New Roman"/>
                      <w:b/>
                      <w:i w:val="0"/>
                      <w14:ligatures w14:val="standardContextual"/>
                    </w:rPr>
                    <w:t>监测项目</w:t>
                  </w:r>
                </w:p>
              </w:tc>
              <w:tc>
                <w:tcPr>
                  <w:tcW w:w="945" w:type="pct"/>
                  <w:tcBorders>
                    <w:top w:val="single" w:color="auto" w:sz="12" w:space="0"/>
                    <w:bottom w:val="single" w:color="auto" w:sz="12" w:space="0"/>
                    <w:right w:val="nil"/>
                    <w:insideH w:val="single" w:sz="12" w:space="0"/>
                    <w:insideV w:val="single" w:sz="4" w:space="0"/>
                    <w:tl2br w:val="nil"/>
                    <w:tr2bl w:val="nil"/>
                  </w:tcBorders>
                  <w:vAlign w:val="center"/>
                </w:tcPr>
                <w:p w14:paraId="5334DD33">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最低</w:t>
                  </w:r>
                  <w:r>
                    <w:rPr>
                      <w:rFonts w:hint="default" w:ascii="Times New Roman" w:hAnsi="Times New Roman" w:eastAsia="宋体" w:cs="Times New Roman"/>
                      <w:b/>
                      <w:i w:val="0"/>
                      <w14:ligatures w14:val="standardContextual"/>
                    </w:rPr>
                    <w:t>监测频次</w:t>
                  </w:r>
                </w:p>
              </w:tc>
            </w:tr>
            <w:tr w14:paraId="758167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024" w:type="pct"/>
                  <w:tcBorders>
                    <w:bottom w:val="single" w:color="auto" w:sz="12" w:space="0"/>
                  </w:tcBorders>
                  <w:vAlign w:val="center"/>
                </w:tcPr>
                <w:p w14:paraId="7E9E94A1">
                  <w:pPr>
                    <w:widowControl w:val="0"/>
                    <w:overflowPunct w:val="0"/>
                    <w:autoSpaceDE w:val="0"/>
                    <w:autoSpaceDN w:val="0"/>
                    <w:snapToGrid w:val="0"/>
                    <w:jc w:val="center"/>
                    <w:rPr>
                      <w14:ligatures w14:val="standardContextual"/>
                    </w:rPr>
                  </w:pPr>
                  <w:r>
                    <w:rPr>
                      <w:rFonts w:hint="eastAsia"/>
                      <w14:ligatures w14:val="standardContextual"/>
                    </w:rPr>
                    <w:t>DW001</w:t>
                  </w:r>
                </w:p>
              </w:tc>
              <w:tc>
                <w:tcPr>
                  <w:tcW w:w="3032" w:type="pct"/>
                  <w:tcBorders>
                    <w:bottom w:val="single" w:color="auto" w:sz="12" w:space="0"/>
                  </w:tcBorders>
                  <w:vAlign w:val="center"/>
                </w:tcPr>
                <w:p w14:paraId="1AA69619">
                  <w:pPr>
                    <w:widowControl w:val="0"/>
                    <w:overflowPunct w:val="0"/>
                    <w:autoSpaceDE w:val="0"/>
                    <w:autoSpaceDN w:val="0"/>
                    <w:snapToGrid w:val="0"/>
                    <w:jc w:val="center"/>
                    <w:rPr>
                      <w14:ligatures w14:val="standardContextual"/>
                    </w:rPr>
                  </w:pPr>
                  <w:r>
                    <w:rPr>
                      <w:rFonts w:hint="eastAsia"/>
                      <w14:ligatures w14:val="standardContextual"/>
                    </w:rPr>
                    <w:t>流量、pH、</w:t>
                  </w:r>
                  <w:r>
                    <w:rPr>
                      <w14:ligatures w14:val="standardContextual"/>
                    </w:rPr>
                    <w:t>COD</w:t>
                  </w:r>
                  <w:r>
                    <w:rPr>
                      <w:rFonts w:hint="eastAsia"/>
                      <w14:ligatures w14:val="standardContextual"/>
                    </w:rPr>
                    <w:t>、</w:t>
                  </w:r>
                  <w:r>
                    <w:rPr>
                      <w14:ligatures w14:val="standardContextual"/>
                    </w:rPr>
                    <w:t>BOD</w:t>
                  </w:r>
                  <w:r>
                    <w:rPr>
                      <w:vertAlign w:val="subscript"/>
                      <w14:ligatures w14:val="standardContextual"/>
                    </w:rPr>
                    <w:t>5</w:t>
                  </w:r>
                  <w:r>
                    <w:rPr>
                      <w:rFonts w:hint="eastAsia"/>
                      <w14:ligatures w14:val="standardContextual"/>
                    </w:rPr>
                    <w:t>、</w:t>
                  </w:r>
                  <w:r>
                    <w:rPr>
                      <w14:ligatures w14:val="standardContextual"/>
                    </w:rPr>
                    <w:t>SS</w:t>
                  </w:r>
                  <w:r>
                    <w:rPr>
                      <w:rFonts w:hint="eastAsia"/>
                      <w14:ligatures w14:val="standardContextual"/>
                    </w:rPr>
                    <w:t>、氨氮、总磷</w:t>
                  </w:r>
                </w:p>
              </w:tc>
              <w:tc>
                <w:tcPr>
                  <w:tcW w:w="945" w:type="pct"/>
                  <w:tcBorders>
                    <w:bottom w:val="single" w:color="auto" w:sz="12" w:space="0"/>
                  </w:tcBorders>
                  <w:vAlign w:val="center"/>
                </w:tcPr>
                <w:p w14:paraId="36631AAC">
                  <w:pPr>
                    <w:widowControl w:val="0"/>
                    <w:overflowPunct w:val="0"/>
                    <w:autoSpaceDE w:val="0"/>
                    <w:autoSpaceDN w:val="0"/>
                    <w:snapToGrid w:val="0"/>
                    <w:jc w:val="center"/>
                    <w:rPr>
                      <w14:ligatures w14:val="standardContextual"/>
                    </w:rPr>
                  </w:pPr>
                  <w:r>
                    <w:rPr>
                      <w:rFonts w:hint="eastAsia"/>
                      <w14:ligatures w14:val="standardContextual"/>
                    </w:rPr>
                    <w:t>1次/年</w:t>
                  </w:r>
                </w:p>
              </w:tc>
            </w:tr>
          </w:tbl>
          <w:p w14:paraId="7A506444">
            <w:pPr>
              <w:pStyle w:val="3"/>
              <w:ind w:firstLine="482"/>
              <w:rPr>
                <w:b/>
                <w:bCs/>
              </w:rPr>
            </w:pPr>
            <w:r>
              <w:rPr>
                <w:rFonts w:hint="eastAsia"/>
                <w:b/>
                <w:bCs/>
              </w:rPr>
              <w:t>6、废水环境影响结论</w:t>
            </w:r>
          </w:p>
          <w:p w14:paraId="6FDEB955">
            <w:pPr>
              <w:pStyle w:val="3"/>
              <w:ind w:firstLine="480"/>
            </w:pPr>
            <w:r>
              <w:rPr>
                <w:rFonts w:hint="eastAsia"/>
              </w:rPr>
              <w:t>本项目污水采用上述措施进行处理是可行的，项目产生的污水对周边地表水环境影响较小，可满足环境管理要求。</w:t>
            </w:r>
          </w:p>
          <w:p w14:paraId="1AE25DB7">
            <w:pPr>
              <w:pStyle w:val="48"/>
            </w:pPr>
          </w:p>
          <w:p w14:paraId="26082BC0">
            <w:pPr>
              <w:pStyle w:val="3"/>
              <w:keepNext/>
              <w:ind w:firstLine="480"/>
            </w:pPr>
          </w:p>
        </w:tc>
      </w:tr>
    </w:tbl>
    <w:p w14:paraId="5F90279C">
      <w:pPr>
        <w:pStyle w:val="3"/>
        <w:ind w:firstLine="480"/>
        <w:sectPr>
          <w:pgSz w:w="11907" w:h="16840"/>
          <w:pgMar w:top="1701" w:right="1531" w:bottom="2127" w:left="1531" w:header="851" w:footer="851" w:gutter="0"/>
          <w:cols w:space="720" w:num="1"/>
          <w:docGrid w:linePitch="312" w:charSpace="0"/>
        </w:sectPr>
      </w:pP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1"/>
        <w:gridCol w:w="12657"/>
      </w:tblGrid>
      <w:tr w14:paraId="19607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 w:type="pct"/>
            <w:vAlign w:val="center"/>
          </w:tcPr>
          <w:p w14:paraId="21359E90">
            <w:pPr>
              <w:pStyle w:val="64"/>
              <w:rPr>
                <w:rFonts w:hint="eastAsia"/>
              </w:rPr>
            </w:pPr>
            <w:r>
              <w:rPr>
                <w:rFonts w:hint="eastAsia" w:cs="宋体"/>
                <w:bCs/>
              </w:rPr>
              <w:t>运营期环境影响和保护措施</w:t>
            </w:r>
          </w:p>
        </w:tc>
        <w:tc>
          <w:tcPr>
            <w:tcW w:w="4784" w:type="pct"/>
            <w:vAlign w:val="center"/>
          </w:tcPr>
          <w:p w14:paraId="15404657">
            <w:pPr>
              <w:pStyle w:val="7"/>
            </w:pPr>
            <w:r>
              <w:rPr>
                <w:rFonts w:hint="eastAsia"/>
              </w:rPr>
              <w:t>三、噪声</w:t>
            </w:r>
          </w:p>
          <w:p w14:paraId="5DD74561">
            <w:pPr>
              <w:pStyle w:val="51"/>
            </w:pPr>
            <w:r>
              <w:rPr>
                <w:rFonts w:hint="eastAsia"/>
              </w:rPr>
              <w:t>1、声源情况</w:t>
            </w:r>
          </w:p>
          <w:p w14:paraId="268D88E9">
            <w:pPr>
              <w:pStyle w:val="3"/>
              <w:ind w:firstLine="480"/>
            </w:pPr>
            <w:r>
              <w:rPr>
                <w:rFonts w:hint="eastAsia"/>
              </w:rPr>
              <w:t>运营期噪声主要来源于车间内的双轴撕碎机、滚筒筛分机、综合风选机、引风机等各类机械设备，类比同类型企业，主要设备噪声值约70~85dB(A)。项目噪声源较高</w:t>
            </w:r>
            <w:r>
              <w:rPr>
                <w:rFonts w:hint="eastAsia"/>
                <w:b/>
                <w:bCs/>
              </w:rPr>
              <w:t>。</w:t>
            </w:r>
            <w:r>
              <w:rPr>
                <w:rFonts w:hint="eastAsia"/>
              </w:rPr>
              <w:t>为减轻噪声对环境的影响，本环评要求选用低噪声动力设备与机械设备，高噪声设备安装减震垫；运行时对设备进行维护，确保设备运转正常，避免故障运行的情况。</w:t>
            </w:r>
          </w:p>
          <w:p w14:paraId="1ECA10FD">
            <w:pPr>
              <w:pStyle w:val="48"/>
            </w:pPr>
            <w:bookmarkStart w:id="81" w:name="_Ref176952915"/>
            <w:r>
              <w:rPr>
                <w:rFonts w:hint="eastAsia"/>
              </w:rPr>
              <w:t xml:space="preserve">表4- </w:t>
            </w:r>
            <w:r>
              <w:fldChar w:fldCharType="begin"/>
            </w:r>
            <w:r>
              <w:instrText xml:space="preserve"> </w:instrText>
            </w:r>
            <w:r>
              <w:rPr>
                <w:rFonts w:hint="eastAsia"/>
              </w:rPr>
              <w:instrText xml:space="preserve">SEQ 表4- \* ARABIC</w:instrText>
            </w:r>
            <w:r>
              <w:instrText xml:space="preserve"> </w:instrText>
            </w:r>
            <w:r>
              <w:fldChar w:fldCharType="separate"/>
            </w:r>
            <w:r>
              <w:t>11</w:t>
            </w:r>
            <w:r>
              <w:fldChar w:fldCharType="end"/>
            </w:r>
            <w:r>
              <w:rPr>
                <w:rFonts w:hint="eastAsia"/>
              </w:rPr>
              <w:t>：工业企业噪声源强调查清单（室内声源）</w:t>
            </w:r>
            <w:bookmarkEnd w:id="81"/>
          </w:p>
          <w:tbl>
            <w:tblPr>
              <w:tblStyle w:val="4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334"/>
              <w:gridCol w:w="544"/>
              <w:gridCol w:w="1231"/>
              <w:gridCol w:w="709"/>
              <w:gridCol w:w="1026"/>
              <w:gridCol w:w="354"/>
              <w:gridCol w:w="354"/>
              <w:gridCol w:w="340"/>
              <w:gridCol w:w="377"/>
              <w:gridCol w:w="377"/>
              <w:gridCol w:w="377"/>
              <w:gridCol w:w="377"/>
              <w:gridCol w:w="396"/>
              <w:gridCol w:w="396"/>
              <w:gridCol w:w="396"/>
              <w:gridCol w:w="418"/>
              <w:gridCol w:w="608"/>
              <w:gridCol w:w="401"/>
              <w:gridCol w:w="401"/>
              <w:gridCol w:w="401"/>
              <w:gridCol w:w="401"/>
              <w:gridCol w:w="377"/>
              <w:gridCol w:w="377"/>
              <w:gridCol w:w="377"/>
              <w:gridCol w:w="377"/>
              <w:gridCol w:w="715"/>
            </w:tblGrid>
            <w:tr w14:paraId="609784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92" w:hRule="exact"/>
                <w:jc w:val="center"/>
              </w:trPr>
              <w:tc>
                <w:tcPr>
                  <w:tcW w:w="0" w:type="auto"/>
                  <w:vMerge w:val="restar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51EDA3EA">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sz w:val="15"/>
                      <w:szCs w:val="15"/>
                      <w14:ligatures w14:val="standardContextual"/>
                    </w:rPr>
                  </w:pPr>
                  <w:bookmarkStart w:id="82" w:name="PT_6"/>
                  <w:r>
                    <w:rPr>
                      <w:rFonts w:hint="default" w:ascii="Times New Roman" w:hAnsi="Times New Roman" w:eastAsia="宋体" w:cs="Times New Roman"/>
                      <w:b/>
                      <w:i w:val="0"/>
                      <w:snapToGrid w:val="0"/>
                      <w:sz w:val="15"/>
                      <w:szCs w:val="15"/>
                      <w14:ligatures w14:val="standardContextual"/>
                    </w:rPr>
                    <w:t>序号</w:t>
                  </w:r>
                </w:p>
              </w:tc>
              <w:tc>
                <w:tcPr>
                  <w:tcW w:w="0" w:type="auto"/>
                  <w:vMerge w:val="restar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24B63C73">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sz w:val="15"/>
                      <w:szCs w:val="15"/>
                      <w14:ligatures w14:val="standardContextual"/>
                    </w:rPr>
                  </w:pPr>
                  <w:r>
                    <w:rPr>
                      <w:rFonts w:hint="default" w:ascii="Times New Roman" w:hAnsi="Times New Roman" w:eastAsia="宋体" w:cs="Times New Roman"/>
                      <w:b/>
                      <w:i w:val="0"/>
                      <w:snapToGrid w:val="0"/>
                      <w:sz w:val="15"/>
                      <w:szCs w:val="15"/>
                      <w14:ligatures w14:val="standardContextual"/>
                    </w:rPr>
                    <w:t>建筑物名称</w:t>
                  </w:r>
                </w:p>
              </w:tc>
              <w:tc>
                <w:tcPr>
                  <w:tcW w:w="1231" w:type="dxa"/>
                  <w:vMerge w:val="restar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7E39C597">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sz w:val="15"/>
                      <w:szCs w:val="15"/>
                      <w14:ligatures w14:val="standardContextual"/>
                    </w:rPr>
                  </w:pPr>
                  <w:r>
                    <w:rPr>
                      <w:rFonts w:hint="default" w:ascii="Times New Roman" w:hAnsi="Times New Roman" w:eastAsia="宋体" w:cs="Times New Roman"/>
                      <w:b/>
                      <w:i w:val="0"/>
                      <w:snapToGrid w:val="0"/>
                      <w:sz w:val="15"/>
                      <w:szCs w:val="15"/>
                      <w14:ligatures w14:val="standardContextual"/>
                    </w:rPr>
                    <w:t>声源名称</w:t>
                  </w:r>
                </w:p>
              </w:tc>
              <w:tc>
                <w:tcPr>
                  <w:tcW w:w="709"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095E2C71">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sz w:val="15"/>
                      <w:szCs w:val="15"/>
                      <w14:ligatures w14:val="standardContextual"/>
                    </w:rPr>
                  </w:pPr>
                  <w:r>
                    <w:rPr>
                      <w:rFonts w:hint="default" w:ascii="Times New Roman" w:hAnsi="Times New Roman" w:eastAsia="宋体" w:cs="Times New Roman"/>
                      <w:b/>
                      <w:i w:val="0"/>
                      <w:snapToGrid w:val="0"/>
                      <w:sz w:val="15"/>
                      <w:szCs w:val="15"/>
                      <w14:ligatures w14:val="standardContextual"/>
                    </w:rPr>
                    <w:t>声源源强</w:t>
                  </w:r>
                </w:p>
              </w:tc>
              <w:tc>
                <w:tcPr>
                  <w:tcW w:w="1026" w:type="dxa"/>
                  <w:vMerge w:val="restar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7CDBA4D1">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sz w:val="15"/>
                      <w:szCs w:val="15"/>
                      <w14:ligatures w14:val="standardContextual"/>
                    </w:rPr>
                  </w:pPr>
                  <w:r>
                    <w:rPr>
                      <w:rFonts w:hint="default" w:ascii="Times New Roman" w:hAnsi="Times New Roman" w:eastAsia="宋体" w:cs="Times New Roman"/>
                      <w:b/>
                      <w:i w:val="0"/>
                      <w:snapToGrid w:val="0"/>
                      <w:sz w:val="15"/>
                      <w:szCs w:val="15"/>
                      <w14:ligatures w14:val="standardContextual"/>
                    </w:rPr>
                    <w:t>声源控制措施</w:t>
                  </w:r>
                </w:p>
              </w:tc>
              <w:tc>
                <w:tcPr>
                  <w:tcW w:w="0" w:type="auto"/>
                  <w:gridSpan w:val="3"/>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114EE7DB">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sz w:val="15"/>
                      <w:szCs w:val="15"/>
                      <w14:ligatures w14:val="standardContextual"/>
                    </w:rPr>
                  </w:pPr>
                  <w:r>
                    <w:rPr>
                      <w:rFonts w:hint="default" w:ascii="Times New Roman" w:hAnsi="Times New Roman" w:eastAsia="宋体" w:cs="Times New Roman"/>
                      <w:b/>
                      <w:i w:val="0"/>
                      <w:snapToGrid w:val="0"/>
                      <w:sz w:val="15"/>
                      <w:szCs w:val="15"/>
                      <w14:ligatures w14:val="standardContextual"/>
                    </w:rPr>
                    <w:t>空间相对位置/m</w:t>
                  </w:r>
                </w:p>
              </w:tc>
              <w:tc>
                <w:tcPr>
                  <w:tcW w:w="0" w:type="auto"/>
                  <w:gridSpan w:val="4"/>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1B216ED7">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sz w:val="15"/>
                      <w:szCs w:val="15"/>
                      <w14:ligatures w14:val="standardContextual"/>
                    </w:rPr>
                  </w:pPr>
                  <w:r>
                    <w:rPr>
                      <w:rFonts w:hint="default" w:ascii="Times New Roman" w:hAnsi="Times New Roman" w:eastAsia="宋体" w:cs="Times New Roman"/>
                      <w:b/>
                      <w:i w:val="0"/>
                      <w:snapToGrid w:val="0"/>
                      <w:sz w:val="15"/>
                      <w:szCs w:val="15"/>
                      <w14:ligatures w14:val="standardContextual"/>
                    </w:rPr>
                    <w:t>距室内边界距离/m</w:t>
                  </w:r>
                </w:p>
              </w:tc>
              <w:tc>
                <w:tcPr>
                  <w:tcW w:w="1671" w:type="dxa"/>
                  <w:gridSpan w:val="4"/>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6CA5DD02">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sz w:val="15"/>
                      <w:szCs w:val="15"/>
                      <w14:ligatures w14:val="standardContextual"/>
                    </w:rPr>
                  </w:pPr>
                  <w:r>
                    <w:rPr>
                      <w:rFonts w:hint="default" w:ascii="Times New Roman" w:hAnsi="Times New Roman" w:eastAsia="宋体" w:cs="Times New Roman"/>
                      <w:b/>
                      <w:i w:val="0"/>
                      <w:snapToGrid w:val="0"/>
                      <w:sz w:val="15"/>
                      <w:szCs w:val="15"/>
                      <w14:ligatures w14:val="standardContextual"/>
                    </w:rPr>
                    <w:t>室内边界声级/dB(A)</w:t>
                  </w:r>
                </w:p>
              </w:tc>
              <w:tc>
                <w:tcPr>
                  <w:tcW w:w="608" w:type="dxa"/>
                  <w:vMerge w:val="restar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321C8AB1">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sz w:val="15"/>
                      <w:szCs w:val="15"/>
                      <w14:ligatures w14:val="standardContextual"/>
                    </w:rPr>
                  </w:pPr>
                  <w:r>
                    <w:rPr>
                      <w:rFonts w:hint="default" w:ascii="Times New Roman" w:hAnsi="Times New Roman" w:eastAsia="宋体" w:cs="Times New Roman"/>
                      <w:b/>
                      <w:i w:val="0"/>
                      <w:snapToGrid w:val="0"/>
                      <w:sz w:val="15"/>
                      <w:szCs w:val="15"/>
                      <w14:ligatures w14:val="standardContextual"/>
                    </w:rPr>
                    <w:t>运行时段</w:t>
                  </w:r>
                </w:p>
              </w:tc>
              <w:tc>
                <w:tcPr>
                  <w:tcW w:w="0" w:type="auto"/>
                  <w:gridSpan w:val="4"/>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0C01709C">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sz w:val="15"/>
                      <w:szCs w:val="15"/>
                      <w14:ligatures w14:val="standardContextual"/>
                    </w:rPr>
                  </w:pPr>
                  <w:r>
                    <w:rPr>
                      <w:rFonts w:hint="default" w:ascii="Times New Roman" w:hAnsi="Times New Roman" w:eastAsia="宋体" w:cs="Times New Roman"/>
                      <w:b/>
                      <w:i w:val="0"/>
                      <w:snapToGrid w:val="0"/>
                      <w:sz w:val="15"/>
                      <w:szCs w:val="15"/>
                      <w14:ligatures w14:val="standardContextual"/>
                    </w:rPr>
                    <w:t>建筑物插入损失 / dB(A)</w:t>
                  </w:r>
                  <w:bookmarkStart w:id="83" w:name="PT_10"/>
                  <w:bookmarkEnd w:id="83"/>
                </w:p>
              </w:tc>
              <w:tc>
                <w:tcPr>
                  <w:tcW w:w="0" w:type="auto"/>
                  <w:gridSpan w:val="5"/>
                  <w:tcBorders>
                    <w:top w:val="single" w:color="auto" w:sz="12" w:space="0"/>
                    <w:bottom w:val="single" w:color="auto" w:sz="12" w:space="0"/>
                    <w:right w:val="nil"/>
                    <w:insideH w:val="single" w:sz="12" w:space="0"/>
                    <w:insideV w:val="single" w:sz="4" w:space="0"/>
                    <w:tl2br w:val="nil"/>
                    <w:tr2bl w:val="nil"/>
                  </w:tcBorders>
                  <w:vAlign w:val="center"/>
                </w:tcPr>
                <w:p w14:paraId="2E49CF03">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sz w:val="15"/>
                      <w:szCs w:val="15"/>
                      <w14:ligatures w14:val="standardContextual"/>
                    </w:rPr>
                  </w:pPr>
                  <w:r>
                    <w:rPr>
                      <w:rFonts w:hint="default" w:ascii="Times New Roman" w:hAnsi="Times New Roman" w:eastAsia="宋体" w:cs="Times New Roman"/>
                      <w:b/>
                      <w:i w:val="0"/>
                      <w:snapToGrid w:val="0"/>
                      <w:sz w:val="15"/>
                      <w:szCs w:val="15"/>
                      <w14:ligatures w14:val="standardContextual"/>
                    </w:rPr>
                    <w:t>建筑物外噪声声压级/dB(A)</w:t>
                  </w:r>
                </w:p>
              </w:tc>
            </w:tr>
            <w:tr w14:paraId="620376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continue"/>
                  <w:vAlign w:val="center"/>
                </w:tcPr>
                <w:p w14:paraId="2FCB96DB">
                  <w:pPr>
                    <w:widowControl w:val="0"/>
                    <w:overflowPunct w:val="0"/>
                    <w:autoSpaceDE w:val="0"/>
                    <w:autoSpaceDN w:val="0"/>
                    <w:snapToGrid w:val="0"/>
                    <w:jc w:val="center"/>
                    <w:rPr>
                      <w:snapToGrid w:val="0"/>
                      <w:sz w:val="15"/>
                      <w:szCs w:val="15"/>
                      <w14:ligatures w14:val="standardContextual"/>
                    </w:rPr>
                  </w:pPr>
                </w:p>
              </w:tc>
              <w:tc>
                <w:tcPr>
                  <w:tcW w:w="0" w:type="auto"/>
                  <w:vMerge w:val="continue"/>
                  <w:vAlign w:val="center"/>
                </w:tcPr>
                <w:p w14:paraId="30672DBF">
                  <w:pPr>
                    <w:widowControl w:val="0"/>
                    <w:overflowPunct w:val="0"/>
                    <w:autoSpaceDE w:val="0"/>
                    <w:autoSpaceDN w:val="0"/>
                    <w:snapToGrid w:val="0"/>
                    <w:jc w:val="center"/>
                    <w:rPr>
                      <w:snapToGrid w:val="0"/>
                      <w:sz w:val="15"/>
                      <w:szCs w:val="15"/>
                      <w14:ligatures w14:val="standardContextual"/>
                    </w:rPr>
                  </w:pPr>
                </w:p>
              </w:tc>
              <w:tc>
                <w:tcPr>
                  <w:tcW w:w="1231" w:type="dxa"/>
                  <w:vMerge w:val="continue"/>
                  <w:vAlign w:val="center"/>
                </w:tcPr>
                <w:p w14:paraId="0152B83B">
                  <w:pPr>
                    <w:widowControl w:val="0"/>
                    <w:overflowPunct w:val="0"/>
                    <w:autoSpaceDE w:val="0"/>
                    <w:autoSpaceDN w:val="0"/>
                    <w:snapToGrid w:val="0"/>
                    <w:jc w:val="center"/>
                    <w:rPr>
                      <w:snapToGrid w:val="0"/>
                      <w:sz w:val="15"/>
                      <w:szCs w:val="15"/>
                      <w14:ligatures w14:val="standardContextual"/>
                    </w:rPr>
                  </w:pPr>
                </w:p>
              </w:tc>
              <w:tc>
                <w:tcPr>
                  <w:tcW w:w="709" w:type="dxa"/>
                  <w:vAlign w:val="center"/>
                </w:tcPr>
                <w:p w14:paraId="5D72599E">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声功率级/dB(A)</w:t>
                  </w:r>
                </w:p>
              </w:tc>
              <w:tc>
                <w:tcPr>
                  <w:tcW w:w="1026" w:type="dxa"/>
                  <w:vMerge w:val="continue"/>
                  <w:vAlign w:val="center"/>
                </w:tcPr>
                <w:p w14:paraId="06E4E65C">
                  <w:pPr>
                    <w:widowControl w:val="0"/>
                    <w:overflowPunct w:val="0"/>
                    <w:autoSpaceDE w:val="0"/>
                    <w:autoSpaceDN w:val="0"/>
                    <w:snapToGrid w:val="0"/>
                    <w:jc w:val="center"/>
                    <w:rPr>
                      <w:snapToGrid w:val="0"/>
                      <w:sz w:val="15"/>
                      <w:szCs w:val="15"/>
                      <w14:ligatures w14:val="standardContextual"/>
                    </w:rPr>
                  </w:pPr>
                </w:p>
              </w:tc>
              <w:tc>
                <w:tcPr>
                  <w:tcW w:w="0" w:type="auto"/>
                  <w:vAlign w:val="center"/>
                </w:tcPr>
                <w:p w14:paraId="1665FBD7">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X</w:t>
                  </w:r>
                </w:p>
              </w:tc>
              <w:tc>
                <w:tcPr>
                  <w:tcW w:w="0" w:type="auto"/>
                  <w:vAlign w:val="center"/>
                </w:tcPr>
                <w:p w14:paraId="617B2538">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Y</w:t>
                  </w:r>
                </w:p>
              </w:tc>
              <w:tc>
                <w:tcPr>
                  <w:tcW w:w="0" w:type="auto"/>
                  <w:vAlign w:val="center"/>
                </w:tcPr>
                <w:p w14:paraId="4C4FC570">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Z</w:t>
                  </w:r>
                </w:p>
              </w:tc>
              <w:tc>
                <w:tcPr>
                  <w:tcW w:w="0" w:type="auto"/>
                  <w:vAlign w:val="center"/>
                </w:tcPr>
                <w:p w14:paraId="2B562956">
                  <w:pPr>
                    <w:widowControl w:val="0"/>
                    <w:overflowPunct w:val="0"/>
                    <w:autoSpaceDE w:val="0"/>
                    <w:autoSpaceDN w:val="0"/>
                    <w:snapToGrid w:val="0"/>
                    <w:jc w:val="center"/>
                    <w:rPr>
                      <w:snapToGrid w:val="0"/>
                      <w:sz w:val="15"/>
                      <w:szCs w:val="15"/>
                      <w14:ligatures w14:val="standardContextual"/>
                    </w:rPr>
                  </w:pPr>
                  <w:r>
                    <w:rPr>
                      <w:rFonts w:hint="eastAsia"/>
                      <w:snapToGrid w:val="0"/>
                      <w:sz w:val="15"/>
                      <w:szCs w:val="15"/>
                      <w14:ligatures w14:val="standardContextual"/>
                    </w:rPr>
                    <w:t>东</w:t>
                  </w:r>
                </w:p>
              </w:tc>
              <w:tc>
                <w:tcPr>
                  <w:tcW w:w="0" w:type="auto"/>
                  <w:vAlign w:val="center"/>
                </w:tcPr>
                <w:p w14:paraId="237CA54E">
                  <w:pPr>
                    <w:widowControl w:val="0"/>
                    <w:overflowPunct w:val="0"/>
                    <w:autoSpaceDE w:val="0"/>
                    <w:autoSpaceDN w:val="0"/>
                    <w:snapToGrid w:val="0"/>
                    <w:jc w:val="center"/>
                    <w:rPr>
                      <w:snapToGrid w:val="0"/>
                      <w:sz w:val="15"/>
                      <w:szCs w:val="15"/>
                      <w14:ligatures w14:val="standardContextual"/>
                    </w:rPr>
                  </w:pPr>
                  <w:r>
                    <w:rPr>
                      <w:rFonts w:hint="eastAsia"/>
                      <w:snapToGrid w:val="0"/>
                      <w:sz w:val="15"/>
                      <w:szCs w:val="15"/>
                      <w14:ligatures w14:val="standardContextual"/>
                    </w:rPr>
                    <w:t>南</w:t>
                  </w:r>
                </w:p>
              </w:tc>
              <w:tc>
                <w:tcPr>
                  <w:tcW w:w="0" w:type="auto"/>
                  <w:vAlign w:val="center"/>
                </w:tcPr>
                <w:p w14:paraId="7FDE6BBC">
                  <w:pPr>
                    <w:widowControl w:val="0"/>
                    <w:overflowPunct w:val="0"/>
                    <w:autoSpaceDE w:val="0"/>
                    <w:autoSpaceDN w:val="0"/>
                    <w:snapToGrid w:val="0"/>
                    <w:jc w:val="center"/>
                    <w:rPr>
                      <w:snapToGrid w:val="0"/>
                      <w:sz w:val="15"/>
                      <w:szCs w:val="15"/>
                      <w14:ligatures w14:val="standardContextual"/>
                    </w:rPr>
                  </w:pPr>
                  <w:r>
                    <w:rPr>
                      <w:rFonts w:hint="eastAsia"/>
                      <w:snapToGrid w:val="0"/>
                      <w:sz w:val="15"/>
                      <w:szCs w:val="15"/>
                      <w14:ligatures w14:val="standardContextual"/>
                    </w:rPr>
                    <w:t>西</w:t>
                  </w:r>
                </w:p>
              </w:tc>
              <w:tc>
                <w:tcPr>
                  <w:tcW w:w="0" w:type="auto"/>
                  <w:vAlign w:val="center"/>
                </w:tcPr>
                <w:p w14:paraId="12D819AA">
                  <w:pPr>
                    <w:widowControl w:val="0"/>
                    <w:overflowPunct w:val="0"/>
                    <w:autoSpaceDE w:val="0"/>
                    <w:autoSpaceDN w:val="0"/>
                    <w:snapToGrid w:val="0"/>
                    <w:jc w:val="center"/>
                    <w:rPr>
                      <w:snapToGrid w:val="0"/>
                      <w:sz w:val="15"/>
                      <w:szCs w:val="15"/>
                      <w14:ligatures w14:val="standardContextual"/>
                    </w:rPr>
                  </w:pPr>
                  <w:r>
                    <w:rPr>
                      <w:rFonts w:hint="eastAsia"/>
                      <w:snapToGrid w:val="0"/>
                      <w:sz w:val="15"/>
                      <w:szCs w:val="15"/>
                      <w14:ligatures w14:val="standardContextual"/>
                    </w:rPr>
                    <w:t>北</w:t>
                  </w:r>
                </w:p>
              </w:tc>
              <w:tc>
                <w:tcPr>
                  <w:tcW w:w="0" w:type="auto"/>
                  <w:vAlign w:val="center"/>
                </w:tcPr>
                <w:p w14:paraId="075D46BC">
                  <w:pPr>
                    <w:widowControl w:val="0"/>
                    <w:overflowPunct w:val="0"/>
                    <w:autoSpaceDE w:val="0"/>
                    <w:autoSpaceDN w:val="0"/>
                    <w:snapToGrid w:val="0"/>
                    <w:jc w:val="center"/>
                    <w:rPr>
                      <w:snapToGrid w:val="0"/>
                      <w:sz w:val="15"/>
                      <w:szCs w:val="15"/>
                      <w14:ligatures w14:val="standardContextual"/>
                    </w:rPr>
                  </w:pPr>
                  <w:r>
                    <w:rPr>
                      <w:rFonts w:hint="eastAsia"/>
                      <w:snapToGrid w:val="0"/>
                      <w:sz w:val="15"/>
                      <w:szCs w:val="15"/>
                      <w14:ligatures w14:val="standardContextual"/>
                    </w:rPr>
                    <w:t>东</w:t>
                  </w:r>
                </w:p>
              </w:tc>
              <w:tc>
                <w:tcPr>
                  <w:tcW w:w="0" w:type="auto"/>
                  <w:vAlign w:val="center"/>
                </w:tcPr>
                <w:p w14:paraId="206F41B6">
                  <w:pPr>
                    <w:widowControl w:val="0"/>
                    <w:overflowPunct w:val="0"/>
                    <w:autoSpaceDE w:val="0"/>
                    <w:autoSpaceDN w:val="0"/>
                    <w:snapToGrid w:val="0"/>
                    <w:jc w:val="center"/>
                    <w:rPr>
                      <w:snapToGrid w:val="0"/>
                      <w:sz w:val="15"/>
                      <w:szCs w:val="15"/>
                      <w14:ligatures w14:val="standardContextual"/>
                    </w:rPr>
                  </w:pPr>
                  <w:r>
                    <w:rPr>
                      <w:rFonts w:hint="eastAsia"/>
                      <w:snapToGrid w:val="0"/>
                      <w:sz w:val="15"/>
                      <w:szCs w:val="15"/>
                      <w14:ligatures w14:val="standardContextual"/>
                    </w:rPr>
                    <w:t>南</w:t>
                  </w:r>
                </w:p>
              </w:tc>
              <w:tc>
                <w:tcPr>
                  <w:tcW w:w="0" w:type="auto"/>
                  <w:vAlign w:val="center"/>
                </w:tcPr>
                <w:p w14:paraId="6738AB6C">
                  <w:pPr>
                    <w:widowControl w:val="0"/>
                    <w:overflowPunct w:val="0"/>
                    <w:autoSpaceDE w:val="0"/>
                    <w:autoSpaceDN w:val="0"/>
                    <w:snapToGrid w:val="0"/>
                    <w:jc w:val="center"/>
                    <w:rPr>
                      <w:snapToGrid w:val="0"/>
                      <w:sz w:val="15"/>
                      <w:szCs w:val="15"/>
                      <w14:ligatures w14:val="standardContextual"/>
                    </w:rPr>
                  </w:pPr>
                  <w:r>
                    <w:rPr>
                      <w:rFonts w:hint="eastAsia"/>
                      <w:snapToGrid w:val="0"/>
                      <w:sz w:val="15"/>
                      <w:szCs w:val="15"/>
                      <w14:ligatures w14:val="standardContextual"/>
                    </w:rPr>
                    <w:t>西</w:t>
                  </w:r>
                </w:p>
              </w:tc>
              <w:tc>
                <w:tcPr>
                  <w:tcW w:w="258" w:type="dxa"/>
                  <w:vAlign w:val="center"/>
                </w:tcPr>
                <w:p w14:paraId="041532F1">
                  <w:pPr>
                    <w:widowControl w:val="0"/>
                    <w:overflowPunct w:val="0"/>
                    <w:autoSpaceDE w:val="0"/>
                    <w:autoSpaceDN w:val="0"/>
                    <w:snapToGrid w:val="0"/>
                    <w:jc w:val="center"/>
                    <w:rPr>
                      <w:snapToGrid w:val="0"/>
                      <w:sz w:val="15"/>
                      <w:szCs w:val="15"/>
                      <w14:ligatures w14:val="standardContextual"/>
                    </w:rPr>
                  </w:pPr>
                  <w:r>
                    <w:rPr>
                      <w:rFonts w:hint="eastAsia"/>
                      <w:snapToGrid w:val="0"/>
                      <w:sz w:val="15"/>
                      <w:szCs w:val="15"/>
                      <w14:ligatures w14:val="standardContextual"/>
                    </w:rPr>
                    <w:t>北</w:t>
                  </w:r>
                </w:p>
              </w:tc>
              <w:tc>
                <w:tcPr>
                  <w:tcW w:w="608" w:type="dxa"/>
                  <w:vMerge w:val="continue"/>
                  <w:vAlign w:val="center"/>
                </w:tcPr>
                <w:p w14:paraId="3C4FFFD3">
                  <w:pPr>
                    <w:widowControl w:val="0"/>
                    <w:overflowPunct w:val="0"/>
                    <w:autoSpaceDE w:val="0"/>
                    <w:autoSpaceDN w:val="0"/>
                    <w:snapToGrid w:val="0"/>
                    <w:jc w:val="center"/>
                    <w:rPr>
                      <w:snapToGrid w:val="0"/>
                      <w:sz w:val="15"/>
                      <w:szCs w:val="15"/>
                      <w14:ligatures w14:val="standardContextual"/>
                    </w:rPr>
                  </w:pPr>
                </w:p>
              </w:tc>
              <w:tc>
                <w:tcPr>
                  <w:tcW w:w="0" w:type="auto"/>
                  <w:vAlign w:val="center"/>
                </w:tcPr>
                <w:p w14:paraId="641604F0">
                  <w:pPr>
                    <w:widowControl w:val="0"/>
                    <w:overflowPunct w:val="0"/>
                    <w:autoSpaceDE w:val="0"/>
                    <w:autoSpaceDN w:val="0"/>
                    <w:snapToGrid w:val="0"/>
                    <w:jc w:val="center"/>
                    <w:rPr>
                      <w:snapToGrid w:val="0"/>
                      <w:sz w:val="15"/>
                      <w:szCs w:val="15"/>
                      <w14:ligatures w14:val="standardContextual"/>
                    </w:rPr>
                  </w:pPr>
                  <w:r>
                    <w:rPr>
                      <w:rFonts w:hint="eastAsia"/>
                      <w:snapToGrid w:val="0"/>
                      <w:sz w:val="15"/>
                      <w:szCs w:val="15"/>
                      <w14:ligatures w14:val="standardContextual"/>
                    </w:rPr>
                    <w:t>东</w:t>
                  </w:r>
                </w:p>
              </w:tc>
              <w:tc>
                <w:tcPr>
                  <w:tcW w:w="0" w:type="auto"/>
                  <w:vAlign w:val="center"/>
                </w:tcPr>
                <w:p w14:paraId="3BC8495F">
                  <w:pPr>
                    <w:widowControl w:val="0"/>
                    <w:overflowPunct w:val="0"/>
                    <w:autoSpaceDE w:val="0"/>
                    <w:autoSpaceDN w:val="0"/>
                    <w:snapToGrid w:val="0"/>
                    <w:jc w:val="center"/>
                    <w:rPr>
                      <w:snapToGrid w:val="0"/>
                      <w:sz w:val="15"/>
                      <w:szCs w:val="15"/>
                      <w14:ligatures w14:val="standardContextual"/>
                    </w:rPr>
                  </w:pPr>
                  <w:r>
                    <w:rPr>
                      <w:rFonts w:hint="eastAsia"/>
                      <w:snapToGrid w:val="0"/>
                      <w:sz w:val="15"/>
                      <w:szCs w:val="15"/>
                      <w14:ligatures w14:val="standardContextual"/>
                    </w:rPr>
                    <w:t>南</w:t>
                  </w:r>
                </w:p>
              </w:tc>
              <w:tc>
                <w:tcPr>
                  <w:tcW w:w="0" w:type="auto"/>
                  <w:vAlign w:val="center"/>
                </w:tcPr>
                <w:p w14:paraId="0DB3A7B8">
                  <w:pPr>
                    <w:widowControl w:val="0"/>
                    <w:overflowPunct w:val="0"/>
                    <w:autoSpaceDE w:val="0"/>
                    <w:autoSpaceDN w:val="0"/>
                    <w:snapToGrid w:val="0"/>
                    <w:jc w:val="center"/>
                    <w:rPr>
                      <w:snapToGrid w:val="0"/>
                      <w:sz w:val="15"/>
                      <w:szCs w:val="15"/>
                      <w14:ligatures w14:val="standardContextual"/>
                    </w:rPr>
                  </w:pPr>
                  <w:r>
                    <w:rPr>
                      <w:rFonts w:hint="eastAsia"/>
                      <w:snapToGrid w:val="0"/>
                      <w:sz w:val="15"/>
                      <w:szCs w:val="15"/>
                      <w14:ligatures w14:val="standardContextual"/>
                    </w:rPr>
                    <w:t>西</w:t>
                  </w:r>
                </w:p>
              </w:tc>
              <w:tc>
                <w:tcPr>
                  <w:tcW w:w="0" w:type="auto"/>
                  <w:vAlign w:val="center"/>
                </w:tcPr>
                <w:p w14:paraId="4035E807">
                  <w:pPr>
                    <w:widowControl w:val="0"/>
                    <w:overflowPunct w:val="0"/>
                    <w:autoSpaceDE w:val="0"/>
                    <w:autoSpaceDN w:val="0"/>
                    <w:snapToGrid w:val="0"/>
                    <w:jc w:val="center"/>
                    <w:rPr>
                      <w:snapToGrid w:val="0"/>
                      <w:sz w:val="15"/>
                      <w:szCs w:val="15"/>
                      <w14:ligatures w14:val="standardContextual"/>
                    </w:rPr>
                  </w:pPr>
                  <w:r>
                    <w:rPr>
                      <w:rFonts w:hint="eastAsia"/>
                      <w:snapToGrid w:val="0"/>
                      <w:sz w:val="15"/>
                      <w:szCs w:val="15"/>
                      <w14:ligatures w14:val="standardContextual"/>
                    </w:rPr>
                    <w:t>北</w:t>
                  </w:r>
                </w:p>
              </w:tc>
              <w:tc>
                <w:tcPr>
                  <w:tcW w:w="0" w:type="auto"/>
                  <w:vAlign w:val="center"/>
                </w:tcPr>
                <w:p w14:paraId="6F13387F">
                  <w:pPr>
                    <w:widowControl w:val="0"/>
                    <w:overflowPunct w:val="0"/>
                    <w:autoSpaceDE w:val="0"/>
                    <w:autoSpaceDN w:val="0"/>
                    <w:snapToGrid w:val="0"/>
                    <w:jc w:val="center"/>
                    <w:rPr>
                      <w:snapToGrid w:val="0"/>
                      <w:sz w:val="15"/>
                      <w:szCs w:val="15"/>
                      <w14:ligatures w14:val="standardContextual"/>
                    </w:rPr>
                  </w:pPr>
                  <w:r>
                    <w:rPr>
                      <w:rFonts w:hint="eastAsia"/>
                      <w:snapToGrid w:val="0"/>
                      <w:sz w:val="15"/>
                      <w:szCs w:val="15"/>
                      <w14:ligatures w14:val="standardContextual"/>
                    </w:rPr>
                    <w:t>东</w:t>
                  </w:r>
                </w:p>
              </w:tc>
              <w:tc>
                <w:tcPr>
                  <w:tcW w:w="0" w:type="auto"/>
                  <w:vAlign w:val="center"/>
                </w:tcPr>
                <w:p w14:paraId="4F6B45D0">
                  <w:pPr>
                    <w:widowControl w:val="0"/>
                    <w:overflowPunct w:val="0"/>
                    <w:autoSpaceDE w:val="0"/>
                    <w:autoSpaceDN w:val="0"/>
                    <w:snapToGrid w:val="0"/>
                    <w:jc w:val="center"/>
                    <w:rPr>
                      <w:snapToGrid w:val="0"/>
                      <w:sz w:val="15"/>
                      <w:szCs w:val="15"/>
                      <w14:ligatures w14:val="standardContextual"/>
                    </w:rPr>
                  </w:pPr>
                  <w:r>
                    <w:rPr>
                      <w:rFonts w:hint="eastAsia"/>
                      <w:snapToGrid w:val="0"/>
                      <w:sz w:val="15"/>
                      <w:szCs w:val="15"/>
                      <w14:ligatures w14:val="standardContextual"/>
                    </w:rPr>
                    <w:t>南</w:t>
                  </w:r>
                </w:p>
              </w:tc>
              <w:tc>
                <w:tcPr>
                  <w:tcW w:w="0" w:type="auto"/>
                  <w:vAlign w:val="center"/>
                </w:tcPr>
                <w:p w14:paraId="61622922">
                  <w:pPr>
                    <w:widowControl w:val="0"/>
                    <w:overflowPunct w:val="0"/>
                    <w:autoSpaceDE w:val="0"/>
                    <w:autoSpaceDN w:val="0"/>
                    <w:snapToGrid w:val="0"/>
                    <w:jc w:val="center"/>
                    <w:rPr>
                      <w:snapToGrid w:val="0"/>
                      <w:sz w:val="15"/>
                      <w:szCs w:val="15"/>
                      <w14:ligatures w14:val="standardContextual"/>
                    </w:rPr>
                  </w:pPr>
                  <w:r>
                    <w:rPr>
                      <w:rFonts w:hint="eastAsia"/>
                      <w:snapToGrid w:val="0"/>
                      <w:sz w:val="15"/>
                      <w:szCs w:val="15"/>
                      <w14:ligatures w14:val="standardContextual"/>
                    </w:rPr>
                    <w:t>西</w:t>
                  </w:r>
                </w:p>
              </w:tc>
              <w:tc>
                <w:tcPr>
                  <w:tcW w:w="377" w:type="dxa"/>
                  <w:vAlign w:val="center"/>
                </w:tcPr>
                <w:p w14:paraId="0DD0DEC3">
                  <w:pPr>
                    <w:widowControl w:val="0"/>
                    <w:overflowPunct w:val="0"/>
                    <w:autoSpaceDE w:val="0"/>
                    <w:autoSpaceDN w:val="0"/>
                    <w:snapToGrid w:val="0"/>
                    <w:jc w:val="center"/>
                    <w:rPr>
                      <w:snapToGrid w:val="0"/>
                      <w:sz w:val="15"/>
                      <w:szCs w:val="15"/>
                      <w14:ligatures w14:val="standardContextual"/>
                    </w:rPr>
                  </w:pPr>
                  <w:r>
                    <w:rPr>
                      <w:rFonts w:hint="eastAsia"/>
                      <w:snapToGrid w:val="0"/>
                      <w:sz w:val="15"/>
                      <w:szCs w:val="15"/>
                      <w14:ligatures w14:val="standardContextual"/>
                    </w:rPr>
                    <w:t>北</w:t>
                  </w:r>
                </w:p>
              </w:tc>
              <w:tc>
                <w:tcPr>
                  <w:tcW w:w="715" w:type="dxa"/>
                  <w:vAlign w:val="center"/>
                </w:tcPr>
                <w:p w14:paraId="20FE976A">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建筑物外距离</w:t>
                  </w:r>
                </w:p>
              </w:tc>
            </w:tr>
            <w:tr w14:paraId="3CE8CE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Align w:val="center"/>
                </w:tcPr>
                <w:p w14:paraId="39DE5C0A">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1</w:t>
                  </w:r>
                </w:p>
              </w:tc>
              <w:tc>
                <w:tcPr>
                  <w:tcW w:w="0" w:type="auto"/>
                  <w:vMerge w:val="restart"/>
                  <w:vAlign w:val="center"/>
                </w:tcPr>
                <w:p w14:paraId="227DACF9">
                  <w:pPr>
                    <w:widowControl w:val="0"/>
                    <w:overflowPunct w:val="0"/>
                    <w:autoSpaceDE w:val="0"/>
                    <w:autoSpaceDN w:val="0"/>
                    <w:snapToGrid w:val="0"/>
                    <w:jc w:val="center"/>
                    <w:rPr>
                      <w:snapToGrid w:val="0"/>
                      <w:sz w:val="15"/>
                      <w:szCs w:val="15"/>
                      <w14:ligatures w14:val="standardContextual"/>
                    </w:rPr>
                  </w:pPr>
                  <w:r>
                    <w:rPr>
                      <w:rFonts w:hint="eastAsia"/>
                      <w:snapToGrid w:val="0"/>
                      <w:sz w:val="15"/>
                      <w:szCs w:val="15"/>
                      <w14:ligatures w14:val="standardContextual"/>
                    </w:rPr>
                    <w:t>生产车间</w:t>
                  </w:r>
                </w:p>
              </w:tc>
              <w:tc>
                <w:tcPr>
                  <w:tcW w:w="1231" w:type="dxa"/>
                  <w:vAlign w:val="center"/>
                </w:tcPr>
                <w:p w14:paraId="4A618EEB">
                  <w:pPr>
                    <w:widowControl w:val="0"/>
                    <w:overflowPunct w:val="0"/>
                    <w:autoSpaceDE w:val="0"/>
                    <w:autoSpaceDN w:val="0"/>
                    <w:snapToGrid w:val="0"/>
                    <w:jc w:val="center"/>
                    <w:rPr>
                      <w:snapToGrid w:val="0"/>
                      <w:sz w:val="15"/>
                      <w:szCs w:val="15"/>
                      <w14:ligatures w14:val="standardContextual"/>
                    </w:rPr>
                  </w:pPr>
                  <w:r>
                    <w:rPr>
                      <w:rFonts w:hint="eastAsia"/>
                      <w:snapToGrid w:val="0"/>
                      <w:sz w:val="15"/>
                      <w:szCs w:val="15"/>
                      <w14:ligatures w14:val="standardContextual"/>
                    </w:rPr>
                    <w:t>皮带上料机(2)</w:t>
                  </w:r>
                </w:p>
              </w:tc>
              <w:tc>
                <w:tcPr>
                  <w:tcW w:w="709" w:type="dxa"/>
                  <w:vAlign w:val="center"/>
                </w:tcPr>
                <w:p w14:paraId="1BB4ABA2">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80</w:t>
                  </w:r>
                </w:p>
              </w:tc>
              <w:tc>
                <w:tcPr>
                  <w:tcW w:w="1026" w:type="dxa"/>
                  <w:vMerge w:val="restart"/>
                  <w:vAlign w:val="center"/>
                </w:tcPr>
                <w:p w14:paraId="7D292CA8">
                  <w:pPr>
                    <w:widowControl w:val="0"/>
                    <w:overflowPunct w:val="0"/>
                    <w:autoSpaceDE w:val="0"/>
                    <w:autoSpaceDN w:val="0"/>
                    <w:snapToGrid w:val="0"/>
                    <w:jc w:val="center"/>
                    <w:rPr>
                      <w:snapToGrid w:val="0"/>
                      <w:sz w:val="15"/>
                      <w:szCs w:val="15"/>
                      <w14:ligatures w14:val="standardContextual"/>
                    </w:rPr>
                  </w:pPr>
                  <w:r>
                    <w:rPr>
                      <w:rFonts w:hint="eastAsia"/>
                      <w:snapToGrid w:val="0"/>
                      <w:sz w:val="15"/>
                      <w:szCs w:val="15"/>
                      <w14:ligatures w14:val="standardContextual"/>
                    </w:rPr>
                    <w:t>隔声、吸声、减振降噪、低噪声设备</w:t>
                  </w:r>
                </w:p>
              </w:tc>
              <w:tc>
                <w:tcPr>
                  <w:tcW w:w="0" w:type="auto"/>
                  <w:vAlign w:val="center"/>
                </w:tcPr>
                <w:p w14:paraId="2FA31BD3">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-45</w:t>
                  </w:r>
                </w:p>
              </w:tc>
              <w:tc>
                <w:tcPr>
                  <w:tcW w:w="0" w:type="auto"/>
                  <w:vAlign w:val="center"/>
                </w:tcPr>
                <w:p w14:paraId="1F6F2B9F">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-24</w:t>
                  </w:r>
                </w:p>
              </w:tc>
              <w:tc>
                <w:tcPr>
                  <w:tcW w:w="0" w:type="auto"/>
                  <w:vAlign w:val="center"/>
                </w:tcPr>
                <w:p w14:paraId="06E92E8F">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1.2</w:t>
                  </w:r>
                </w:p>
              </w:tc>
              <w:tc>
                <w:tcPr>
                  <w:tcW w:w="0" w:type="auto"/>
                  <w:vAlign w:val="center"/>
                </w:tcPr>
                <w:p w14:paraId="3AABD57A">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56.5</w:t>
                  </w:r>
                </w:p>
              </w:tc>
              <w:tc>
                <w:tcPr>
                  <w:tcW w:w="0" w:type="auto"/>
                  <w:vAlign w:val="center"/>
                </w:tcPr>
                <w:p w14:paraId="6D2985A1">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10.0</w:t>
                  </w:r>
                </w:p>
              </w:tc>
              <w:tc>
                <w:tcPr>
                  <w:tcW w:w="0" w:type="auto"/>
                  <w:vAlign w:val="center"/>
                </w:tcPr>
                <w:p w14:paraId="6CF8694C">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33.4</w:t>
                  </w:r>
                </w:p>
              </w:tc>
              <w:tc>
                <w:tcPr>
                  <w:tcW w:w="0" w:type="auto"/>
                  <w:vAlign w:val="center"/>
                </w:tcPr>
                <w:p w14:paraId="10EC7389">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20.8</w:t>
                  </w:r>
                </w:p>
              </w:tc>
              <w:tc>
                <w:tcPr>
                  <w:tcW w:w="0" w:type="auto"/>
                  <w:vAlign w:val="center"/>
                </w:tcPr>
                <w:p w14:paraId="5A190A09">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64.6</w:t>
                  </w:r>
                </w:p>
              </w:tc>
              <w:tc>
                <w:tcPr>
                  <w:tcW w:w="0" w:type="auto"/>
                  <w:vAlign w:val="center"/>
                </w:tcPr>
                <w:p w14:paraId="0DA2EF1D">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64.7</w:t>
                  </w:r>
                </w:p>
              </w:tc>
              <w:tc>
                <w:tcPr>
                  <w:tcW w:w="0" w:type="auto"/>
                  <w:vAlign w:val="center"/>
                </w:tcPr>
                <w:p w14:paraId="3EBBD7F8">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64.6</w:t>
                  </w:r>
                </w:p>
              </w:tc>
              <w:tc>
                <w:tcPr>
                  <w:tcW w:w="258" w:type="dxa"/>
                  <w:vAlign w:val="center"/>
                </w:tcPr>
                <w:p w14:paraId="475913EB">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64.6</w:t>
                  </w:r>
                </w:p>
              </w:tc>
              <w:tc>
                <w:tcPr>
                  <w:tcW w:w="608" w:type="dxa"/>
                  <w:vAlign w:val="center"/>
                </w:tcPr>
                <w:p w14:paraId="3F5DFB82">
                  <w:pPr>
                    <w:widowControl w:val="0"/>
                    <w:overflowPunct w:val="0"/>
                    <w:autoSpaceDE w:val="0"/>
                    <w:autoSpaceDN w:val="0"/>
                    <w:snapToGrid w:val="0"/>
                    <w:jc w:val="center"/>
                    <w:rPr>
                      <w:snapToGrid w:val="0"/>
                      <w:sz w:val="15"/>
                      <w:szCs w:val="15"/>
                      <w14:ligatures w14:val="standardContextual"/>
                    </w:rPr>
                  </w:pPr>
                  <w:r>
                    <w:rPr>
                      <w:rFonts w:hint="eastAsia"/>
                      <w:snapToGrid w:val="0"/>
                      <w:sz w:val="15"/>
                      <w:szCs w:val="15"/>
                      <w14:ligatures w14:val="standardContextual"/>
                    </w:rPr>
                    <w:t>昼间8</w:t>
                  </w:r>
                </w:p>
              </w:tc>
              <w:tc>
                <w:tcPr>
                  <w:tcW w:w="0" w:type="auto"/>
                  <w:vAlign w:val="center"/>
                </w:tcPr>
                <w:p w14:paraId="13867B9A">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20.0</w:t>
                  </w:r>
                </w:p>
              </w:tc>
              <w:tc>
                <w:tcPr>
                  <w:tcW w:w="0" w:type="auto"/>
                  <w:vAlign w:val="center"/>
                </w:tcPr>
                <w:p w14:paraId="29408077">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20.0</w:t>
                  </w:r>
                </w:p>
              </w:tc>
              <w:tc>
                <w:tcPr>
                  <w:tcW w:w="0" w:type="auto"/>
                  <w:vAlign w:val="center"/>
                </w:tcPr>
                <w:p w14:paraId="2A8D0D94">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20.0</w:t>
                  </w:r>
                </w:p>
              </w:tc>
              <w:tc>
                <w:tcPr>
                  <w:tcW w:w="0" w:type="auto"/>
                  <w:vAlign w:val="center"/>
                </w:tcPr>
                <w:p w14:paraId="004EB106">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20.0</w:t>
                  </w:r>
                </w:p>
              </w:tc>
              <w:tc>
                <w:tcPr>
                  <w:tcW w:w="0" w:type="auto"/>
                  <w:vAlign w:val="center"/>
                </w:tcPr>
                <w:p w14:paraId="65E9E6E1">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44.6</w:t>
                  </w:r>
                </w:p>
              </w:tc>
              <w:tc>
                <w:tcPr>
                  <w:tcW w:w="0" w:type="auto"/>
                  <w:vAlign w:val="center"/>
                </w:tcPr>
                <w:p w14:paraId="594B2C51">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44.7</w:t>
                  </w:r>
                </w:p>
              </w:tc>
              <w:tc>
                <w:tcPr>
                  <w:tcW w:w="0" w:type="auto"/>
                  <w:vAlign w:val="center"/>
                </w:tcPr>
                <w:p w14:paraId="33EFFAD7">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44.6</w:t>
                  </w:r>
                </w:p>
              </w:tc>
              <w:tc>
                <w:tcPr>
                  <w:tcW w:w="377" w:type="dxa"/>
                  <w:vAlign w:val="center"/>
                </w:tcPr>
                <w:p w14:paraId="1876D4A9">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44.6</w:t>
                  </w:r>
                </w:p>
              </w:tc>
              <w:tc>
                <w:tcPr>
                  <w:tcW w:w="715" w:type="dxa"/>
                  <w:vAlign w:val="center"/>
                </w:tcPr>
                <w:p w14:paraId="21C926F8">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1</w:t>
                  </w:r>
                </w:p>
              </w:tc>
            </w:tr>
            <w:tr w14:paraId="5CD185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Align w:val="center"/>
                </w:tcPr>
                <w:p w14:paraId="4A3AD5F6">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2</w:t>
                  </w:r>
                </w:p>
              </w:tc>
              <w:tc>
                <w:tcPr>
                  <w:tcW w:w="0" w:type="auto"/>
                  <w:vMerge w:val="continue"/>
                  <w:vAlign w:val="center"/>
                </w:tcPr>
                <w:p w14:paraId="4E2F25FE">
                  <w:pPr>
                    <w:widowControl w:val="0"/>
                    <w:overflowPunct w:val="0"/>
                    <w:autoSpaceDE w:val="0"/>
                    <w:autoSpaceDN w:val="0"/>
                    <w:snapToGrid w:val="0"/>
                    <w:jc w:val="center"/>
                    <w:rPr>
                      <w:snapToGrid w:val="0"/>
                      <w:sz w:val="15"/>
                      <w:szCs w:val="15"/>
                      <w14:ligatures w14:val="standardContextual"/>
                    </w:rPr>
                  </w:pPr>
                </w:p>
              </w:tc>
              <w:tc>
                <w:tcPr>
                  <w:tcW w:w="1231" w:type="dxa"/>
                  <w:vAlign w:val="center"/>
                </w:tcPr>
                <w:p w14:paraId="01D16322">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链板给料机</w:t>
                  </w:r>
                  <w:r>
                    <w:rPr>
                      <w:rFonts w:hint="eastAsia"/>
                      <w:snapToGrid w:val="0"/>
                      <w:sz w:val="15"/>
                      <w:szCs w:val="15"/>
                      <w14:ligatures w14:val="standardContextual"/>
                    </w:rPr>
                    <w:t>(2)</w:t>
                  </w:r>
                </w:p>
              </w:tc>
              <w:tc>
                <w:tcPr>
                  <w:tcW w:w="709" w:type="dxa"/>
                  <w:vAlign w:val="center"/>
                </w:tcPr>
                <w:p w14:paraId="58D4CB5E">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80</w:t>
                  </w:r>
                </w:p>
              </w:tc>
              <w:tc>
                <w:tcPr>
                  <w:tcW w:w="1026" w:type="dxa"/>
                  <w:vMerge w:val="continue"/>
                  <w:vAlign w:val="center"/>
                </w:tcPr>
                <w:p w14:paraId="768AC1F2">
                  <w:pPr>
                    <w:widowControl w:val="0"/>
                    <w:overflowPunct w:val="0"/>
                    <w:autoSpaceDE w:val="0"/>
                    <w:autoSpaceDN w:val="0"/>
                    <w:snapToGrid w:val="0"/>
                    <w:jc w:val="center"/>
                    <w:rPr>
                      <w:snapToGrid w:val="0"/>
                      <w:sz w:val="15"/>
                      <w:szCs w:val="15"/>
                      <w14:ligatures w14:val="standardContextual"/>
                    </w:rPr>
                  </w:pPr>
                </w:p>
              </w:tc>
              <w:tc>
                <w:tcPr>
                  <w:tcW w:w="0" w:type="auto"/>
                  <w:vAlign w:val="center"/>
                </w:tcPr>
                <w:p w14:paraId="443F47DE">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-36</w:t>
                  </w:r>
                </w:p>
              </w:tc>
              <w:tc>
                <w:tcPr>
                  <w:tcW w:w="0" w:type="auto"/>
                  <w:vAlign w:val="center"/>
                </w:tcPr>
                <w:p w14:paraId="4AB4D94D">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-24</w:t>
                  </w:r>
                </w:p>
              </w:tc>
              <w:tc>
                <w:tcPr>
                  <w:tcW w:w="0" w:type="auto"/>
                  <w:vAlign w:val="center"/>
                </w:tcPr>
                <w:p w14:paraId="17014E05">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1.2</w:t>
                  </w:r>
                </w:p>
              </w:tc>
              <w:tc>
                <w:tcPr>
                  <w:tcW w:w="0" w:type="auto"/>
                  <w:vAlign w:val="center"/>
                </w:tcPr>
                <w:p w14:paraId="281AD0A3">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48.1</w:t>
                  </w:r>
                </w:p>
              </w:tc>
              <w:tc>
                <w:tcPr>
                  <w:tcW w:w="0" w:type="auto"/>
                  <w:vAlign w:val="center"/>
                </w:tcPr>
                <w:p w14:paraId="27C2C73F">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10.0</w:t>
                  </w:r>
                </w:p>
              </w:tc>
              <w:tc>
                <w:tcPr>
                  <w:tcW w:w="0" w:type="auto"/>
                  <w:vAlign w:val="center"/>
                </w:tcPr>
                <w:p w14:paraId="7662810B">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41.8</w:t>
                  </w:r>
                </w:p>
              </w:tc>
              <w:tc>
                <w:tcPr>
                  <w:tcW w:w="0" w:type="auto"/>
                  <w:vAlign w:val="center"/>
                </w:tcPr>
                <w:p w14:paraId="3BFD75F0">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20.8</w:t>
                  </w:r>
                </w:p>
              </w:tc>
              <w:tc>
                <w:tcPr>
                  <w:tcW w:w="0" w:type="auto"/>
                  <w:vAlign w:val="center"/>
                </w:tcPr>
                <w:p w14:paraId="05A2443E">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64.6</w:t>
                  </w:r>
                </w:p>
              </w:tc>
              <w:tc>
                <w:tcPr>
                  <w:tcW w:w="0" w:type="auto"/>
                  <w:vAlign w:val="center"/>
                </w:tcPr>
                <w:p w14:paraId="3D20C003">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64.7</w:t>
                  </w:r>
                </w:p>
              </w:tc>
              <w:tc>
                <w:tcPr>
                  <w:tcW w:w="0" w:type="auto"/>
                  <w:vAlign w:val="center"/>
                </w:tcPr>
                <w:p w14:paraId="2C73037D">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64.6</w:t>
                  </w:r>
                </w:p>
              </w:tc>
              <w:tc>
                <w:tcPr>
                  <w:tcW w:w="258" w:type="dxa"/>
                  <w:vAlign w:val="center"/>
                </w:tcPr>
                <w:p w14:paraId="5359A86D">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64.6</w:t>
                  </w:r>
                </w:p>
              </w:tc>
              <w:tc>
                <w:tcPr>
                  <w:tcW w:w="608" w:type="dxa"/>
                  <w:vAlign w:val="top"/>
                </w:tcPr>
                <w:p w14:paraId="319F4B85">
                  <w:pPr>
                    <w:widowControl w:val="0"/>
                    <w:overflowPunct w:val="0"/>
                    <w:autoSpaceDE w:val="0"/>
                    <w:autoSpaceDN w:val="0"/>
                    <w:snapToGrid w:val="0"/>
                    <w:jc w:val="center"/>
                    <w:rPr>
                      <w:snapToGrid w:val="0"/>
                      <w:sz w:val="15"/>
                      <w:szCs w:val="15"/>
                      <w14:ligatures w14:val="standardContextual"/>
                    </w:rPr>
                  </w:pPr>
                  <w:r>
                    <w:rPr>
                      <w:rFonts w:hint="eastAsia"/>
                      <w:snapToGrid w:val="0"/>
                      <w:sz w:val="15"/>
                      <w:szCs w:val="15"/>
                      <w14:ligatures w14:val="standardContextual"/>
                    </w:rPr>
                    <w:t>昼间8</w:t>
                  </w:r>
                </w:p>
              </w:tc>
              <w:tc>
                <w:tcPr>
                  <w:tcW w:w="0" w:type="auto"/>
                  <w:vAlign w:val="center"/>
                </w:tcPr>
                <w:p w14:paraId="4720F2B3">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20.0</w:t>
                  </w:r>
                </w:p>
              </w:tc>
              <w:tc>
                <w:tcPr>
                  <w:tcW w:w="0" w:type="auto"/>
                  <w:vAlign w:val="center"/>
                </w:tcPr>
                <w:p w14:paraId="560B9E82">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20.0</w:t>
                  </w:r>
                </w:p>
              </w:tc>
              <w:tc>
                <w:tcPr>
                  <w:tcW w:w="0" w:type="auto"/>
                  <w:vAlign w:val="center"/>
                </w:tcPr>
                <w:p w14:paraId="16CCC722">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20.0</w:t>
                  </w:r>
                </w:p>
              </w:tc>
              <w:tc>
                <w:tcPr>
                  <w:tcW w:w="0" w:type="auto"/>
                  <w:vAlign w:val="center"/>
                </w:tcPr>
                <w:p w14:paraId="49001807">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20.0</w:t>
                  </w:r>
                </w:p>
              </w:tc>
              <w:tc>
                <w:tcPr>
                  <w:tcW w:w="0" w:type="auto"/>
                  <w:vAlign w:val="center"/>
                </w:tcPr>
                <w:p w14:paraId="23A6929F">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44.6</w:t>
                  </w:r>
                </w:p>
              </w:tc>
              <w:tc>
                <w:tcPr>
                  <w:tcW w:w="0" w:type="auto"/>
                  <w:vAlign w:val="center"/>
                </w:tcPr>
                <w:p w14:paraId="48539B94">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44.7</w:t>
                  </w:r>
                </w:p>
              </w:tc>
              <w:tc>
                <w:tcPr>
                  <w:tcW w:w="0" w:type="auto"/>
                  <w:vAlign w:val="center"/>
                </w:tcPr>
                <w:p w14:paraId="4A8450FC">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44.6</w:t>
                  </w:r>
                </w:p>
              </w:tc>
              <w:tc>
                <w:tcPr>
                  <w:tcW w:w="377" w:type="dxa"/>
                  <w:vAlign w:val="center"/>
                </w:tcPr>
                <w:p w14:paraId="5123B3AE">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44.6</w:t>
                  </w:r>
                </w:p>
              </w:tc>
              <w:tc>
                <w:tcPr>
                  <w:tcW w:w="715" w:type="dxa"/>
                  <w:vAlign w:val="center"/>
                </w:tcPr>
                <w:p w14:paraId="61B0F5C6">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1</w:t>
                  </w:r>
                </w:p>
              </w:tc>
            </w:tr>
            <w:tr w14:paraId="500129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Align w:val="center"/>
                </w:tcPr>
                <w:p w14:paraId="6CF84790">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3</w:t>
                  </w:r>
                </w:p>
              </w:tc>
              <w:tc>
                <w:tcPr>
                  <w:tcW w:w="0" w:type="auto"/>
                  <w:vMerge w:val="continue"/>
                  <w:vAlign w:val="center"/>
                </w:tcPr>
                <w:p w14:paraId="0BDE5C85">
                  <w:pPr>
                    <w:widowControl w:val="0"/>
                    <w:overflowPunct w:val="0"/>
                    <w:autoSpaceDE w:val="0"/>
                    <w:autoSpaceDN w:val="0"/>
                    <w:snapToGrid w:val="0"/>
                    <w:jc w:val="center"/>
                    <w:rPr>
                      <w:snapToGrid w:val="0"/>
                      <w:sz w:val="15"/>
                      <w:szCs w:val="15"/>
                      <w14:ligatures w14:val="standardContextual"/>
                    </w:rPr>
                  </w:pPr>
                </w:p>
              </w:tc>
              <w:tc>
                <w:tcPr>
                  <w:tcW w:w="1231" w:type="dxa"/>
                  <w:vAlign w:val="center"/>
                </w:tcPr>
                <w:p w14:paraId="6C9021DF">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滚筒筛分机</w:t>
                  </w:r>
                </w:p>
              </w:tc>
              <w:tc>
                <w:tcPr>
                  <w:tcW w:w="709" w:type="dxa"/>
                  <w:vAlign w:val="center"/>
                </w:tcPr>
                <w:p w14:paraId="707053C2">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85</w:t>
                  </w:r>
                </w:p>
              </w:tc>
              <w:tc>
                <w:tcPr>
                  <w:tcW w:w="1026" w:type="dxa"/>
                  <w:vMerge w:val="continue"/>
                  <w:vAlign w:val="center"/>
                </w:tcPr>
                <w:p w14:paraId="204A1B1C">
                  <w:pPr>
                    <w:widowControl w:val="0"/>
                    <w:overflowPunct w:val="0"/>
                    <w:autoSpaceDE w:val="0"/>
                    <w:autoSpaceDN w:val="0"/>
                    <w:snapToGrid w:val="0"/>
                    <w:jc w:val="center"/>
                    <w:rPr>
                      <w:snapToGrid w:val="0"/>
                      <w:sz w:val="15"/>
                      <w:szCs w:val="15"/>
                      <w14:ligatures w14:val="standardContextual"/>
                    </w:rPr>
                  </w:pPr>
                </w:p>
              </w:tc>
              <w:tc>
                <w:tcPr>
                  <w:tcW w:w="0" w:type="auto"/>
                  <w:vAlign w:val="center"/>
                </w:tcPr>
                <w:p w14:paraId="55FECEB9">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-30</w:t>
                  </w:r>
                </w:p>
              </w:tc>
              <w:tc>
                <w:tcPr>
                  <w:tcW w:w="0" w:type="auto"/>
                  <w:vAlign w:val="center"/>
                </w:tcPr>
                <w:p w14:paraId="2B4D68F9">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-24</w:t>
                  </w:r>
                </w:p>
              </w:tc>
              <w:tc>
                <w:tcPr>
                  <w:tcW w:w="0" w:type="auto"/>
                  <w:vAlign w:val="center"/>
                </w:tcPr>
                <w:p w14:paraId="53C0E329">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1.2</w:t>
                  </w:r>
                </w:p>
              </w:tc>
              <w:tc>
                <w:tcPr>
                  <w:tcW w:w="0" w:type="auto"/>
                  <w:vAlign w:val="center"/>
                </w:tcPr>
                <w:p w14:paraId="29D77968">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41.6</w:t>
                  </w:r>
                </w:p>
              </w:tc>
              <w:tc>
                <w:tcPr>
                  <w:tcW w:w="0" w:type="auto"/>
                  <w:vAlign w:val="center"/>
                </w:tcPr>
                <w:p w14:paraId="4A5958A2">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9.9</w:t>
                  </w:r>
                </w:p>
              </w:tc>
              <w:tc>
                <w:tcPr>
                  <w:tcW w:w="0" w:type="auto"/>
                  <w:vAlign w:val="center"/>
                </w:tcPr>
                <w:p w14:paraId="60AA0E20">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48.3</w:t>
                  </w:r>
                </w:p>
              </w:tc>
              <w:tc>
                <w:tcPr>
                  <w:tcW w:w="0" w:type="auto"/>
                  <w:vAlign w:val="center"/>
                </w:tcPr>
                <w:p w14:paraId="76ECC234">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20.9</w:t>
                  </w:r>
                </w:p>
              </w:tc>
              <w:tc>
                <w:tcPr>
                  <w:tcW w:w="0" w:type="auto"/>
                  <w:vAlign w:val="center"/>
                </w:tcPr>
                <w:p w14:paraId="73E34A43">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69.6</w:t>
                  </w:r>
                </w:p>
              </w:tc>
              <w:tc>
                <w:tcPr>
                  <w:tcW w:w="0" w:type="auto"/>
                  <w:vAlign w:val="center"/>
                </w:tcPr>
                <w:p w14:paraId="71A4D277">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69.7</w:t>
                  </w:r>
                </w:p>
              </w:tc>
              <w:tc>
                <w:tcPr>
                  <w:tcW w:w="0" w:type="auto"/>
                  <w:vAlign w:val="center"/>
                </w:tcPr>
                <w:p w14:paraId="5B2B0F3F">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69.6</w:t>
                  </w:r>
                </w:p>
              </w:tc>
              <w:tc>
                <w:tcPr>
                  <w:tcW w:w="258" w:type="dxa"/>
                  <w:vAlign w:val="center"/>
                </w:tcPr>
                <w:p w14:paraId="1DF4D302">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69.6</w:t>
                  </w:r>
                </w:p>
              </w:tc>
              <w:tc>
                <w:tcPr>
                  <w:tcW w:w="608" w:type="dxa"/>
                  <w:vAlign w:val="top"/>
                </w:tcPr>
                <w:p w14:paraId="544FB583">
                  <w:pPr>
                    <w:widowControl w:val="0"/>
                    <w:overflowPunct w:val="0"/>
                    <w:autoSpaceDE w:val="0"/>
                    <w:autoSpaceDN w:val="0"/>
                    <w:snapToGrid w:val="0"/>
                    <w:jc w:val="center"/>
                    <w:rPr>
                      <w:snapToGrid w:val="0"/>
                      <w:sz w:val="15"/>
                      <w:szCs w:val="15"/>
                      <w14:ligatures w14:val="standardContextual"/>
                    </w:rPr>
                  </w:pPr>
                  <w:r>
                    <w:rPr>
                      <w:rFonts w:hint="eastAsia"/>
                      <w:snapToGrid w:val="0"/>
                      <w:sz w:val="15"/>
                      <w:szCs w:val="15"/>
                      <w14:ligatures w14:val="standardContextual"/>
                    </w:rPr>
                    <w:t>昼间8</w:t>
                  </w:r>
                </w:p>
              </w:tc>
              <w:tc>
                <w:tcPr>
                  <w:tcW w:w="0" w:type="auto"/>
                  <w:vAlign w:val="center"/>
                </w:tcPr>
                <w:p w14:paraId="10F34EDD">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20.0</w:t>
                  </w:r>
                </w:p>
              </w:tc>
              <w:tc>
                <w:tcPr>
                  <w:tcW w:w="0" w:type="auto"/>
                  <w:vAlign w:val="center"/>
                </w:tcPr>
                <w:p w14:paraId="612539D1">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20.0</w:t>
                  </w:r>
                </w:p>
              </w:tc>
              <w:tc>
                <w:tcPr>
                  <w:tcW w:w="0" w:type="auto"/>
                  <w:vAlign w:val="center"/>
                </w:tcPr>
                <w:p w14:paraId="6C27F657">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20.0</w:t>
                  </w:r>
                </w:p>
              </w:tc>
              <w:tc>
                <w:tcPr>
                  <w:tcW w:w="0" w:type="auto"/>
                  <w:vAlign w:val="center"/>
                </w:tcPr>
                <w:p w14:paraId="54226BA1">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20.0</w:t>
                  </w:r>
                </w:p>
              </w:tc>
              <w:tc>
                <w:tcPr>
                  <w:tcW w:w="0" w:type="auto"/>
                  <w:vAlign w:val="center"/>
                </w:tcPr>
                <w:p w14:paraId="4787DB6D">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49.6</w:t>
                  </w:r>
                </w:p>
              </w:tc>
              <w:tc>
                <w:tcPr>
                  <w:tcW w:w="0" w:type="auto"/>
                  <w:vAlign w:val="center"/>
                </w:tcPr>
                <w:p w14:paraId="41F9B991">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49.7</w:t>
                  </w:r>
                </w:p>
              </w:tc>
              <w:tc>
                <w:tcPr>
                  <w:tcW w:w="0" w:type="auto"/>
                  <w:vAlign w:val="center"/>
                </w:tcPr>
                <w:p w14:paraId="2450C8C4">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49.6</w:t>
                  </w:r>
                </w:p>
              </w:tc>
              <w:tc>
                <w:tcPr>
                  <w:tcW w:w="377" w:type="dxa"/>
                  <w:vAlign w:val="center"/>
                </w:tcPr>
                <w:p w14:paraId="4A32DFEB">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49.6</w:t>
                  </w:r>
                </w:p>
              </w:tc>
              <w:tc>
                <w:tcPr>
                  <w:tcW w:w="715" w:type="dxa"/>
                  <w:vAlign w:val="center"/>
                </w:tcPr>
                <w:p w14:paraId="1CC5169C">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1</w:t>
                  </w:r>
                </w:p>
              </w:tc>
            </w:tr>
            <w:tr w14:paraId="0C3F37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Align w:val="center"/>
                </w:tcPr>
                <w:p w14:paraId="579485C6">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4</w:t>
                  </w:r>
                </w:p>
              </w:tc>
              <w:tc>
                <w:tcPr>
                  <w:tcW w:w="0" w:type="auto"/>
                  <w:vMerge w:val="continue"/>
                  <w:vAlign w:val="center"/>
                </w:tcPr>
                <w:p w14:paraId="77DCD724">
                  <w:pPr>
                    <w:widowControl w:val="0"/>
                    <w:overflowPunct w:val="0"/>
                    <w:autoSpaceDE w:val="0"/>
                    <w:autoSpaceDN w:val="0"/>
                    <w:snapToGrid w:val="0"/>
                    <w:jc w:val="center"/>
                    <w:rPr>
                      <w:snapToGrid w:val="0"/>
                      <w:sz w:val="15"/>
                      <w:szCs w:val="15"/>
                      <w14:ligatures w14:val="standardContextual"/>
                    </w:rPr>
                  </w:pPr>
                </w:p>
              </w:tc>
              <w:tc>
                <w:tcPr>
                  <w:tcW w:w="1231" w:type="dxa"/>
                  <w:vAlign w:val="center"/>
                </w:tcPr>
                <w:p w14:paraId="6E367497">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综合风选机</w:t>
                  </w:r>
                </w:p>
              </w:tc>
              <w:tc>
                <w:tcPr>
                  <w:tcW w:w="709" w:type="dxa"/>
                  <w:vAlign w:val="center"/>
                </w:tcPr>
                <w:p w14:paraId="3A23B014">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85</w:t>
                  </w:r>
                </w:p>
              </w:tc>
              <w:tc>
                <w:tcPr>
                  <w:tcW w:w="1026" w:type="dxa"/>
                  <w:vMerge w:val="continue"/>
                  <w:vAlign w:val="center"/>
                </w:tcPr>
                <w:p w14:paraId="0626C669">
                  <w:pPr>
                    <w:widowControl w:val="0"/>
                    <w:overflowPunct w:val="0"/>
                    <w:autoSpaceDE w:val="0"/>
                    <w:autoSpaceDN w:val="0"/>
                    <w:snapToGrid w:val="0"/>
                    <w:jc w:val="center"/>
                    <w:rPr>
                      <w:snapToGrid w:val="0"/>
                      <w:sz w:val="15"/>
                      <w:szCs w:val="15"/>
                      <w14:ligatures w14:val="standardContextual"/>
                    </w:rPr>
                  </w:pPr>
                </w:p>
              </w:tc>
              <w:tc>
                <w:tcPr>
                  <w:tcW w:w="0" w:type="auto"/>
                  <w:vAlign w:val="center"/>
                </w:tcPr>
                <w:p w14:paraId="18966724">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-17</w:t>
                  </w:r>
                </w:p>
              </w:tc>
              <w:tc>
                <w:tcPr>
                  <w:tcW w:w="0" w:type="auto"/>
                  <w:vAlign w:val="center"/>
                </w:tcPr>
                <w:p w14:paraId="5CFF7E02">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-22</w:t>
                  </w:r>
                </w:p>
              </w:tc>
              <w:tc>
                <w:tcPr>
                  <w:tcW w:w="0" w:type="auto"/>
                  <w:vAlign w:val="center"/>
                </w:tcPr>
                <w:p w14:paraId="5091F9D4">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1.2</w:t>
                  </w:r>
                </w:p>
              </w:tc>
              <w:tc>
                <w:tcPr>
                  <w:tcW w:w="0" w:type="auto"/>
                  <w:vAlign w:val="center"/>
                </w:tcPr>
                <w:p w14:paraId="0B2A1176">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28.6</w:t>
                  </w:r>
                </w:p>
              </w:tc>
              <w:tc>
                <w:tcPr>
                  <w:tcW w:w="0" w:type="auto"/>
                  <w:vAlign w:val="center"/>
                </w:tcPr>
                <w:p w14:paraId="67EC8E5E">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12.1</w:t>
                  </w:r>
                </w:p>
              </w:tc>
              <w:tc>
                <w:tcPr>
                  <w:tcW w:w="0" w:type="auto"/>
                  <w:vAlign w:val="center"/>
                </w:tcPr>
                <w:p w14:paraId="791E9652">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61.3</w:t>
                  </w:r>
                </w:p>
              </w:tc>
              <w:tc>
                <w:tcPr>
                  <w:tcW w:w="0" w:type="auto"/>
                  <w:vAlign w:val="center"/>
                </w:tcPr>
                <w:p w14:paraId="2579B064">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18.7</w:t>
                  </w:r>
                </w:p>
              </w:tc>
              <w:tc>
                <w:tcPr>
                  <w:tcW w:w="0" w:type="auto"/>
                  <w:vAlign w:val="center"/>
                </w:tcPr>
                <w:p w14:paraId="4870B5AF">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69.6</w:t>
                  </w:r>
                </w:p>
              </w:tc>
              <w:tc>
                <w:tcPr>
                  <w:tcW w:w="0" w:type="auto"/>
                  <w:vAlign w:val="center"/>
                </w:tcPr>
                <w:p w14:paraId="26F6CDBF">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69.7</w:t>
                  </w:r>
                </w:p>
              </w:tc>
              <w:tc>
                <w:tcPr>
                  <w:tcW w:w="0" w:type="auto"/>
                  <w:vAlign w:val="center"/>
                </w:tcPr>
                <w:p w14:paraId="653FE3B0">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69.6</w:t>
                  </w:r>
                </w:p>
              </w:tc>
              <w:tc>
                <w:tcPr>
                  <w:tcW w:w="258" w:type="dxa"/>
                  <w:vAlign w:val="center"/>
                </w:tcPr>
                <w:p w14:paraId="5F0EC5D4">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69.6</w:t>
                  </w:r>
                </w:p>
              </w:tc>
              <w:tc>
                <w:tcPr>
                  <w:tcW w:w="608" w:type="dxa"/>
                  <w:vAlign w:val="top"/>
                </w:tcPr>
                <w:p w14:paraId="54C84FA0">
                  <w:pPr>
                    <w:widowControl w:val="0"/>
                    <w:overflowPunct w:val="0"/>
                    <w:autoSpaceDE w:val="0"/>
                    <w:autoSpaceDN w:val="0"/>
                    <w:snapToGrid w:val="0"/>
                    <w:jc w:val="center"/>
                    <w:rPr>
                      <w:snapToGrid w:val="0"/>
                      <w:sz w:val="15"/>
                      <w:szCs w:val="15"/>
                      <w14:ligatures w14:val="standardContextual"/>
                    </w:rPr>
                  </w:pPr>
                  <w:r>
                    <w:rPr>
                      <w:rFonts w:hint="eastAsia"/>
                      <w:snapToGrid w:val="0"/>
                      <w:sz w:val="15"/>
                      <w:szCs w:val="15"/>
                      <w14:ligatures w14:val="standardContextual"/>
                    </w:rPr>
                    <w:t>昼间8</w:t>
                  </w:r>
                </w:p>
              </w:tc>
              <w:tc>
                <w:tcPr>
                  <w:tcW w:w="0" w:type="auto"/>
                  <w:vAlign w:val="center"/>
                </w:tcPr>
                <w:p w14:paraId="23A37F66">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20.0</w:t>
                  </w:r>
                </w:p>
              </w:tc>
              <w:tc>
                <w:tcPr>
                  <w:tcW w:w="0" w:type="auto"/>
                  <w:vAlign w:val="center"/>
                </w:tcPr>
                <w:p w14:paraId="525B3077">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20.0</w:t>
                  </w:r>
                </w:p>
              </w:tc>
              <w:tc>
                <w:tcPr>
                  <w:tcW w:w="0" w:type="auto"/>
                  <w:vAlign w:val="center"/>
                </w:tcPr>
                <w:p w14:paraId="0F5F18DB">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20.0</w:t>
                  </w:r>
                </w:p>
              </w:tc>
              <w:tc>
                <w:tcPr>
                  <w:tcW w:w="0" w:type="auto"/>
                  <w:vAlign w:val="center"/>
                </w:tcPr>
                <w:p w14:paraId="4E4931F2">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20.0</w:t>
                  </w:r>
                </w:p>
              </w:tc>
              <w:tc>
                <w:tcPr>
                  <w:tcW w:w="0" w:type="auto"/>
                  <w:vAlign w:val="center"/>
                </w:tcPr>
                <w:p w14:paraId="690DE714">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49.6</w:t>
                  </w:r>
                </w:p>
              </w:tc>
              <w:tc>
                <w:tcPr>
                  <w:tcW w:w="0" w:type="auto"/>
                  <w:vAlign w:val="center"/>
                </w:tcPr>
                <w:p w14:paraId="5566E61F">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49.7</w:t>
                  </w:r>
                </w:p>
              </w:tc>
              <w:tc>
                <w:tcPr>
                  <w:tcW w:w="0" w:type="auto"/>
                  <w:vAlign w:val="center"/>
                </w:tcPr>
                <w:p w14:paraId="679716C4">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49.6</w:t>
                  </w:r>
                </w:p>
              </w:tc>
              <w:tc>
                <w:tcPr>
                  <w:tcW w:w="377" w:type="dxa"/>
                  <w:vAlign w:val="center"/>
                </w:tcPr>
                <w:p w14:paraId="2A513F70">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49.6</w:t>
                  </w:r>
                </w:p>
              </w:tc>
              <w:tc>
                <w:tcPr>
                  <w:tcW w:w="715" w:type="dxa"/>
                  <w:vAlign w:val="center"/>
                </w:tcPr>
                <w:p w14:paraId="09FB6430">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1</w:t>
                  </w:r>
                </w:p>
              </w:tc>
            </w:tr>
            <w:tr w14:paraId="602C2D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Align w:val="center"/>
                </w:tcPr>
                <w:p w14:paraId="7037FD86">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5</w:t>
                  </w:r>
                </w:p>
              </w:tc>
              <w:tc>
                <w:tcPr>
                  <w:tcW w:w="0" w:type="auto"/>
                  <w:vMerge w:val="continue"/>
                  <w:vAlign w:val="center"/>
                </w:tcPr>
                <w:p w14:paraId="2F05E502">
                  <w:pPr>
                    <w:widowControl w:val="0"/>
                    <w:overflowPunct w:val="0"/>
                    <w:autoSpaceDE w:val="0"/>
                    <w:autoSpaceDN w:val="0"/>
                    <w:snapToGrid w:val="0"/>
                    <w:jc w:val="center"/>
                    <w:rPr>
                      <w:snapToGrid w:val="0"/>
                      <w:sz w:val="15"/>
                      <w:szCs w:val="15"/>
                      <w14:ligatures w14:val="standardContextual"/>
                    </w:rPr>
                  </w:pPr>
                </w:p>
              </w:tc>
              <w:tc>
                <w:tcPr>
                  <w:tcW w:w="1231" w:type="dxa"/>
                  <w:vAlign w:val="center"/>
                </w:tcPr>
                <w:p w14:paraId="102F43CA">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液压打包机</w:t>
                  </w:r>
                </w:p>
              </w:tc>
              <w:tc>
                <w:tcPr>
                  <w:tcW w:w="709" w:type="dxa"/>
                  <w:vAlign w:val="center"/>
                </w:tcPr>
                <w:p w14:paraId="0048497E">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85</w:t>
                  </w:r>
                </w:p>
              </w:tc>
              <w:tc>
                <w:tcPr>
                  <w:tcW w:w="1026" w:type="dxa"/>
                  <w:vMerge w:val="continue"/>
                  <w:vAlign w:val="center"/>
                </w:tcPr>
                <w:p w14:paraId="70382795">
                  <w:pPr>
                    <w:widowControl w:val="0"/>
                    <w:overflowPunct w:val="0"/>
                    <w:autoSpaceDE w:val="0"/>
                    <w:autoSpaceDN w:val="0"/>
                    <w:snapToGrid w:val="0"/>
                    <w:jc w:val="center"/>
                    <w:rPr>
                      <w:snapToGrid w:val="0"/>
                      <w:sz w:val="15"/>
                      <w:szCs w:val="15"/>
                      <w14:ligatures w14:val="standardContextual"/>
                    </w:rPr>
                  </w:pPr>
                </w:p>
              </w:tc>
              <w:tc>
                <w:tcPr>
                  <w:tcW w:w="0" w:type="auto"/>
                  <w:vAlign w:val="center"/>
                </w:tcPr>
                <w:p w14:paraId="355383E7">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-4</w:t>
                  </w:r>
                </w:p>
              </w:tc>
              <w:tc>
                <w:tcPr>
                  <w:tcW w:w="0" w:type="auto"/>
                  <w:vAlign w:val="center"/>
                </w:tcPr>
                <w:p w14:paraId="5FF8180C">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-22</w:t>
                  </w:r>
                </w:p>
              </w:tc>
              <w:tc>
                <w:tcPr>
                  <w:tcW w:w="0" w:type="auto"/>
                  <w:vAlign w:val="center"/>
                </w:tcPr>
                <w:p w14:paraId="4BBF6A1D">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1.2</w:t>
                  </w:r>
                </w:p>
              </w:tc>
              <w:tc>
                <w:tcPr>
                  <w:tcW w:w="0" w:type="auto"/>
                  <w:vAlign w:val="center"/>
                </w:tcPr>
                <w:p w14:paraId="0956A7A4">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15.5</w:t>
                  </w:r>
                </w:p>
              </w:tc>
              <w:tc>
                <w:tcPr>
                  <w:tcW w:w="0" w:type="auto"/>
                  <w:vAlign w:val="center"/>
                </w:tcPr>
                <w:p w14:paraId="5C69EE88">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11.7</w:t>
                  </w:r>
                </w:p>
              </w:tc>
              <w:tc>
                <w:tcPr>
                  <w:tcW w:w="0" w:type="auto"/>
                  <w:vAlign w:val="center"/>
                </w:tcPr>
                <w:p w14:paraId="66F0BAD6">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74.4</w:t>
                  </w:r>
                </w:p>
              </w:tc>
              <w:tc>
                <w:tcPr>
                  <w:tcW w:w="0" w:type="auto"/>
                  <w:vAlign w:val="center"/>
                </w:tcPr>
                <w:p w14:paraId="3C3C7F01">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19.1</w:t>
                  </w:r>
                </w:p>
              </w:tc>
              <w:tc>
                <w:tcPr>
                  <w:tcW w:w="0" w:type="auto"/>
                  <w:vAlign w:val="center"/>
                </w:tcPr>
                <w:p w14:paraId="77E12C57">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69.7</w:t>
                  </w:r>
                </w:p>
              </w:tc>
              <w:tc>
                <w:tcPr>
                  <w:tcW w:w="0" w:type="auto"/>
                  <w:vAlign w:val="center"/>
                </w:tcPr>
                <w:p w14:paraId="146F03CA">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69.7</w:t>
                  </w:r>
                </w:p>
              </w:tc>
              <w:tc>
                <w:tcPr>
                  <w:tcW w:w="0" w:type="auto"/>
                  <w:vAlign w:val="center"/>
                </w:tcPr>
                <w:p w14:paraId="01F10B5E">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69.6</w:t>
                  </w:r>
                </w:p>
              </w:tc>
              <w:tc>
                <w:tcPr>
                  <w:tcW w:w="258" w:type="dxa"/>
                  <w:vAlign w:val="center"/>
                </w:tcPr>
                <w:p w14:paraId="174DC45B">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69.6</w:t>
                  </w:r>
                </w:p>
              </w:tc>
              <w:tc>
                <w:tcPr>
                  <w:tcW w:w="608" w:type="dxa"/>
                  <w:vAlign w:val="top"/>
                </w:tcPr>
                <w:p w14:paraId="1D729B2C">
                  <w:pPr>
                    <w:widowControl w:val="0"/>
                    <w:overflowPunct w:val="0"/>
                    <w:autoSpaceDE w:val="0"/>
                    <w:autoSpaceDN w:val="0"/>
                    <w:snapToGrid w:val="0"/>
                    <w:jc w:val="center"/>
                    <w:rPr>
                      <w:snapToGrid w:val="0"/>
                      <w:sz w:val="15"/>
                      <w:szCs w:val="15"/>
                      <w14:ligatures w14:val="standardContextual"/>
                    </w:rPr>
                  </w:pPr>
                  <w:r>
                    <w:rPr>
                      <w:rFonts w:hint="eastAsia"/>
                      <w:snapToGrid w:val="0"/>
                      <w:sz w:val="15"/>
                      <w:szCs w:val="15"/>
                      <w14:ligatures w14:val="standardContextual"/>
                    </w:rPr>
                    <w:t>昼间8</w:t>
                  </w:r>
                </w:p>
              </w:tc>
              <w:tc>
                <w:tcPr>
                  <w:tcW w:w="0" w:type="auto"/>
                  <w:vAlign w:val="center"/>
                </w:tcPr>
                <w:p w14:paraId="50B7B5BC">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20.0</w:t>
                  </w:r>
                </w:p>
              </w:tc>
              <w:tc>
                <w:tcPr>
                  <w:tcW w:w="0" w:type="auto"/>
                  <w:vAlign w:val="center"/>
                </w:tcPr>
                <w:p w14:paraId="32C3C377">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20.0</w:t>
                  </w:r>
                </w:p>
              </w:tc>
              <w:tc>
                <w:tcPr>
                  <w:tcW w:w="0" w:type="auto"/>
                  <w:vAlign w:val="center"/>
                </w:tcPr>
                <w:p w14:paraId="1B2E81BA">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20.0</w:t>
                  </w:r>
                </w:p>
              </w:tc>
              <w:tc>
                <w:tcPr>
                  <w:tcW w:w="0" w:type="auto"/>
                  <w:vAlign w:val="center"/>
                </w:tcPr>
                <w:p w14:paraId="623379B6">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20.0</w:t>
                  </w:r>
                </w:p>
              </w:tc>
              <w:tc>
                <w:tcPr>
                  <w:tcW w:w="0" w:type="auto"/>
                  <w:vAlign w:val="center"/>
                </w:tcPr>
                <w:p w14:paraId="6BD11D59">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49.7</w:t>
                  </w:r>
                </w:p>
              </w:tc>
              <w:tc>
                <w:tcPr>
                  <w:tcW w:w="0" w:type="auto"/>
                  <w:vAlign w:val="center"/>
                </w:tcPr>
                <w:p w14:paraId="505FBE31">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49.7</w:t>
                  </w:r>
                </w:p>
              </w:tc>
              <w:tc>
                <w:tcPr>
                  <w:tcW w:w="0" w:type="auto"/>
                  <w:vAlign w:val="center"/>
                </w:tcPr>
                <w:p w14:paraId="04103625">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49.6</w:t>
                  </w:r>
                </w:p>
              </w:tc>
              <w:tc>
                <w:tcPr>
                  <w:tcW w:w="377" w:type="dxa"/>
                  <w:vAlign w:val="center"/>
                </w:tcPr>
                <w:p w14:paraId="7CF9E2D5">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49.6</w:t>
                  </w:r>
                </w:p>
              </w:tc>
              <w:tc>
                <w:tcPr>
                  <w:tcW w:w="715" w:type="dxa"/>
                  <w:vAlign w:val="center"/>
                </w:tcPr>
                <w:p w14:paraId="19800AD4">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1</w:t>
                  </w:r>
                </w:p>
              </w:tc>
            </w:tr>
            <w:tr w14:paraId="06BD9D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Align w:val="center"/>
                </w:tcPr>
                <w:p w14:paraId="19E6C415">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6</w:t>
                  </w:r>
                </w:p>
              </w:tc>
              <w:tc>
                <w:tcPr>
                  <w:tcW w:w="0" w:type="auto"/>
                  <w:vMerge w:val="continue"/>
                  <w:vAlign w:val="center"/>
                </w:tcPr>
                <w:p w14:paraId="44FD1798">
                  <w:pPr>
                    <w:widowControl w:val="0"/>
                    <w:overflowPunct w:val="0"/>
                    <w:autoSpaceDE w:val="0"/>
                    <w:autoSpaceDN w:val="0"/>
                    <w:snapToGrid w:val="0"/>
                    <w:jc w:val="center"/>
                    <w:rPr>
                      <w:snapToGrid w:val="0"/>
                      <w:sz w:val="15"/>
                      <w:szCs w:val="15"/>
                      <w14:ligatures w14:val="standardContextual"/>
                    </w:rPr>
                  </w:pPr>
                </w:p>
              </w:tc>
              <w:tc>
                <w:tcPr>
                  <w:tcW w:w="1231" w:type="dxa"/>
                  <w:vAlign w:val="center"/>
                </w:tcPr>
                <w:p w14:paraId="3C7F0460">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双轴撕碎机</w:t>
                  </w:r>
                </w:p>
              </w:tc>
              <w:tc>
                <w:tcPr>
                  <w:tcW w:w="709" w:type="dxa"/>
                  <w:vAlign w:val="center"/>
                </w:tcPr>
                <w:p w14:paraId="6FD7AEC3">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95</w:t>
                  </w:r>
                </w:p>
              </w:tc>
              <w:tc>
                <w:tcPr>
                  <w:tcW w:w="1026" w:type="dxa"/>
                  <w:vMerge w:val="continue"/>
                  <w:vAlign w:val="center"/>
                </w:tcPr>
                <w:p w14:paraId="40587184">
                  <w:pPr>
                    <w:widowControl w:val="0"/>
                    <w:overflowPunct w:val="0"/>
                    <w:autoSpaceDE w:val="0"/>
                    <w:autoSpaceDN w:val="0"/>
                    <w:snapToGrid w:val="0"/>
                    <w:jc w:val="center"/>
                    <w:rPr>
                      <w:snapToGrid w:val="0"/>
                      <w:sz w:val="15"/>
                      <w:szCs w:val="15"/>
                      <w14:ligatures w14:val="standardContextual"/>
                    </w:rPr>
                  </w:pPr>
                </w:p>
              </w:tc>
              <w:tc>
                <w:tcPr>
                  <w:tcW w:w="0" w:type="auto"/>
                  <w:vAlign w:val="center"/>
                </w:tcPr>
                <w:p w14:paraId="1C07A667">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-40</w:t>
                  </w:r>
                </w:p>
              </w:tc>
              <w:tc>
                <w:tcPr>
                  <w:tcW w:w="0" w:type="auto"/>
                  <w:vAlign w:val="center"/>
                </w:tcPr>
                <w:p w14:paraId="6C8781E6">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-21</w:t>
                  </w:r>
                </w:p>
              </w:tc>
              <w:tc>
                <w:tcPr>
                  <w:tcW w:w="0" w:type="auto"/>
                  <w:vAlign w:val="center"/>
                </w:tcPr>
                <w:p w14:paraId="258F5582">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1.2</w:t>
                  </w:r>
                </w:p>
              </w:tc>
              <w:tc>
                <w:tcPr>
                  <w:tcW w:w="0" w:type="auto"/>
                  <w:vAlign w:val="center"/>
                </w:tcPr>
                <w:p w14:paraId="06D026EF">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51.9</w:t>
                  </w:r>
                </w:p>
              </w:tc>
              <w:tc>
                <w:tcPr>
                  <w:tcW w:w="0" w:type="auto"/>
                  <w:vAlign w:val="center"/>
                </w:tcPr>
                <w:p w14:paraId="7A7255F8">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12.3</w:t>
                  </w:r>
                </w:p>
              </w:tc>
              <w:tc>
                <w:tcPr>
                  <w:tcW w:w="0" w:type="auto"/>
                  <w:vAlign w:val="center"/>
                </w:tcPr>
                <w:p w14:paraId="0F58FF50">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38.0</w:t>
                  </w:r>
                </w:p>
              </w:tc>
              <w:tc>
                <w:tcPr>
                  <w:tcW w:w="0" w:type="auto"/>
                  <w:vAlign w:val="center"/>
                </w:tcPr>
                <w:p w14:paraId="6447490C">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18.5</w:t>
                  </w:r>
                </w:p>
              </w:tc>
              <w:tc>
                <w:tcPr>
                  <w:tcW w:w="0" w:type="auto"/>
                  <w:vAlign w:val="center"/>
                </w:tcPr>
                <w:p w14:paraId="1DCA38EA">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79.6</w:t>
                  </w:r>
                </w:p>
              </w:tc>
              <w:tc>
                <w:tcPr>
                  <w:tcW w:w="0" w:type="auto"/>
                  <w:vAlign w:val="center"/>
                </w:tcPr>
                <w:p w14:paraId="71F61D88">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79.7</w:t>
                  </w:r>
                </w:p>
              </w:tc>
              <w:tc>
                <w:tcPr>
                  <w:tcW w:w="0" w:type="auto"/>
                  <w:vAlign w:val="center"/>
                </w:tcPr>
                <w:p w14:paraId="09D7D0E9">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79.6</w:t>
                  </w:r>
                </w:p>
              </w:tc>
              <w:tc>
                <w:tcPr>
                  <w:tcW w:w="258" w:type="dxa"/>
                  <w:vAlign w:val="center"/>
                </w:tcPr>
                <w:p w14:paraId="377640B4">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79.6</w:t>
                  </w:r>
                </w:p>
              </w:tc>
              <w:tc>
                <w:tcPr>
                  <w:tcW w:w="608" w:type="dxa"/>
                  <w:vAlign w:val="top"/>
                </w:tcPr>
                <w:p w14:paraId="4E9D0CDC">
                  <w:pPr>
                    <w:widowControl w:val="0"/>
                    <w:overflowPunct w:val="0"/>
                    <w:autoSpaceDE w:val="0"/>
                    <w:autoSpaceDN w:val="0"/>
                    <w:snapToGrid w:val="0"/>
                    <w:jc w:val="center"/>
                    <w:rPr>
                      <w:snapToGrid w:val="0"/>
                      <w:sz w:val="15"/>
                      <w:szCs w:val="15"/>
                      <w14:ligatures w14:val="standardContextual"/>
                    </w:rPr>
                  </w:pPr>
                  <w:r>
                    <w:rPr>
                      <w:rFonts w:hint="eastAsia"/>
                      <w:snapToGrid w:val="0"/>
                      <w:sz w:val="15"/>
                      <w:szCs w:val="15"/>
                      <w14:ligatures w14:val="standardContextual"/>
                    </w:rPr>
                    <w:t>昼间8</w:t>
                  </w:r>
                </w:p>
              </w:tc>
              <w:tc>
                <w:tcPr>
                  <w:tcW w:w="0" w:type="auto"/>
                  <w:vAlign w:val="center"/>
                </w:tcPr>
                <w:p w14:paraId="7A033B18">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20.0</w:t>
                  </w:r>
                </w:p>
              </w:tc>
              <w:tc>
                <w:tcPr>
                  <w:tcW w:w="0" w:type="auto"/>
                  <w:vAlign w:val="center"/>
                </w:tcPr>
                <w:p w14:paraId="68FF0C7D">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20.0</w:t>
                  </w:r>
                </w:p>
              </w:tc>
              <w:tc>
                <w:tcPr>
                  <w:tcW w:w="0" w:type="auto"/>
                  <w:vAlign w:val="center"/>
                </w:tcPr>
                <w:p w14:paraId="1B8F1285">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20.0</w:t>
                  </w:r>
                </w:p>
              </w:tc>
              <w:tc>
                <w:tcPr>
                  <w:tcW w:w="0" w:type="auto"/>
                  <w:vAlign w:val="center"/>
                </w:tcPr>
                <w:p w14:paraId="5AC63C80">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20.0</w:t>
                  </w:r>
                </w:p>
              </w:tc>
              <w:tc>
                <w:tcPr>
                  <w:tcW w:w="0" w:type="auto"/>
                  <w:vAlign w:val="center"/>
                </w:tcPr>
                <w:p w14:paraId="020BDF95">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59.6</w:t>
                  </w:r>
                </w:p>
              </w:tc>
              <w:tc>
                <w:tcPr>
                  <w:tcW w:w="0" w:type="auto"/>
                  <w:vAlign w:val="center"/>
                </w:tcPr>
                <w:p w14:paraId="1C8D0BE2">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59.7</w:t>
                  </w:r>
                </w:p>
              </w:tc>
              <w:tc>
                <w:tcPr>
                  <w:tcW w:w="0" w:type="auto"/>
                  <w:vAlign w:val="center"/>
                </w:tcPr>
                <w:p w14:paraId="6A0D8BC8">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59.6</w:t>
                  </w:r>
                </w:p>
              </w:tc>
              <w:tc>
                <w:tcPr>
                  <w:tcW w:w="377" w:type="dxa"/>
                  <w:vAlign w:val="center"/>
                </w:tcPr>
                <w:p w14:paraId="24B86EB8">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59.6</w:t>
                  </w:r>
                </w:p>
              </w:tc>
              <w:tc>
                <w:tcPr>
                  <w:tcW w:w="715" w:type="dxa"/>
                  <w:vAlign w:val="center"/>
                </w:tcPr>
                <w:p w14:paraId="527C545F">
                  <w:pPr>
                    <w:widowControl w:val="0"/>
                    <w:overflowPunct w:val="0"/>
                    <w:autoSpaceDE w:val="0"/>
                    <w:autoSpaceDN w:val="0"/>
                    <w:snapToGrid w:val="0"/>
                    <w:jc w:val="center"/>
                    <w:rPr>
                      <w:snapToGrid w:val="0"/>
                      <w:sz w:val="15"/>
                      <w:szCs w:val="15"/>
                      <w14:ligatures w14:val="standardContextual"/>
                    </w:rPr>
                  </w:pPr>
                  <w:r>
                    <w:rPr>
                      <w:snapToGrid w:val="0"/>
                      <w:sz w:val="15"/>
                      <w:szCs w:val="15"/>
                      <w14:ligatures w14:val="standardContextual"/>
                    </w:rPr>
                    <w:t>1</w:t>
                  </w:r>
                </w:p>
              </w:tc>
            </w:tr>
            <w:bookmarkEnd w:id="82"/>
          </w:tbl>
          <w:p w14:paraId="2BA1C552">
            <w:pPr>
              <w:pStyle w:val="63"/>
              <w:spacing w:after="120"/>
            </w:pPr>
            <w:r>
              <w:rPr>
                <w:rFonts w:hint="eastAsia"/>
              </w:rPr>
              <w:t>表中坐标以厂界中心（108.668571，21.697074）为坐标原点，正东向为X轴正方向，正北向为Y轴正方向，距室内边界取设备中心区离所在建筑物边界的最近距离。本项目日运行8h（昼间），夜间不生产。</w:t>
            </w:r>
          </w:p>
          <w:p w14:paraId="5130A744">
            <w:pPr>
              <w:pStyle w:val="48"/>
            </w:pPr>
            <w:r>
              <w:rPr>
                <w:rFonts w:hint="eastAsia"/>
              </w:rPr>
              <w:t xml:space="preserve">表4- </w:t>
            </w:r>
            <w:r>
              <w:fldChar w:fldCharType="begin"/>
            </w:r>
            <w:r>
              <w:instrText xml:space="preserve"> </w:instrText>
            </w:r>
            <w:r>
              <w:rPr>
                <w:rFonts w:hint="eastAsia"/>
              </w:rPr>
              <w:instrText xml:space="preserve">SEQ 表4- \* ARABIC</w:instrText>
            </w:r>
            <w:r>
              <w:instrText xml:space="preserve"> </w:instrText>
            </w:r>
            <w:r>
              <w:fldChar w:fldCharType="separate"/>
            </w:r>
            <w:r>
              <w:t>12</w:t>
            </w:r>
            <w:r>
              <w:fldChar w:fldCharType="end"/>
            </w:r>
            <w:r>
              <w:rPr>
                <w:rFonts w:hint="eastAsia"/>
              </w:rPr>
              <w:t>：工业企业噪声源强调查清单（室外声源）</w:t>
            </w:r>
          </w:p>
          <w:tbl>
            <w:tblPr>
              <w:tblStyle w:val="4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590"/>
              <w:gridCol w:w="1729"/>
              <w:gridCol w:w="712"/>
              <w:gridCol w:w="575"/>
              <w:gridCol w:w="485"/>
              <w:gridCol w:w="3857"/>
              <w:gridCol w:w="1702"/>
              <w:gridCol w:w="1627"/>
              <w:gridCol w:w="1164"/>
            </w:tblGrid>
            <w:tr w14:paraId="403D98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80" w:hRule="exact"/>
                <w:jc w:val="center"/>
              </w:trPr>
              <w:tc>
                <w:tcPr>
                  <w:tcW w:w="237" w:type="pct"/>
                  <w:vMerge w:val="restar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3A4E5DCE">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14:ligatures w14:val="standardContextual"/>
                    </w:rPr>
                  </w:pPr>
                  <w:r>
                    <w:rPr>
                      <w:rFonts w:hint="default" w:ascii="Times New Roman" w:hAnsi="Times New Roman" w:eastAsia="宋体" w:cs="Times New Roman"/>
                      <w:b/>
                      <w:i w:val="0"/>
                      <w:snapToGrid w:val="0"/>
                      <w14:ligatures w14:val="standardContextual"/>
                    </w:rPr>
                    <w:t>序号</w:t>
                  </w:r>
                </w:p>
              </w:tc>
              <w:tc>
                <w:tcPr>
                  <w:tcW w:w="695" w:type="pct"/>
                  <w:vMerge w:val="restar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6B717981">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14:ligatures w14:val="standardContextual"/>
                    </w:rPr>
                  </w:pPr>
                  <w:r>
                    <w:rPr>
                      <w:rFonts w:hint="default" w:ascii="Times New Roman" w:hAnsi="Times New Roman" w:eastAsia="宋体" w:cs="Times New Roman"/>
                      <w:b/>
                      <w:i w:val="0"/>
                      <w:snapToGrid w:val="0"/>
                      <w14:ligatures w14:val="standardContextual"/>
                    </w:rPr>
                    <w:t>声源名称</w:t>
                  </w:r>
                </w:p>
              </w:tc>
              <w:tc>
                <w:tcPr>
                  <w:tcW w:w="712" w:type="pct"/>
                  <w:gridSpan w:val="3"/>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2BC800B3">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14:ligatures w14:val="standardContextual"/>
                    </w:rPr>
                  </w:pPr>
                  <w:r>
                    <w:rPr>
                      <w:rFonts w:hint="default" w:ascii="Times New Roman" w:hAnsi="Times New Roman" w:eastAsia="宋体" w:cs="Times New Roman"/>
                      <w:b/>
                      <w:i w:val="0"/>
                      <w:snapToGrid w:val="0"/>
                      <w14:ligatures w14:val="standardContextual"/>
                    </w:rPr>
                    <w:t>空间相对位置/m</w:t>
                  </w:r>
                </w:p>
              </w:tc>
              <w:tc>
                <w:tcPr>
                  <w:tcW w:w="2234" w:type="pct"/>
                  <w:gridSpan w:val="2"/>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32CFA5D3">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14:ligatures w14:val="standardContextual"/>
                    </w:rPr>
                  </w:pPr>
                  <w:r>
                    <w:rPr>
                      <w:rFonts w:hint="default" w:ascii="Times New Roman" w:hAnsi="Times New Roman" w:eastAsia="宋体" w:cs="Times New Roman"/>
                      <w:b/>
                      <w:i w:val="0"/>
                      <w:snapToGrid w:val="0"/>
                      <w14:ligatures w14:val="standardContextual"/>
                    </w:rPr>
                    <w:t>声源源强（任选一种）</w:t>
                  </w:r>
                </w:p>
              </w:tc>
              <w:tc>
                <w:tcPr>
                  <w:tcW w:w="654" w:type="pct"/>
                  <w:vMerge w:val="restar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63195E7A">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14:ligatures w14:val="standardContextual"/>
                    </w:rPr>
                  </w:pPr>
                  <w:r>
                    <w:rPr>
                      <w:rFonts w:hint="default" w:ascii="Times New Roman" w:hAnsi="Times New Roman" w:eastAsia="宋体" w:cs="Times New Roman"/>
                      <w:b/>
                      <w:i w:val="0"/>
                      <w:snapToGrid w:val="0"/>
                      <w14:ligatures w14:val="standardContextual"/>
                    </w:rPr>
                    <w:t>声源控制措施</w:t>
                  </w:r>
                </w:p>
              </w:tc>
              <w:tc>
                <w:tcPr>
                  <w:tcW w:w="468" w:type="pct"/>
                  <w:vMerge w:val="restart"/>
                  <w:tcBorders>
                    <w:top w:val="single" w:color="auto" w:sz="12" w:space="0"/>
                    <w:bottom w:val="single" w:color="auto" w:sz="12" w:space="0"/>
                    <w:right w:val="nil"/>
                    <w:insideH w:val="single" w:sz="12" w:space="0"/>
                    <w:insideV w:val="single" w:sz="4" w:space="0"/>
                    <w:tl2br w:val="nil"/>
                    <w:tr2bl w:val="nil"/>
                  </w:tcBorders>
                  <w:vAlign w:val="center"/>
                </w:tcPr>
                <w:p w14:paraId="5F4A4B74">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snapToGrid w:val="0"/>
                      <w14:ligatures w14:val="standardContextual"/>
                    </w:rPr>
                  </w:pPr>
                  <w:r>
                    <w:rPr>
                      <w:rFonts w:hint="default" w:ascii="Times New Roman" w:hAnsi="Times New Roman" w:eastAsia="宋体" w:cs="Times New Roman"/>
                      <w:b/>
                      <w:i w:val="0"/>
                      <w:snapToGrid w:val="0"/>
                      <w14:ligatures w14:val="standardContextual"/>
                    </w:rPr>
                    <w:t>运行时段</w:t>
                  </w:r>
                </w:p>
              </w:tc>
            </w:tr>
            <w:tr w14:paraId="42AA08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82" w:hRule="atLeast"/>
                <w:jc w:val="center"/>
              </w:trPr>
              <w:tc>
                <w:tcPr>
                  <w:tcW w:w="237" w:type="pct"/>
                  <w:vMerge w:val="continue"/>
                  <w:vAlign w:val="center"/>
                </w:tcPr>
                <w:p w14:paraId="161EAD42">
                  <w:pPr>
                    <w:widowControl w:val="0"/>
                    <w:overflowPunct w:val="0"/>
                    <w:autoSpaceDE w:val="0"/>
                    <w:autoSpaceDN w:val="0"/>
                    <w:snapToGrid w:val="0"/>
                    <w:jc w:val="center"/>
                    <w:rPr>
                      <w:snapToGrid w:val="0"/>
                      <w14:ligatures w14:val="standardContextual"/>
                    </w:rPr>
                  </w:pPr>
                </w:p>
              </w:tc>
              <w:tc>
                <w:tcPr>
                  <w:tcW w:w="695" w:type="pct"/>
                  <w:vMerge w:val="continue"/>
                  <w:vAlign w:val="center"/>
                </w:tcPr>
                <w:p w14:paraId="31E97553">
                  <w:pPr>
                    <w:widowControl w:val="0"/>
                    <w:overflowPunct w:val="0"/>
                    <w:autoSpaceDE w:val="0"/>
                    <w:autoSpaceDN w:val="0"/>
                    <w:snapToGrid w:val="0"/>
                    <w:jc w:val="center"/>
                    <w:rPr>
                      <w:snapToGrid w:val="0"/>
                      <w14:ligatures w14:val="standardContextual"/>
                    </w:rPr>
                  </w:pPr>
                </w:p>
              </w:tc>
              <w:tc>
                <w:tcPr>
                  <w:tcW w:w="286" w:type="pct"/>
                  <w:vAlign w:val="center"/>
                </w:tcPr>
                <w:p w14:paraId="08905ED9">
                  <w:pPr>
                    <w:widowControl w:val="0"/>
                    <w:overflowPunct w:val="0"/>
                    <w:autoSpaceDE w:val="0"/>
                    <w:autoSpaceDN w:val="0"/>
                    <w:snapToGrid w:val="0"/>
                    <w:jc w:val="center"/>
                    <w:rPr>
                      <w:snapToGrid w:val="0"/>
                      <w14:ligatures w14:val="standardContextual"/>
                    </w:rPr>
                  </w:pPr>
                  <w:r>
                    <w:rPr>
                      <w:snapToGrid w:val="0"/>
                      <w14:ligatures w14:val="standardContextual"/>
                    </w:rPr>
                    <w:t>X</w:t>
                  </w:r>
                </w:p>
              </w:tc>
              <w:tc>
                <w:tcPr>
                  <w:tcW w:w="231" w:type="pct"/>
                  <w:vAlign w:val="center"/>
                </w:tcPr>
                <w:p w14:paraId="25936B0C">
                  <w:pPr>
                    <w:widowControl w:val="0"/>
                    <w:overflowPunct w:val="0"/>
                    <w:autoSpaceDE w:val="0"/>
                    <w:autoSpaceDN w:val="0"/>
                    <w:snapToGrid w:val="0"/>
                    <w:jc w:val="center"/>
                    <w:rPr>
                      <w:snapToGrid w:val="0"/>
                      <w14:ligatures w14:val="standardContextual"/>
                    </w:rPr>
                  </w:pPr>
                  <w:r>
                    <w:rPr>
                      <w:snapToGrid w:val="0"/>
                      <w14:ligatures w14:val="standardContextual"/>
                    </w:rPr>
                    <w:t>Y</w:t>
                  </w:r>
                </w:p>
              </w:tc>
              <w:tc>
                <w:tcPr>
                  <w:tcW w:w="195" w:type="pct"/>
                  <w:vAlign w:val="center"/>
                </w:tcPr>
                <w:p w14:paraId="237E7863">
                  <w:pPr>
                    <w:widowControl w:val="0"/>
                    <w:overflowPunct w:val="0"/>
                    <w:autoSpaceDE w:val="0"/>
                    <w:autoSpaceDN w:val="0"/>
                    <w:snapToGrid w:val="0"/>
                    <w:jc w:val="center"/>
                    <w:rPr>
                      <w:snapToGrid w:val="0"/>
                      <w14:ligatures w14:val="standardContextual"/>
                    </w:rPr>
                  </w:pPr>
                  <w:r>
                    <w:rPr>
                      <w:snapToGrid w:val="0"/>
                      <w14:ligatures w14:val="standardContextual"/>
                    </w:rPr>
                    <w:t>Z</w:t>
                  </w:r>
                </w:p>
              </w:tc>
              <w:tc>
                <w:tcPr>
                  <w:tcW w:w="1550" w:type="pct"/>
                  <w:vAlign w:val="center"/>
                </w:tcPr>
                <w:p w14:paraId="45DD3D50">
                  <w:pPr>
                    <w:widowControl w:val="0"/>
                    <w:overflowPunct w:val="0"/>
                    <w:autoSpaceDE w:val="0"/>
                    <w:autoSpaceDN w:val="0"/>
                    <w:snapToGrid w:val="0"/>
                    <w:jc w:val="center"/>
                    <w:rPr>
                      <w:snapToGrid w:val="0"/>
                      <w14:ligatures w14:val="standardContextual"/>
                    </w:rPr>
                  </w:pPr>
                  <w:r>
                    <w:rPr>
                      <w:snapToGrid w:val="0"/>
                      <w14:ligatures w14:val="standardContextual"/>
                    </w:rPr>
                    <w:t>（声压级/距声源距离）/（dB(A)/m）</w:t>
                  </w:r>
                </w:p>
              </w:tc>
              <w:tc>
                <w:tcPr>
                  <w:tcW w:w="684" w:type="pct"/>
                  <w:vAlign w:val="center"/>
                </w:tcPr>
                <w:p w14:paraId="53860D9D">
                  <w:pPr>
                    <w:widowControl w:val="0"/>
                    <w:overflowPunct w:val="0"/>
                    <w:autoSpaceDE w:val="0"/>
                    <w:autoSpaceDN w:val="0"/>
                    <w:snapToGrid w:val="0"/>
                    <w:jc w:val="center"/>
                    <w:rPr>
                      <w:snapToGrid w:val="0"/>
                      <w14:ligatures w14:val="standardContextual"/>
                    </w:rPr>
                  </w:pPr>
                  <w:r>
                    <w:rPr>
                      <w:snapToGrid w:val="0"/>
                      <w14:ligatures w14:val="standardContextual"/>
                    </w:rPr>
                    <w:t>声功率级/dB(A)</w:t>
                  </w:r>
                </w:p>
              </w:tc>
              <w:tc>
                <w:tcPr>
                  <w:tcW w:w="654" w:type="pct"/>
                  <w:vMerge w:val="continue"/>
                  <w:vAlign w:val="center"/>
                </w:tcPr>
                <w:p w14:paraId="58C51AEC">
                  <w:pPr>
                    <w:widowControl w:val="0"/>
                    <w:overflowPunct w:val="0"/>
                    <w:autoSpaceDE w:val="0"/>
                    <w:autoSpaceDN w:val="0"/>
                    <w:snapToGrid w:val="0"/>
                    <w:jc w:val="center"/>
                    <w:rPr>
                      <w:snapToGrid w:val="0"/>
                      <w14:ligatures w14:val="standardContextual"/>
                    </w:rPr>
                  </w:pPr>
                </w:p>
              </w:tc>
              <w:tc>
                <w:tcPr>
                  <w:tcW w:w="468" w:type="pct"/>
                  <w:vMerge w:val="continue"/>
                  <w:vAlign w:val="center"/>
                </w:tcPr>
                <w:p w14:paraId="1CA6B63D">
                  <w:pPr>
                    <w:widowControl w:val="0"/>
                    <w:overflowPunct w:val="0"/>
                    <w:autoSpaceDE w:val="0"/>
                    <w:autoSpaceDN w:val="0"/>
                    <w:snapToGrid w:val="0"/>
                    <w:jc w:val="center"/>
                    <w:rPr>
                      <w:snapToGrid w:val="0"/>
                      <w14:ligatures w14:val="standardContextual"/>
                    </w:rPr>
                  </w:pPr>
                </w:p>
              </w:tc>
            </w:tr>
            <w:tr w14:paraId="53ECC3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82" w:hRule="exact"/>
                <w:jc w:val="center"/>
              </w:trPr>
              <w:tc>
                <w:tcPr>
                  <w:tcW w:w="237" w:type="pct"/>
                  <w:vAlign w:val="center"/>
                </w:tcPr>
                <w:p w14:paraId="100A1FD1">
                  <w:pPr>
                    <w:widowControl w:val="0"/>
                    <w:overflowPunct w:val="0"/>
                    <w:autoSpaceDE w:val="0"/>
                    <w:autoSpaceDN w:val="0"/>
                    <w:snapToGrid w:val="0"/>
                    <w:jc w:val="center"/>
                    <w:rPr>
                      <w:snapToGrid w:val="0"/>
                      <w14:ligatures w14:val="standardContextual"/>
                    </w:rPr>
                  </w:pPr>
                  <w:r>
                    <w:rPr>
                      <w:snapToGrid w:val="0"/>
                      <w14:ligatures w14:val="standardContextual"/>
                    </w:rPr>
                    <w:t>1</w:t>
                  </w:r>
                </w:p>
              </w:tc>
              <w:tc>
                <w:tcPr>
                  <w:tcW w:w="695" w:type="pct"/>
                  <w:vAlign w:val="center"/>
                </w:tcPr>
                <w:p w14:paraId="6F7355BC">
                  <w:pPr>
                    <w:widowControl w:val="0"/>
                    <w:overflowPunct w:val="0"/>
                    <w:autoSpaceDE w:val="0"/>
                    <w:autoSpaceDN w:val="0"/>
                    <w:snapToGrid w:val="0"/>
                    <w:jc w:val="center"/>
                    <w:rPr>
                      <w:snapToGrid w:val="0"/>
                      <w14:ligatures w14:val="standardContextual"/>
                    </w:rPr>
                  </w:pPr>
                  <w:r>
                    <w:rPr>
                      <w:snapToGrid w:val="0"/>
                      <w14:ligatures w14:val="standardContextual"/>
                    </w:rPr>
                    <w:t>DA001室外风机</w:t>
                  </w:r>
                </w:p>
              </w:tc>
              <w:tc>
                <w:tcPr>
                  <w:tcW w:w="286" w:type="pct"/>
                  <w:vAlign w:val="center"/>
                </w:tcPr>
                <w:p w14:paraId="289B1149">
                  <w:pPr>
                    <w:widowControl w:val="0"/>
                    <w:overflowPunct w:val="0"/>
                    <w:autoSpaceDE w:val="0"/>
                    <w:autoSpaceDN w:val="0"/>
                    <w:snapToGrid w:val="0"/>
                    <w:jc w:val="center"/>
                    <w:rPr>
                      <w:snapToGrid w:val="0"/>
                      <w14:ligatures w14:val="standardContextual"/>
                    </w:rPr>
                  </w:pPr>
                  <w:r>
                    <w:rPr>
                      <w:snapToGrid w:val="0"/>
                      <w14:ligatures w14:val="standardContextual"/>
                    </w:rPr>
                    <w:t>-12.3</w:t>
                  </w:r>
                </w:p>
              </w:tc>
              <w:tc>
                <w:tcPr>
                  <w:tcW w:w="231" w:type="pct"/>
                  <w:vAlign w:val="center"/>
                </w:tcPr>
                <w:p w14:paraId="5FF2E1B4">
                  <w:pPr>
                    <w:widowControl w:val="0"/>
                    <w:overflowPunct w:val="0"/>
                    <w:autoSpaceDE w:val="0"/>
                    <w:autoSpaceDN w:val="0"/>
                    <w:snapToGrid w:val="0"/>
                    <w:jc w:val="center"/>
                    <w:rPr>
                      <w:snapToGrid w:val="0"/>
                      <w14:ligatures w14:val="standardContextual"/>
                    </w:rPr>
                  </w:pPr>
                  <w:r>
                    <w:rPr>
                      <w:snapToGrid w:val="0"/>
                      <w14:ligatures w14:val="standardContextual"/>
                    </w:rPr>
                    <w:t>-0.9</w:t>
                  </w:r>
                </w:p>
              </w:tc>
              <w:tc>
                <w:tcPr>
                  <w:tcW w:w="195" w:type="pct"/>
                  <w:vAlign w:val="center"/>
                </w:tcPr>
                <w:p w14:paraId="03C99B79">
                  <w:pPr>
                    <w:widowControl w:val="0"/>
                    <w:overflowPunct w:val="0"/>
                    <w:autoSpaceDE w:val="0"/>
                    <w:autoSpaceDN w:val="0"/>
                    <w:snapToGrid w:val="0"/>
                    <w:jc w:val="center"/>
                    <w:rPr>
                      <w:snapToGrid w:val="0"/>
                      <w14:ligatures w14:val="standardContextual"/>
                    </w:rPr>
                  </w:pPr>
                  <w:r>
                    <w:rPr>
                      <w:snapToGrid w:val="0"/>
                      <w14:ligatures w14:val="standardContextual"/>
                    </w:rPr>
                    <w:t>1.2</w:t>
                  </w:r>
                </w:p>
              </w:tc>
              <w:tc>
                <w:tcPr>
                  <w:tcW w:w="1550" w:type="pct"/>
                  <w:vAlign w:val="center"/>
                </w:tcPr>
                <w:p w14:paraId="685E25B4">
                  <w:pPr>
                    <w:widowControl w:val="0"/>
                    <w:overflowPunct w:val="0"/>
                    <w:autoSpaceDE w:val="0"/>
                    <w:autoSpaceDN w:val="0"/>
                    <w:snapToGrid w:val="0"/>
                    <w:jc w:val="center"/>
                    <w:rPr>
                      <w:snapToGrid w:val="0"/>
                      <w14:ligatures w14:val="standardContextual"/>
                    </w:rPr>
                  </w:pPr>
                  <w:r>
                    <w:rPr>
                      <w:rFonts w:hint="eastAsia"/>
                      <w:snapToGrid w:val="0"/>
                      <w14:ligatures w14:val="standardContextual"/>
                    </w:rPr>
                    <w:t>/</w:t>
                  </w:r>
                </w:p>
              </w:tc>
              <w:tc>
                <w:tcPr>
                  <w:tcW w:w="684" w:type="pct"/>
                  <w:vAlign w:val="center"/>
                </w:tcPr>
                <w:p w14:paraId="7ED965CB">
                  <w:pPr>
                    <w:widowControl w:val="0"/>
                    <w:overflowPunct w:val="0"/>
                    <w:autoSpaceDE w:val="0"/>
                    <w:autoSpaceDN w:val="0"/>
                    <w:snapToGrid w:val="0"/>
                    <w:jc w:val="center"/>
                    <w:rPr>
                      <w:snapToGrid w:val="0"/>
                      <w14:ligatures w14:val="standardContextual"/>
                    </w:rPr>
                  </w:pPr>
                  <w:r>
                    <w:rPr>
                      <w:snapToGrid w:val="0"/>
                      <w14:ligatures w14:val="standardContextual"/>
                    </w:rPr>
                    <w:t>90</w:t>
                  </w:r>
                </w:p>
              </w:tc>
              <w:tc>
                <w:tcPr>
                  <w:tcW w:w="654" w:type="pct"/>
                  <w:vAlign w:val="center"/>
                </w:tcPr>
                <w:p w14:paraId="7523232A">
                  <w:pPr>
                    <w:widowControl w:val="0"/>
                    <w:overflowPunct w:val="0"/>
                    <w:autoSpaceDE w:val="0"/>
                    <w:autoSpaceDN w:val="0"/>
                    <w:snapToGrid w:val="0"/>
                    <w:jc w:val="center"/>
                    <w:rPr>
                      <w:snapToGrid w:val="0"/>
                      <w14:ligatures w14:val="standardContextual"/>
                    </w:rPr>
                  </w:pPr>
                  <w:r>
                    <w:rPr>
                      <w:rFonts w:hint="eastAsia"/>
                      <w:snapToGrid w:val="0"/>
                      <w14:ligatures w14:val="standardContextual"/>
                    </w:rPr>
                    <w:t>隔声罩</w:t>
                  </w:r>
                </w:p>
              </w:tc>
              <w:tc>
                <w:tcPr>
                  <w:tcW w:w="468" w:type="pct"/>
                  <w:vAlign w:val="center"/>
                </w:tcPr>
                <w:p w14:paraId="6008FD5D">
                  <w:pPr>
                    <w:widowControl w:val="0"/>
                    <w:overflowPunct w:val="0"/>
                    <w:autoSpaceDE w:val="0"/>
                    <w:autoSpaceDN w:val="0"/>
                    <w:snapToGrid w:val="0"/>
                    <w:jc w:val="center"/>
                    <w:rPr>
                      <w:snapToGrid w:val="0"/>
                      <w14:ligatures w14:val="standardContextual"/>
                    </w:rPr>
                  </w:pPr>
                  <w:r>
                    <w:rPr>
                      <w:rFonts w:hint="eastAsia"/>
                      <w:snapToGrid w:val="0"/>
                      <w14:ligatures w14:val="standardContextual"/>
                    </w:rPr>
                    <w:t>8</w:t>
                  </w:r>
                </w:p>
              </w:tc>
            </w:tr>
          </w:tbl>
          <w:p w14:paraId="2110B79B">
            <w:pPr>
              <w:pStyle w:val="63"/>
              <w:spacing w:after="120"/>
              <w:rPr>
                <w:b/>
                <w:bCs/>
              </w:rPr>
            </w:pPr>
            <w:r>
              <w:rPr>
                <w:rFonts w:hint="eastAsia"/>
              </w:rPr>
              <w:t>表中坐标以厂界中心（108.668571，21.697074）为坐标原点，正东向为X轴正方向，正北向为Y轴正方向。</w:t>
            </w:r>
          </w:p>
        </w:tc>
      </w:tr>
    </w:tbl>
    <w:p w14:paraId="07B866FD">
      <w:pPr>
        <w:sectPr>
          <w:pgSz w:w="16840" w:h="11907" w:orient="landscape"/>
          <w:pgMar w:top="1531" w:right="1701" w:bottom="1531" w:left="2127" w:header="851" w:footer="851" w:gutter="0"/>
          <w:cols w:space="720" w:num="1"/>
          <w:docGrid w:linePitch="312" w:charSpace="0"/>
        </w:sectPr>
      </w:pPr>
    </w:p>
    <w:p w14:paraId="56561BBD"/>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8273"/>
      </w:tblGrid>
      <w:tr w14:paraId="31387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2" w:type="dxa"/>
            <w:vAlign w:val="center"/>
          </w:tcPr>
          <w:p w14:paraId="476CABF3">
            <w:pPr>
              <w:pStyle w:val="64"/>
              <w:rPr>
                <w:rFonts w:hint="eastAsia"/>
              </w:rPr>
            </w:pPr>
            <w:r>
              <w:rPr>
                <w:rFonts w:hint="eastAsia" w:cs="宋体"/>
                <w:bCs/>
              </w:rPr>
              <w:t>运营期环境影响和保护措施</w:t>
            </w:r>
          </w:p>
        </w:tc>
        <w:tc>
          <w:tcPr>
            <w:tcW w:w="8273" w:type="dxa"/>
            <w:vAlign w:val="center"/>
          </w:tcPr>
          <w:p w14:paraId="7DB80852">
            <w:pPr>
              <w:pStyle w:val="51"/>
            </w:pPr>
            <w:r>
              <w:rPr>
                <w:rFonts w:hint="eastAsia"/>
              </w:rPr>
              <w:t>（2）预测模式</w:t>
            </w:r>
          </w:p>
          <w:p w14:paraId="18242076">
            <w:pPr>
              <w:pStyle w:val="3"/>
              <w:ind w:firstLine="480"/>
            </w:pPr>
            <w:r>
              <w:rPr>
                <w:rFonts w:hint="eastAsia"/>
              </w:rPr>
              <w:t>依据声源的分布规律及预测点与声源之间的距离，把噪声源简化成点声源，依据已获得的声学数据，利用《环境影响的评价技术导则声环境》（HJ2.4-2021）中推荐的预测模式分别计算各声源对厂界的贡献值。</w:t>
            </w:r>
          </w:p>
          <w:p w14:paraId="3CFE0D48">
            <w:pPr>
              <w:pStyle w:val="3"/>
              <w:ind w:firstLine="480"/>
            </w:pPr>
            <w:r>
              <w:rPr>
                <w:rFonts w:hint="eastAsia"/>
              </w:rPr>
              <w:t>1）声级计算</w:t>
            </w:r>
          </w:p>
          <w:p w14:paraId="795068C1">
            <w:pPr>
              <w:pStyle w:val="3"/>
              <w:ind w:firstLine="480"/>
            </w:pPr>
            <w:r>
              <w:rPr>
                <w:rFonts w:hint="eastAsia"/>
              </w:rPr>
              <w:t>建设项目声源在预测点产生的等效声级贡献值(L</w:t>
            </w:r>
            <w:r>
              <w:rPr>
                <w:rFonts w:hint="eastAsia"/>
                <w:vertAlign w:val="subscript"/>
              </w:rPr>
              <w:t>eqg</w:t>
            </w:r>
            <w:r>
              <w:rPr>
                <w:rFonts w:hint="eastAsia"/>
              </w:rPr>
              <w:t>）计算公式：</w:t>
            </w:r>
          </w:p>
          <w:p w14:paraId="1CCFC002">
            <w:pPr>
              <w:pStyle w:val="50"/>
            </w:pPr>
            <w:r>
              <w:drawing>
                <wp:inline distT="0" distB="0" distL="0" distR="0">
                  <wp:extent cx="1977390" cy="359410"/>
                  <wp:effectExtent l="0" t="0" r="3810" b="2540"/>
                  <wp:docPr id="16433906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390658" name="图片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977672" cy="360000"/>
                          </a:xfrm>
                          <a:prstGeom prst="rect">
                            <a:avLst/>
                          </a:prstGeom>
                          <a:noFill/>
                          <a:ln>
                            <a:noFill/>
                          </a:ln>
                        </pic:spPr>
                      </pic:pic>
                    </a:graphicData>
                  </a:graphic>
                </wp:inline>
              </w:drawing>
            </w:r>
          </w:p>
          <w:p w14:paraId="6905C4FF">
            <w:pPr>
              <w:pStyle w:val="3"/>
              <w:ind w:firstLine="480"/>
            </w:pPr>
            <w:r>
              <w:rPr>
                <w:rFonts w:hint="eastAsia"/>
              </w:rPr>
              <w:t>式中：</w:t>
            </w:r>
          </w:p>
          <w:p w14:paraId="1D63544A">
            <w:pPr>
              <w:pStyle w:val="3"/>
              <w:ind w:firstLine="480"/>
            </w:pPr>
            <w:r>
              <w:rPr>
                <w:rFonts w:hint="eastAsia"/>
              </w:rPr>
              <w:t>L</w:t>
            </w:r>
            <w:r>
              <w:rPr>
                <w:rFonts w:hint="eastAsia"/>
                <w:vertAlign w:val="subscript"/>
              </w:rPr>
              <w:t>eqg</w:t>
            </w:r>
            <w:r>
              <w:rPr>
                <w:rFonts w:hint="eastAsia"/>
              </w:rPr>
              <w:t>：建设项目声源在预测点的等效声级贡献值，dB(A</w:t>
            </w:r>
            <w:r>
              <w:rPr>
                <w:rFonts w:hint="eastAsia"/>
                <w:lang w:eastAsia="zh-CN"/>
              </w:rPr>
              <w:t>)</w:t>
            </w:r>
            <w:r>
              <w:rPr>
                <w:rFonts w:hint="eastAsia"/>
              </w:rPr>
              <w:t>；</w:t>
            </w:r>
          </w:p>
          <w:p w14:paraId="06A552B5">
            <w:pPr>
              <w:pStyle w:val="3"/>
              <w:ind w:firstLine="480"/>
            </w:pPr>
            <w:r>
              <w:rPr>
                <w:rFonts w:hint="eastAsia"/>
              </w:rPr>
              <w:t>L</w:t>
            </w:r>
            <w:r>
              <w:rPr>
                <w:rFonts w:hint="eastAsia"/>
                <w:vertAlign w:val="subscript"/>
              </w:rPr>
              <w:t>Ai</w:t>
            </w:r>
            <w:r>
              <w:rPr>
                <w:rFonts w:hint="eastAsia"/>
              </w:rPr>
              <w:t>：i声源在预测点产生的A声级，dB(A</w:t>
            </w:r>
            <w:r>
              <w:rPr>
                <w:rFonts w:hint="eastAsia"/>
                <w:lang w:eastAsia="zh-CN"/>
              </w:rPr>
              <w:t>)</w:t>
            </w:r>
            <w:r>
              <w:rPr>
                <w:rFonts w:hint="eastAsia"/>
              </w:rPr>
              <w:t>；</w:t>
            </w:r>
          </w:p>
          <w:p w14:paraId="0F62A999">
            <w:pPr>
              <w:pStyle w:val="3"/>
              <w:ind w:firstLine="480"/>
            </w:pPr>
            <w:r>
              <w:rPr>
                <w:rFonts w:hint="eastAsia"/>
              </w:rPr>
              <w:t>T：预测计算的时间段，s；</w:t>
            </w:r>
          </w:p>
          <w:p w14:paraId="5710FCC4">
            <w:pPr>
              <w:pStyle w:val="3"/>
              <w:ind w:firstLine="480"/>
            </w:pPr>
            <w:r>
              <w:rPr>
                <w:rFonts w:hint="eastAsia"/>
              </w:rPr>
              <w:t>t</w:t>
            </w:r>
            <w:r>
              <w:rPr>
                <w:rFonts w:hint="eastAsia"/>
                <w:vertAlign w:val="subscript"/>
              </w:rPr>
              <w:t>i</w:t>
            </w:r>
            <w:r>
              <w:rPr>
                <w:rFonts w:hint="eastAsia"/>
              </w:rPr>
              <w:t>：i声源在T时段内的运行时间，s。</w:t>
            </w:r>
          </w:p>
          <w:p w14:paraId="41BDCF28">
            <w:pPr>
              <w:pStyle w:val="3"/>
              <w:ind w:firstLine="480"/>
            </w:pPr>
            <w:r>
              <w:rPr>
                <w:rFonts w:hint="eastAsia"/>
              </w:rPr>
              <w:t>2）预测点的预测等效声级(Leq）计算公式</w:t>
            </w:r>
          </w:p>
          <w:p w14:paraId="29C11736">
            <w:pPr>
              <w:pStyle w:val="50"/>
            </w:pPr>
            <w:r>
              <w:drawing>
                <wp:inline distT="0" distB="0" distL="0" distR="0">
                  <wp:extent cx="2009140" cy="359410"/>
                  <wp:effectExtent l="0" t="0" r="0" b="2540"/>
                  <wp:docPr id="16524010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01019" name="图片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009402" cy="360000"/>
                          </a:xfrm>
                          <a:prstGeom prst="rect">
                            <a:avLst/>
                          </a:prstGeom>
                          <a:noFill/>
                          <a:ln>
                            <a:noFill/>
                          </a:ln>
                        </pic:spPr>
                      </pic:pic>
                    </a:graphicData>
                  </a:graphic>
                </wp:inline>
              </w:drawing>
            </w:r>
          </w:p>
          <w:p w14:paraId="6FA438BF">
            <w:pPr>
              <w:pStyle w:val="3"/>
              <w:ind w:firstLine="480"/>
            </w:pPr>
            <w:r>
              <w:rPr>
                <w:rFonts w:hint="eastAsia"/>
              </w:rPr>
              <w:t>式中：</w:t>
            </w:r>
          </w:p>
          <w:p w14:paraId="0A21F831">
            <w:pPr>
              <w:pStyle w:val="3"/>
              <w:ind w:firstLine="480"/>
            </w:pPr>
            <w:r>
              <w:rPr>
                <w:rFonts w:hint="eastAsia"/>
              </w:rPr>
              <w:t>L</w:t>
            </w:r>
            <w:r>
              <w:rPr>
                <w:rFonts w:hint="eastAsia"/>
                <w:vertAlign w:val="subscript"/>
              </w:rPr>
              <w:t>eqg</w:t>
            </w:r>
            <w:r>
              <w:rPr>
                <w:rFonts w:hint="eastAsia"/>
              </w:rPr>
              <w:t>：建设项目声源在预测点的等效声级贡献值，dB(A</w:t>
            </w:r>
            <w:r>
              <w:rPr>
                <w:rFonts w:hint="eastAsia"/>
                <w:lang w:eastAsia="zh-CN"/>
              </w:rPr>
              <w:t>)</w:t>
            </w:r>
            <w:r>
              <w:rPr>
                <w:rFonts w:hint="eastAsia"/>
              </w:rPr>
              <w:t>；</w:t>
            </w:r>
          </w:p>
          <w:p w14:paraId="543B2C91">
            <w:pPr>
              <w:pStyle w:val="3"/>
              <w:ind w:firstLine="480"/>
            </w:pPr>
            <w:r>
              <w:rPr>
                <w:rFonts w:hint="eastAsia"/>
              </w:rPr>
              <w:t>L</w:t>
            </w:r>
            <w:r>
              <w:rPr>
                <w:rFonts w:hint="eastAsia"/>
                <w:vertAlign w:val="subscript"/>
              </w:rPr>
              <w:t>eqb</w:t>
            </w:r>
            <w:r>
              <w:rPr>
                <w:rFonts w:hint="eastAsia"/>
              </w:rPr>
              <w:t>：预测点的背景值，dB(A</w:t>
            </w:r>
            <w:r>
              <w:rPr>
                <w:rFonts w:hint="eastAsia"/>
                <w:lang w:eastAsia="zh-CN"/>
              </w:rPr>
              <w:t>)</w:t>
            </w:r>
            <w:r>
              <w:rPr>
                <w:rFonts w:hint="eastAsia"/>
              </w:rPr>
              <w:t>；</w:t>
            </w:r>
          </w:p>
          <w:p w14:paraId="7D299C6D">
            <w:pPr>
              <w:pStyle w:val="3"/>
              <w:ind w:firstLine="480"/>
            </w:pPr>
            <w:r>
              <w:rPr>
                <w:rFonts w:hint="eastAsia"/>
              </w:rPr>
              <w:t>3）户外声传播衰减计算公式；</w:t>
            </w:r>
          </w:p>
          <w:p w14:paraId="4062F510">
            <w:pPr>
              <w:pStyle w:val="3"/>
              <w:ind w:firstLine="480"/>
            </w:pPr>
            <w:r>
              <w:rPr>
                <w:rFonts w:hint="eastAsia"/>
              </w:rPr>
              <w:t>户外声传播衰减包括几何发散（A</w:t>
            </w:r>
            <w:r>
              <w:rPr>
                <w:rFonts w:hint="eastAsia"/>
                <w:vertAlign w:val="subscript"/>
              </w:rPr>
              <w:t>div</w:t>
            </w:r>
            <w:r>
              <w:rPr>
                <w:rFonts w:hint="eastAsia"/>
              </w:rPr>
              <w:t>）、大气吸收（A</w:t>
            </w:r>
            <w:r>
              <w:rPr>
                <w:rFonts w:hint="eastAsia"/>
                <w:vertAlign w:val="subscript"/>
              </w:rPr>
              <w:t>atm</w:t>
            </w:r>
            <w:r>
              <w:rPr>
                <w:rFonts w:hint="eastAsia"/>
              </w:rPr>
              <w:t>）、地面效应（A</w:t>
            </w:r>
            <w:r>
              <w:rPr>
                <w:rFonts w:hint="eastAsia"/>
                <w:vertAlign w:val="subscript"/>
              </w:rPr>
              <w:t>gr</w:t>
            </w:r>
            <w:r>
              <w:rPr>
                <w:rFonts w:hint="eastAsia"/>
              </w:rPr>
              <w:t>）、屏障屏蔽（A</w:t>
            </w:r>
            <w:r>
              <w:rPr>
                <w:rFonts w:hint="eastAsia"/>
                <w:vertAlign w:val="subscript"/>
              </w:rPr>
              <w:t>bar</w:t>
            </w:r>
            <w:r>
              <w:rPr>
                <w:rFonts w:hint="eastAsia"/>
              </w:rPr>
              <w:t>）、其他多方面效应（A</w:t>
            </w:r>
            <w:r>
              <w:rPr>
                <w:rFonts w:hint="eastAsia"/>
                <w:vertAlign w:val="subscript"/>
              </w:rPr>
              <w:t>misc</w:t>
            </w:r>
            <w:r>
              <w:rPr>
                <w:rFonts w:hint="eastAsia"/>
              </w:rPr>
              <w:t>）引起的衰减。</w:t>
            </w:r>
          </w:p>
          <w:p w14:paraId="2F603D35">
            <w:pPr>
              <w:pStyle w:val="3"/>
              <w:ind w:firstLine="480"/>
            </w:pPr>
            <w:r>
              <w:rPr>
                <w:rFonts w:hint="eastAsia"/>
              </w:rPr>
              <w:t>距声源点r处的A声级按下式计算：</w:t>
            </w:r>
          </w:p>
          <w:p w14:paraId="1A18DE4B">
            <w:pPr>
              <w:pStyle w:val="50"/>
            </w:pPr>
            <w:r>
              <w:drawing>
                <wp:inline distT="0" distB="0" distL="0" distR="0">
                  <wp:extent cx="2736850" cy="359410"/>
                  <wp:effectExtent l="0" t="0" r="0" b="2540"/>
                  <wp:docPr id="6460367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36728" name="图片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37434" cy="360000"/>
                          </a:xfrm>
                          <a:prstGeom prst="rect">
                            <a:avLst/>
                          </a:prstGeom>
                          <a:noFill/>
                          <a:ln>
                            <a:noFill/>
                          </a:ln>
                        </pic:spPr>
                      </pic:pic>
                    </a:graphicData>
                  </a:graphic>
                </wp:inline>
              </w:drawing>
            </w:r>
          </w:p>
          <w:p w14:paraId="47149406">
            <w:pPr>
              <w:pStyle w:val="3"/>
              <w:ind w:firstLine="480"/>
            </w:pPr>
            <w:r>
              <w:rPr>
                <w:rFonts w:hint="eastAsia"/>
              </w:rPr>
              <w:t>式中：L</w:t>
            </w:r>
            <w:r>
              <w:rPr>
                <w:rFonts w:hint="eastAsia"/>
                <w:vertAlign w:val="subscript"/>
              </w:rPr>
              <w:t>p</w:t>
            </w:r>
            <w:r>
              <w:rPr>
                <w:rFonts w:hint="eastAsia"/>
              </w:rPr>
              <w:t>(r</w:t>
            </w:r>
            <w:r>
              <w:rPr>
                <w:rFonts w:hint="eastAsia"/>
                <w:lang w:eastAsia="zh-CN"/>
              </w:rPr>
              <w:t>)</w:t>
            </w:r>
            <w:r>
              <w:rPr>
                <w:rFonts w:hint="eastAsia"/>
              </w:rPr>
              <w:t>：预测点处声压级，dB；</w:t>
            </w:r>
          </w:p>
          <w:p w14:paraId="7B7F8D88">
            <w:pPr>
              <w:pStyle w:val="3"/>
              <w:ind w:firstLine="480"/>
            </w:pPr>
            <w:r>
              <w:rPr>
                <w:rFonts w:hint="eastAsia"/>
              </w:rPr>
              <w:t>L</w:t>
            </w:r>
            <w:r>
              <w:rPr>
                <w:rFonts w:hint="eastAsia"/>
                <w:vertAlign w:val="subscript"/>
              </w:rPr>
              <w:t>w</w:t>
            </w:r>
            <w:r>
              <w:rPr>
                <w:rFonts w:hint="eastAsia"/>
              </w:rPr>
              <w:t>：由点声源产生的声功率级（A计权或倍频带），dB；</w:t>
            </w:r>
          </w:p>
          <w:p w14:paraId="67659510">
            <w:pPr>
              <w:pStyle w:val="3"/>
              <w:ind w:firstLine="480"/>
            </w:pPr>
            <w:r>
              <w:rPr>
                <w:rFonts w:hint="eastAsia"/>
              </w:rPr>
              <w:t>D</w:t>
            </w:r>
            <w:r>
              <w:rPr>
                <w:rFonts w:hint="eastAsia"/>
                <w:vertAlign w:val="subscript"/>
              </w:rPr>
              <w:t>C</w:t>
            </w:r>
            <w:r>
              <w:rPr>
                <w:rFonts w:hint="eastAsia"/>
              </w:rPr>
              <w:t>：指向性校正，它描述点声源的等效连续声压级与产生声功率级Lw的全向点声源在规定方向的声级的偏差程度，dB；</w:t>
            </w:r>
          </w:p>
          <w:p w14:paraId="3F146DFD">
            <w:pPr>
              <w:pStyle w:val="3"/>
              <w:ind w:firstLine="480"/>
            </w:pPr>
            <w:r>
              <w:rPr>
                <w:rFonts w:hint="eastAsia"/>
              </w:rPr>
              <w:t>A</w:t>
            </w:r>
            <w:r>
              <w:rPr>
                <w:rFonts w:hint="eastAsia"/>
                <w:vertAlign w:val="subscript"/>
              </w:rPr>
              <w:t>div</w:t>
            </w:r>
            <w:r>
              <w:rPr>
                <w:rFonts w:hint="eastAsia"/>
              </w:rPr>
              <w:t>：几何发散引起的衰减，dB；</w:t>
            </w:r>
          </w:p>
          <w:p w14:paraId="0DCC6153">
            <w:pPr>
              <w:pStyle w:val="3"/>
              <w:ind w:firstLine="480"/>
            </w:pPr>
            <w:r>
              <w:rPr>
                <w:rFonts w:hint="eastAsia"/>
              </w:rPr>
              <w:t>A</w:t>
            </w:r>
            <w:r>
              <w:rPr>
                <w:rFonts w:hint="eastAsia"/>
                <w:vertAlign w:val="subscript"/>
              </w:rPr>
              <w:t>atm</w:t>
            </w:r>
            <w:r>
              <w:rPr>
                <w:rFonts w:hint="eastAsia"/>
              </w:rPr>
              <w:t>：大气吸收引起的衰减，dB；</w:t>
            </w:r>
          </w:p>
          <w:p w14:paraId="74BE5B88">
            <w:pPr>
              <w:pStyle w:val="3"/>
              <w:ind w:firstLine="480"/>
            </w:pPr>
            <w:r>
              <w:rPr>
                <w:rFonts w:hint="eastAsia"/>
              </w:rPr>
              <w:t>A</w:t>
            </w:r>
            <w:r>
              <w:rPr>
                <w:rFonts w:hint="eastAsia"/>
                <w:vertAlign w:val="subscript"/>
              </w:rPr>
              <w:t>gr</w:t>
            </w:r>
            <w:r>
              <w:rPr>
                <w:rFonts w:hint="eastAsia"/>
              </w:rPr>
              <w:t>：地面效应引起的衰减，dB；</w:t>
            </w:r>
          </w:p>
          <w:p w14:paraId="45CA5AF4">
            <w:pPr>
              <w:pStyle w:val="3"/>
              <w:ind w:firstLine="480"/>
            </w:pPr>
            <w:r>
              <w:rPr>
                <w:rFonts w:hint="eastAsia"/>
              </w:rPr>
              <w:t>A</w:t>
            </w:r>
            <w:r>
              <w:rPr>
                <w:rFonts w:hint="eastAsia"/>
                <w:vertAlign w:val="subscript"/>
              </w:rPr>
              <w:t>bar</w:t>
            </w:r>
            <w:r>
              <w:rPr>
                <w:rFonts w:hint="eastAsia"/>
              </w:rPr>
              <w:t>：障碍物屏蔽引起的衰减，dB；</w:t>
            </w:r>
          </w:p>
          <w:p w14:paraId="7F1027DD">
            <w:pPr>
              <w:pStyle w:val="3"/>
              <w:ind w:firstLine="480"/>
            </w:pPr>
            <w:r>
              <w:rPr>
                <w:rFonts w:hint="eastAsia"/>
              </w:rPr>
              <w:t>A</w:t>
            </w:r>
            <w:r>
              <w:rPr>
                <w:rFonts w:hint="eastAsia"/>
                <w:vertAlign w:val="subscript"/>
              </w:rPr>
              <w:t>misc</w:t>
            </w:r>
            <w:r>
              <w:rPr>
                <w:rFonts w:hint="eastAsia"/>
              </w:rPr>
              <w:t>：其他多方面效应引起的衰减，dB。</w:t>
            </w:r>
          </w:p>
          <w:p w14:paraId="29D658B3">
            <w:pPr>
              <w:pStyle w:val="3"/>
              <w:ind w:firstLine="480"/>
            </w:pPr>
            <w:r>
              <w:rPr>
                <w:rFonts w:hint="eastAsia"/>
              </w:rPr>
              <w:t>4）噪声距离衰减公式</w:t>
            </w:r>
          </w:p>
          <w:p w14:paraId="1F1597FB">
            <w:pPr>
              <w:pStyle w:val="50"/>
            </w:pPr>
            <w:r>
              <w:drawing>
                <wp:inline distT="0" distB="0" distL="0" distR="0">
                  <wp:extent cx="1862455" cy="359410"/>
                  <wp:effectExtent l="0" t="0" r="4445" b="2540"/>
                  <wp:docPr id="11478118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811813" name="图片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863033" cy="360000"/>
                          </a:xfrm>
                          <a:prstGeom prst="rect">
                            <a:avLst/>
                          </a:prstGeom>
                          <a:noFill/>
                          <a:ln>
                            <a:noFill/>
                          </a:ln>
                        </pic:spPr>
                      </pic:pic>
                    </a:graphicData>
                  </a:graphic>
                </wp:inline>
              </w:drawing>
            </w:r>
          </w:p>
          <w:p w14:paraId="1A744091">
            <w:pPr>
              <w:pStyle w:val="3"/>
              <w:ind w:firstLine="480"/>
            </w:pPr>
            <w:r>
              <w:rPr>
                <w:rFonts w:hint="eastAsia"/>
              </w:rPr>
              <w:t>式中：L</w:t>
            </w:r>
            <w:r>
              <w:rPr>
                <w:rFonts w:hint="eastAsia"/>
                <w:vertAlign w:val="subscript"/>
              </w:rPr>
              <w:t>p</w:t>
            </w:r>
            <w:r>
              <w:rPr>
                <w:rFonts w:hint="eastAsia"/>
              </w:rPr>
              <w:t>(r</w:t>
            </w:r>
            <w:r>
              <w:rPr>
                <w:rFonts w:hint="eastAsia"/>
                <w:lang w:eastAsia="zh-CN"/>
              </w:rPr>
              <w:t>)</w:t>
            </w:r>
            <w:r>
              <w:rPr>
                <w:rFonts w:hint="eastAsia"/>
              </w:rPr>
              <w:t>：预测点处声压级，dB；</w:t>
            </w:r>
          </w:p>
          <w:p w14:paraId="78DDBFFB">
            <w:pPr>
              <w:pStyle w:val="3"/>
              <w:ind w:firstLine="480"/>
            </w:pPr>
            <w:r>
              <w:rPr>
                <w:rFonts w:hint="eastAsia"/>
              </w:rPr>
              <w:t>L</w:t>
            </w:r>
            <w:r>
              <w:rPr>
                <w:rFonts w:hint="eastAsia"/>
                <w:vertAlign w:val="subscript"/>
              </w:rPr>
              <w:t>p</w:t>
            </w:r>
            <w:r>
              <w:rPr>
                <w:rFonts w:hint="eastAsia"/>
              </w:rPr>
              <w:t>(r</w:t>
            </w:r>
            <w:r>
              <w:rPr>
                <w:rFonts w:hint="eastAsia"/>
                <w:vertAlign w:val="subscript"/>
              </w:rPr>
              <w:t>0</w:t>
            </w:r>
            <w:r>
              <w:rPr>
                <w:rFonts w:hint="eastAsia"/>
                <w:vertAlign w:val="subscript"/>
                <w:lang w:eastAsia="zh-CN"/>
              </w:rPr>
              <w:t>)</w:t>
            </w:r>
            <w:r>
              <w:rPr>
                <w:rFonts w:hint="eastAsia"/>
              </w:rPr>
              <w:t>：参考位置r</w:t>
            </w:r>
            <w:r>
              <w:rPr>
                <w:rFonts w:hint="eastAsia"/>
                <w:vertAlign w:val="subscript"/>
              </w:rPr>
              <w:t>0</w:t>
            </w:r>
            <w:r>
              <w:rPr>
                <w:rFonts w:hint="eastAsia"/>
              </w:rPr>
              <w:t>处的声压级，dB；</w:t>
            </w:r>
          </w:p>
          <w:p w14:paraId="6E1B010F">
            <w:pPr>
              <w:pStyle w:val="3"/>
              <w:ind w:firstLine="480"/>
            </w:pPr>
            <w:r>
              <w:rPr>
                <w:rFonts w:hint="eastAsia"/>
              </w:rPr>
              <w:t>r：预测点距声源的距离；</w:t>
            </w:r>
          </w:p>
          <w:p w14:paraId="1D04867A">
            <w:pPr>
              <w:pStyle w:val="3"/>
              <w:ind w:firstLine="480"/>
            </w:pPr>
            <w:r>
              <w:rPr>
                <w:rFonts w:hint="eastAsia"/>
              </w:rPr>
              <w:t>r</w:t>
            </w:r>
            <w:r>
              <w:rPr>
                <w:rFonts w:hint="eastAsia"/>
                <w:vertAlign w:val="subscript"/>
              </w:rPr>
              <w:t>0</w:t>
            </w:r>
            <w:r>
              <w:rPr>
                <w:rFonts w:hint="eastAsia"/>
              </w:rPr>
              <w:t>：参考位置距声源的距离。</w:t>
            </w:r>
          </w:p>
          <w:p w14:paraId="51A7AAB2">
            <w:pPr>
              <w:pStyle w:val="51"/>
            </w:pPr>
            <w:r>
              <w:rPr>
                <w:rFonts w:hint="eastAsia"/>
              </w:rPr>
              <w:t>（3）预测结果</w:t>
            </w:r>
          </w:p>
          <w:p w14:paraId="284C473B">
            <w:pPr>
              <w:pStyle w:val="3"/>
              <w:ind w:firstLine="480"/>
            </w:pPr>
            <w:r>
              <w:rPr>
                <w:rFonts w:hint="eastAsia"/>
              </w:rPr>
              <w:t>为充分估算声源对周围环境的影响，对不满足计算条件的小额正衰减予以忽略，在此基础上进一步计算各预测点的声级。</w:t>
            </w:r>
          </w:p>
          <w:p w14:paraId="115570BD">
            <w:pPr>
              <w:pStyle w:val="3"/>
              <w:ind w:firstLine="480"/>
            </w:pPr>
            <w:r>
              <w:rPr>
                <w:rFonts w:hint="eastAsia"/>
              </w:rPr>
              <w:t>本次评价边界采用贡献值作为预测值，选取东西南北四个监测点位作为本项目对环境的影响预测点，预测、评价项目噪声对环境的影响。</w:t>
            </w:r>
          </w:p>
          <w:p w14:paraId="15D2AF05">
            <w:pPr>
              <w:pStyle w:val="48"/>
            </w:pPr>
            <w:bookmarkStart w:id="84" w:name="_Ref176913475"/>
            <w:r>
              <w:rPr>
                <w:rFonts w:hint="eastAsia"/>
              </w:rPr>
              <w:t xml:space="preserve">表4- </w:t>
            </w:r>
            <w:r>
              <w:fldChar w:fldCharType="begin"/>
            </w:r>
            <w:r>
              <w:instrText xml:space="preserve"> </w:instrText>
            </w:r>
            <w:r>
              <w:rPr>
                <w:rFonts w:hint="eastAsia"/>
              </w:rPr>
              <w:instrText xml:space="preserve">SEQ 表4- \* ARABIC</w:instrText>
            </w:r>
            <w:r>
              <w:instrText xml:space="preserve"> </w:instrText>
            </w:r>
            <w:r>
              <w:fldChar w:fldCharType="separate"/>
            </w:r>
            <w:r>
              <w:t>13</w:t>
            </w:r>
            <w:r>
              <w:fldChar w:fldCharType="end"/>
            </w:r>
            <w:r>
              <w:rPr>
                <w:rFonts w:hint="eastAsia"/>
              </w:rPr>
              <w:t>：项目噪声预测结果一览表</w:t>
            </w:r>
            <w:bookmarkEnd w:id="84"/>
          </w:p>
          <w:tbl>
            <w:tblPr>
              <w:tblStyle w:val="4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602"/>
              <w:gridCol w:w="1078"/>
              <w:gridCol w:w="1081"/>
              <w:gridCol w:w="1076"/>
              <w:gridCol w:w="1081"/>
              <w:gridCol w:w="1076"/>
              <w:gridCol w:w="1063"/>
            </w:tblGrid>
            <w:tr w14:paraId="200773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994" w:type="pct"/>
                  <w:vMerge w:val="restar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4E911AAC">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14:ligatures w14:val="standardContextual"/>
                    </w:rPr>
                  </w:pPr>
                  <w:r>
                    <w:rPr>
                      <w:rFonts w:hint="default" w:ascii="Times New Roman" w:hAnsi="Times New Roman" w:eastAsia="宋体" w:cs="Times New Roman"/>
                      <w:b/>
                      <w:i w:val="0"/>
                      <w:color w:val="auto"/>
                      <w14:ligatures w14:val="standardContextual"/>
                    </w:rPr>
                    <w:t>预测点</w:t>
                  </w:r>
                </w:p>
              </w:tc>
              <w:tc>
                <w:tcPr>
                  <w:tcW w:w="1340" w:type="pct"/>
                  <w:gridSpan w:val="2"/>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2FB919BE">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default" w:ascii="Times New Roman" w:hAnsi="Times New Roman" w:eastAsia="宋体" w:cs="Times New Roman"/>
                      <w:b/>
                      <w:i w:val="0"/>
                      <w14:ligatures w14:val="standardContextual"/>
                    </w:rPr>
                    <w:t>贡献值</w:t>
                  </w:r>
                </w:p>
              </w:tc>
              <w:tc>
                <w:tcPr>
                  <w:tcW w:w="1339" w:type="pct"/>
                  <w:gridSpan w:val="2"/>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6B1D5F05">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default" w:ascii="Times New Roman" w:hAnsi="Times New Roman" w:eastAsia="宋体" w:cs="Times New Roman"/>
                      <w:b/>
                      <w:i w:val="0"/>
                      <w14:ligatures w14:val="standardContextual"/>
                    </w:rPr>
                    <w:t>标准值</w:t>
                  </w:r>
                </w:p>
              </w:tc>
              <w:tc>
                <w:tcPr>
                  <w:tcW w:w="1327" w:type="pct"/>
                  <w:gridSpan w:val="2"/>
                  <w:tcBorders>
                    <w:top w:val="single" w:color="auto" w:sz="12" w:space="0"/>
                    <w:bottom w:val="single" w:color="auto" w:sz="12" w:space="0"/>
                    <w:right w:val="nil"/>
                    <w:insideH w:val="single" w:sz="12" w:space="0"/>
                    <w:insideV w:val="single" w:sz="4" w:space="0"/>
                    <w:tl2br w:val="nil"/>
                    <w:tr2bl w:val="nil"/>
                  </w:tcBorders>
                  <w:vAlign w:val="center"/>
                </w:tcPr>
                <w:p w14:paraId="60D32A37">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default" w:ascii="Times New Roman" w:hAnsi="Times New Roman" w:eastAsia="宋体" w:cs="Times New Roman"/>
                      <w:b/>
                      <w:i w:val="0"/>
                      <w14:ligatures w14:val="standardContextual"/>
                    </w:rPr>
                    <w:t>达标分析</w:t>
                  </w:r>
                </w:p>
              </w:tc>
            </w:tr>
            <w:tr w14:paraId="4D28B4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994" w:type="pct"/>
                  <w:vMerge w:val="continue"/>
                  <w:vAlign w:val="center"/>
                </w:tcPr>
                <w:p w14:paraId="58DEF2FD">
                  <w:pPr>
                    <w:widowControl w:val="0"/>
                    <w:overflowPunct w:val="0"/>
                    <w:autoSpaceDE w:val="0"/>
                    <w:autoSpaceDN w:val="0"/>
                    <w:snapToGrid w:val="0"/>
                    <w:jc w:val="center"/>
                    <w:rPr>
                      <w:color w:val="auto"/>
                      <w14:ligatures w14:val="standardContextual"/>
                    </w:rPr>
                  </w:pPr>
                </w:p>
              </w:tc>
              <w:tc>
                <w:tcPr>
                  <w:tcW w:w="669" w:type="pct"/>
                  <w:vAlign w:val="center"/>
                </w:tcPr>
                <w:p w14:paraId="7C1CBF94">
                  <w:pPr>
                    <w:widowControl w:val="0"/>
                    <w:overflowPunct w:val="0"/>
                    <w:autoSpaceDE w:val="0"/>
                    <w:autoSpaceDN w:val="0"/>
                    <w:snapToGrid w:val="0"/>
                    <w:jc w:val="center"/>
                    <w:rPr>
                      <w14:ligatures w14:val="standardContextual"/>
                    </w:rPr>
                  </w:pPr>
                  <w:r>
                    <w:rPr>
                      <w14:ligatures w14:val="standardContextual"/>
                    </w:rPr>
                    <w:t>昼间</w:t>
                  </w:r>
                </w:p>
              </w:tc>
              <w:tc>
                <w:tcPr>
                  <w:tcW w:w="671" w:type="pct"/>
                  <w:vAlign w:val="center"/>
                </w:tcPr>
                <w:p w14:paraId="75EE91A4">
                  <w:pPr>
                    <w:widowControl w:val="0"/>
                    <w:overflowPunct w:val="0"/>
                    <w:autoSpaceDE w:val="0"/>
                    <w:autoSpaceDN w:val="0"/>
                    <w:snapToGrid w:val="0"/>
                    <w:jc w:val="center"/>
                    <w:rPr>
                      <w14:ligatures w14:val="standardContextual"/>
                    </w:rPr>
                  </w:pPr>
                  <w:r>
                    <w:rPr>
                      <w14:ligatures w14:val="standardContextual"/>
                    </w:rPr>
                    <w:t>夜间</w:t>
                  </w:r>
                </w:p>
              </w:tc>
              <w:tc>
                <w:tcPr>
                  <w:tcW w:w="668" w:type="pct"/>
                  <w:vAlign w:val="center"/>
                </w:tcPr>
                <w:p w14:paraId="5C562A9A">
                  <w:pPr>
                    <w:widowControl w:val="0"/>
                    <w:overflowPunct w:val="0"/>
                    <w:autoSpaceDE w:val="0"/>
                    <w:autoSpaceDN w:val="0"/>
                    <w:snapToGrid w:val="0"/>
                    <w:jc w:val="center"/>
                    <w:rPr>
                      <w14:ligatures w14:val="standardContextual"/>
                    </w:rPr>
                  </w:pPr>
                  <w:r>
                    <w:rPr>
                      <w14:ligatures w14:val="standardContextual"/>
                    </w:rPr>
                    <w:t>昼间</w:t>
                  </w:r>
                </w:p>
              </w:tc>
              <w:tc>
                <w:tcPr>
                  <w:tcW w:w="671" w:type="pct"/>
                  <w:vAlign w:val="center"/>
                </w:tcPr>
                <w:p w14:paraId="70AD30AE">
                  <w:pPr>
                    <w:widowControl w:val="0"/>
                    <w:overflowPunct w:val="0"/>
                    <w:autoSpaceDE w:val="0"/>
                    <w:autoSpaceDN w:val="0"/>
                    <w:snapToGrid w:val="0"/>
                    <w:jc w:val="center"/>
                    <w:rPr>
                      <w14:ligatures w14:val="standardContextual"/>
                    </w:rPr>
                  </w:pPr>
                  <w:r>
                    <w:rPr>
                      <w:rFonts w:hint="eastAsia"/>
                      <w14:ligatures w14:val="standardContextual"/>
                    </w:rPr>
                    <w:t>夜间</w:t>
                  </w:r>
                </w:p>
              </w:tc>
              <w:tc>
                <w:tcPr>
                  <w:tcW w:w="668" w:type="pct"/>
                  <w:vAlign w:val="center"/>
                </w:tcPr>
                <w:p w14:paraId="3F318224">
                  <w:pPr>
                    <w:widowControl w:val="0"/>
                    <w:overflowPunct w:val="0"/>
                    <w:autoSpaceDE w:val="0"/>
                    <w:autoSpaceDN w:val="0"/>
                    <w:snapToGrid w:val="0"/>
                    <w:jc w:val="center"/>
                    <w:rPr>
                      <w14:ligatures w14:val="standardContextual"/>
                    </w:rPr>
                  </w:pPr>
                  <w:r>
                    <w:rPr>
                      <w14:ligatures w14:val="standardContextual"/>
                    </w:rPr>
                    <w:t>昼间</w:t>
                  </w:r>
                </w:p>
              </w:tc>
              <w:tc>
                <w:tcPr>
                  <w:tcW w:w="659" w:type="pct"/>
                  <w:vAlign w:val="center"/>
                </w:tcPr>
                <w:p w14:paraId="695A6D87">
                  <w:pPr>
                    <w:widowControl w:val="0"/>
                    <w:overflowPunct w:val="0"/>
                    <w:autoSpaceDE w:val="0"/>
                    <w:autoSpaceDN w:val="0"/>
                    <w:snapToGrid w:val="0"/>
                    <w:jc w:val="center"/>
                    <w:rPr>
                      <w14:ligatures w14:val="standardContextual"/>
                    </w:rPr>
                  </w:pPr>
                  <w:r>
                    <w:rPr>
                      <w:rFonts w:hint="eastAsia"/>
                      <w14:ligatures w14:val="standardContextual"/>
                    </w:rPr>
                    <w:t>夜间</w:t>
                  </w:r>
                </w:p>
              </w:tc>
            </w:tr>
            <w:tr w14:paraId="41EE7F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994" w:type="pct"/>
                  <w:vAlign w:val="center"/>
                </w:tcPr>
                <w:p w14:paraId="2DA91D02">
                  <w:pPr>
                    <w:widowControl w:val="0"/>
                    <w:overflowPunct w:val="0"/>
                    <w:autoSpaceDE w:val="0"/>
                    <w:autoSpaceDN w:val="0"/>
                    <w:snapToGrid w:val="0"/>
                    <w:jc w:val="center"/>
                    <w:rPr>
                      <w:color w:val="auto"/>
                      <w14:ligatures w14:val="standardContextual"/>
                    </w:rPr>
                  </w:pPr>
                  <w:r>
                    <w:rPr>
                      <w:rFonts w:hint="eastAsia"/>
                      <w:color w:val="auto"/>
                      <w14:ligatures w14:val="standardContextual"/>
                    </w:rPr>
                    <w:t>东厂界</w:t>
                  </w:r>
                </w:p>
              </w:tc>
              <w:tc>
                <w:tcPr>
                  <w:tcW w:w="669" w:type="pct"/>
                  <w:vAlign w:val="center"/>
                </w:tcPr>
                <w:p w14:paraId="4BCA915E">
                  <w:pPr>
                    <w:widowControl w:val="0"/>
                    <w:overflowPunct w:val="0"/>
                    <w:autoSpaceDE w:val="0"/>
                    <w:autoSpaceDN w:val="0"/>
                    <w:snapToGrid w:val="0"/>
                    <w:jc w:val="center"/>
                    <w:rPr>
                      <w14:ligatures w14:val="standardContextual"/>
                    </w:rPr>
                  </w:pPr>
                  <w:r>
                    <w:rPr>
                      <w:rFonts w:hint="eastAsia"/>
                      <w14:ligatures w14:val="standardContextual"/>
                    </w:rPr>
                    <w:t>28.5</w:t>
                  </w:r>
                </w:p>
              </w:tc>
              <w:tc>
                <w:tcPr>
                  <w:tcW w:w="671" w:type="pct"/>
                  <w:vAlign w:val="center"/>
                </w:tcPr>
                <w:p w14:paraId="3537B378">
                  <w:pPr>
                    <w:widowControl w:val="0"/>
                    <w:overflowPunct w:val="0"/>
                    <w:autoSpaceDE w:val="0"/>
                    <w:autoSpaceDN w:val="0"/>
                    <w:snapToGrid w:val="0"/>
                    <w:jc w:val="center"/>
                    <w:rPr>
                      <w14:ligatures w14:val="standardContextual"/>
                    </w:rPr>
                  </w:pPr>
                  <w:r>
                    <w:rPr>
                      <w:rFonts w:hint="eastAsia"/>
                      <w14:ligatures w14:val="standardContextual"/>
                    </w:rPr>
                    <w:t>/</w:t>
                  </w:r>
                </w:p>
              </w:tc>
              <w:tc>
                <w:tcPr>
                  <w:tcW w:w="668" w:type="pct"/>
                  <w:vAlign w:val="center"/>
                </w:tcPr>
                <w:p w14:paraId="34ECC0C9">
                  <w:pPr>
                    <w:widowControl w:val="0"/>
                    <w:overflowPunct w:val="0"/>
                    <w:autoSpaceDE w:val="0"/>
                    <w:autoSpaceDN w:val="0"/>
                    <w:snapToGrid w:val="0"/>
                    <w:jc w:val="center"/>
                    <w:rPr>
                      <w14:ligatures w14:val="standardContextual"/>
                    </w:rPr>
                  </w:pPr>
                  <w:r>
                    <w:rPr>
                      <w:rFonts w:hint="eastAsia"/>
                      <w14:ligatures w14:val="standardContextual"/>
                    </w:rPr>
                    <w:t>65</w:t>
                  </w:r>
                </w:p>
              </w:tc>
              <w:tc>
                <w:tcPr>
                  <w:tcW w:w="671" w:type="pct"/>
                  <w:vAlign w:val="center"/>
                </w:tcPr>
                <w:p w14:paraId="79ACAFB7">
                  <w:pPr>
                    <w:widowControl w:val="0"/>
                    <w:overflowPunct w:val="0"/>
                    <w:autoSpaceDE w:val="0"/>
                    <w:autoSpaceDN w:val="0"/>
                    <w:snapToGrid w:val="0"/>
                    <w:jc w:val="center"/>
                    <w:rPr>
                      <w14:ligatures w14:val="standardContextual"/>
                    </w:rPr>
                  </w:pPr>
                  <w:r>
                    <w:rPr>
                      <w:rFonts w:hint="eastAsia"/>
                      <w14:ligatures w14:val="standardContextual"/>
                    </w:rPr>
                    <w:t>55</w:t>
                  </w:r>
                </w:p>
              </w:tc>
              <w:tc>
                <w:tcPr>
                  <w:tcW w:w="668" w:type="pct"/>
                  <w:vAlign w:val="center"/>
                </w:tcPr>
                <w:p w14:paraId="70DDF15E">
                  <w:pPr>
                    <w:widowControl w:val="0"/>
                    <w:overflowPunct w:val="0"/>
                    <w:autoSpaceDE w:val="0"/>
                    <w:autoSpaceDN w:val="0"/>
                    <w:snapToGrid w:val="0"/>
                    <w:jc w:val="center"/>
                    <w:rPr>
                      <w14:ligatures w14:val="standardContextual"/>
                    </w:rPr>
                  </w:pPr>
                  <w:r>
                    <w:rPr>
                      <w:rFonts w:hint="eastAsia"/>
                      <w14:ligatures w14:val="standardContextual"/>
                    </w:rPr>
                    <w:t>达标</w:t>
                  </w:r>
                </w:p>
              </w:tc>
              <w:tc>
                <w:tcPr>
                  <w:tcW w:w="659" w:type="pct"/>
                  <w:vAlign w:val="center"/>
                </w:tcPr>
                <w:p w14:paraId="0D81A6F3">
                  <w:pPr>
                    <w:widowControl w:val="0"/>
                    <w:overflowPunct w:val="0"/>
                    <w:autoSpaceDE w:val="0"/>
                    <w:autoSpaceDN w:val="0"/>
                    <w:snapToGrid w:val="0"/>
                    <w:jc w:val="center"/>
                    <w:rPr>
                      <w14:ligatures w14:val="standardContextual"/>
                    </w:rPr>
                  </w:pPr>
                  <w:r>
                    <w:rPr>
                      <w:rFonts w:hint="eastAsia"/>
                      <w14:ligatures w14:val="standardContextual"/>
                    </w:rPr>
                    <w:t>达标</w:t>
                  </w:r>
                </w:p>
              </w:tc>
            </w:tr>
            <w:tr w14:paraId="6BC007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994" w:type="pct"/>
                  <w:vAlign w:val="center"/>
                </w:tcPr>
                <w:p w14:paraId="7593FB28">
                  <w:pPr>
                    <w:widowControl w:val="0"/>
                    <w:overflowPunct w:val="0"/>
                    <w:autoSpaceDE w:val="0"/>
                    <w:autoSpaceDN w:val="0"/>
                    <w:snapToGrid w:val="0"/>
                    <w:jc w:val="center"/>
                    <w:rPr>
                      <w:color w:val="auto"/>
                      <w14:ligatures w14:val="standardContextual"/>
                    </w:rPr>
                  </w:pPr>
                  <w:r>
                    <w:rPr>
                      <w:rFonts w:hint="eastAsia"/>
                      <w:color w:val="auto"/>
                      <w14:ligatures w14:val="standardContextual"/>
                    </w:rPr>
                    <w:t>西厂界</w:t>
                  </w:r>
                </w:p>
              </w:tc>
              <w:tc>
                <w:tcPr>
                  <w:tcW w:w="669" w:type="pct"/>
                  <w:vAlign w:val="center"/>
                </w:tcPr>
                <w:p w14:paraId="49172FFB">
                  <w:pPr>
                    <w:widowControl w:val="0"/>
                    <w:overflowPunct w:val="0"/>
                    <w:autoSpaceDE w:val="0"/>
                    <w:autoSpaceDN w:val="0"/>
                    <w:snapToGrid w:val="0"/>
                    <w:jc w:val="center"/>
                    <w:rPr>
                      <w14:ligatures w14:val="standardContextual"/>
                    </w:rPr>
                  </w:pPr>
                  <w:r>
                    <w:rPr>
                      <w:rFonts w:hint="eastAsia"/>
                      <w14:ligatures w14:val="standardContextual"/>
                    </w:rPr>
                    <w:t>34.6</w:t>
                  </w:r>
                </w:p>
              </w:tc>
              <w:tc>
                <w:tcPr>
                  <w:tcW w:w="671" w:type="pct"/>
                  <w:vAlign w:val="top"/>
                </w:tcPr>
                <w:p w14:paraId="1998932B">
                  <w:pPr>
                    <w:widowControl w:val="0"/>
                    <w:overflowPunct w:val="0"/>
                    <w:autoSpaceDE w:val="0"/>
                    <w:autoSpaceDN w:val="0"/>
                    <w:snapToGrid w:val="0"/>
                    <w:jc w:val="center"/>
                    <w:rPr>
                      <w14:ligatures w14:val="standardContextual"/>
                    </w:rPr>
                  </w:pPr>
                  <w:r>
                    <w:rPr>
                      <w:rFonts w:hint="eastAsia"/>
                      <w14:ligatures w14:val="standardContextual"/>
                    </w:rPr>
                    <w:t>/</w:t>
                  </w:r>
                </w:p>
              </w:tc>
              <w:tc>
                <w:tcPr>
                  <w:tcW w:w="668" w:type="pct"/>
                  <w:vAlign w:val="center"/>
                </w:tcPr>
                <w:p w14:paraId="0D528A14">
                  <w:pPr>
                    <w:widowControl w:val="0"/>
                    <w:overflowPunct w:val="0"/>
                    <w:autoSpaceDE w:val="0"/>
                    <w:autoSpaceDN w:val="0"/>
                    <w:snapToGrid w:val="0"/>
                    <w:jc w:val="center"/>
                    <w:rPr>
                      <w14:ligatures w14:val="standardContextual"/>
                    </w:rPr>
                  </w:pPr>
                  <w:r>
                    <w:rPr>
                      <w:rFonts w:hint="eastAsia"/>
                      <w14:ligatures w14:val="standardContextual"/>
                    </w:rPr>
                    <w:t>65</w:t>
                  </w:r>
                </w:p>
              </w:tc>
              <w:tc>
                <w:tcPr>
                  <w:tcW w:w="671" w:type="pct"/>
                  <w:vAlign w:val="center"/>
                </w:tcPr>
                <w:p w14:paraId="3287D03F">
                  <w:pPr>
                    <w:widowControl w:val="0"/>
                    <w:overflowPunct w:val="0"/>
                    <w:autoSpaceDE w:val="0"/>
                    <w:autoSpaceDN w:val="0"/>
                    <w:snapToGrid w:val="0"/>
                    <w:jc w:val="center"/>
                    <w:rPr>
                      <w14:ligatures w14:val="standardContextual"/>
                    </w:rPr>
                  </w:pPr>
                  <w:r>
                    <w:rPr>
                      <w:rFonts w:hint="eastAsia"/>
                      <w14:ligatures w14:val="standardContextual"/>
                    </w:rPr>
                    <w:t>55</w:t>
                  </w:r>
                </w:p>
              </w:tc>
              <w:tc>
                <w:tcPr>
                  <w:tcW w:w="668" w:type="pct"/>
                  <w:vAlign w:val="center"/>
                </w:tcPr>
                <w:p w14:paraId="1F4CD675">
                  <w:pPr>
                    <w:widowControl w:val="0"/>
                    <w:overflowPunct w:val="0"/>
                    <w:autoSpaceDE w:val="0"/>
                    <w:autoSpaceDN w:val="0"/>
                    <w:snapToGrid w:val="0"/>
                    <w:jc w:val="center"/>
                    <w:rPr>
                      <w14:ligatures w14:val="standardContextual"/>
                    </w:rPr>
                  </w:pPr>
                  <w:r>
                    <w:rPr>
                      <w:rFonts w:hint="eastAsia"/>
                      <w14:ligatures w14:val="standardContextual"/>
                    </w:rPr>
                    <w:t>达标</w:t>
                  </w:r>
                </w:p>
              </w:tc>
              <w:tc>
                <w:tcPr>
                  <w:tcW w:w="659" w:type="pct"/>
                  <w:vAlign w:val="center"/>
                </w:tcPr>
                <w:p w14:paraId="61CC0A9D">
                  <w:pPr>
                    <w:widowControl w:val="0"/>
                    <w:overflowPunct w:val="0"/>
                    <w:autoSpaceDE w:val="0"/>
                    <w:autoSpaceDN w:val="0"/>
                    <w:snapToGrid w:val="0"/>
                    <w:jc w:val="center"/>
                    <w:rPr>
                      <w14:ligatures w14:val="standardContextual"/>
                    </w:rPr>
                  </w:pPr>
                  <w:r>
                    <w:rPr>
                      <w:rFonts w:hint="eastAsia"/>
                      <w14:ligatures w14:val="standardContextual"/>
                    </w:rPr>
                    <w:t>达标</w:t>
                  </w:r>
                </w:p>
              </w:tc>
            </w:tr>
            <w:tr w14:paraId="3BDD7D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994" w:type="pct"/>
                  <w:vAlign w:val="center"/>
                </w:tcPr>
                <w:p w14:paraId="40DEF5AD">
                  <w:pPr>
                    <w:widowControl w:val="0"/>
                    <w:overflowPunct w:val="0"/>
                    <w:autoSpaceDE w:val="0"/>
                    <w:autoSpaceDN w:val="0"/>
                    <w:snapToGrid w:val="0"/>
                    <w:jc w:val="center"/>
                    <w:rPr>
                      <w:color w:val="auto"/>
                      <w14:ligatures w14:val="standardContextual"/>
                    </w:rPr>
                  </w:pPr>
                  <w:r>
                    <w:rPr>
                      <w:rFonts w:hint="eastAsia"/>
                      <w:color w:val="auto"/>
                      <w14:ligatures w14:val="standardContextual"/>
                    </w:rPr>
                    <w:t>南厂界</w:t>
                  </w:r>
                </w:p>
              </w:tc>
              <w:tc>
                <w:tcPr>
                  <w:tcW w:w="669" w:type="pct"/>
                  <w:vAlign w:val="center"/>
                </w:tcPr>
                <w:p w14:paraId="4483C297">
                  <w:pPr>
                    <w:widowControl w:val="0"/>
                    <w:overflowPunct w:val="0"/>
                    <w:autoSpaceDE w:val="0"/>
                    <w:autoSpaceDN w:val="0"/>
                    <w:snapToGrid w:val="0"/>
                    <w:jc w:val="center"/>
                    <w:rPr>
                      <w14:ligatures w14:val="standardContextual"/>
                    </w:rPr>
                  </w:pPr>
                  <w:r>
                    <w:rPr>
                      <w:rFonts w:hint="eastAsia"/>
                      <w14:ligatures w14:val="standardContextual"/>
                    </w:rPr>
                    <w:t>53.5</w:t>
                  </w:r>
                </w:p>
              </w:tc>
              <w:tc>
                <w:tcPr>
                  <w:tcW w:w="671" w:type="pct"/>
                  <w:vAlign w:val="top"/>
                </w:tcPr>
                <w:p w14:paraId="0DCD0568">
                  <w:pPr>
                    <w:widowControl w:val="0"/>
                    <w:overflowPunct w:val="0"/>
                    <w:autoSpaceDE w:val="0"/>
                    <w:autoSpaceDN w:val="0"/>
                    <w:snapToGrid w:val="0"/>
                    <w:jc w:val="center"/>
                    <w:rPr>
                      <w14:ligatures w14:val="standardContextual"/>
                    </w:rPr>
                  </w:pPr>
                  <w:r>
                    <w:rPr>
                      <w:rFonts w:hint="eastAsia"/>
                      <w14:ligatures w14:val="standardContextual"/>
                    </w:rPr>
                    <w:t>/</w:t>
                  </w:r>
                </w:p>
              </w:tc>
              <w:tc>
                <w:tcPr>
                  <w:tcW w:w="668" w:type="pct"/>
                  <w:vAlign w:val="center"/>
                </w:tcPr>
                <w:p w14:paraId="0D552580">
                  <w:pPr>
                    <w:widowControl w:val="0"/>
                    <w:overflowPunct w:val="0"/>
                    <w:autoSpaceDE w:val="0"/>
                    <w:autoSpaceDN w:val="0"/>
                    <w:snapToGrid w:val="0"/>
                    <w:jc w:val="center"/>
                    <w:rPr>
                      <w14:ligatures w14:val="standardContextual"/>
                    </w:rPr>
                  </w:pPr>
                  <w:r>
                    <w:rPr>
                      <w:rFonts w:hint="eastAsia"/>
                      <w14:ligatures w14:val="standardContextual"/>
                    </w:rPr>
                    <w:t>65</w:t>
                  </w:r>
                </w:p>
              </w:tc>
              <w:tc>
                <w:tcPr>
                  <w:tcW w:w="671" w:type="pct"/>
                  <w:vAlign w:val="center"/>
                </w:tcPr>
                <w:p w14:paraId="168C5441">
                  <w:pPr>
                    <w:widowControl w:val="0"/>
                    <w:overflowPunct w:val="0"/>
                    <w:autoSpaceDE w:val="0"/>
                    <w:autoSpaceDN w:val="0"/>
                    <w:snapToGrid w:val="0"/>
                    <w:jc w:val="center"/>
                    <w:rPr>
                      <w14:ligatures w14:val="standardContextual"/>
                    </w:rPr>
                  </w:pPr>
                  <w:r>
                    <w:rPr>
                      <w:rFonts w:hint="eastAsia"/>
                      <w14:ligatures w14:val="standardContextual"/>
                    </w:rPr>
                    <w:t>55</w:t>
                  </w:r>
                </w:p>
              </w:tc>
              <w:tc>
                <w:tcPr>
                  <w:tcW w:w="668" w:type="pct"/>
                  <w:vAlign w:val="center"/>
                </w:tcPr>
                <w:p w14:paraId="2088F04C">
                  <w:pPr>
                    <w:widowControl w:val="0"/>
                    <w:overflowPunct w:val="0"/>
                    <w:autoSpaceDE w:val="0"/>
                    <w:autoSpaceDN w:val="0"/>
                    <w:snapToGrid w:val="0"/>
                    <w:jc w:val="center"/>
                    <w:rPr>
                      <w14:ligatures w14:val="standardContextual"/>
                    </w:rPr>
                  </w:pPr>
                  <w:r>
                    <w:rPr>
                      <w:rFonts w:hint="eastAsia"/>
                      <w14:ligatures w14:val="standardContextual"/>
                    </w:rPr>
                    <w:t>达标</w:t>
                  </w:r>
                </w:p>
              </w:tc>
              <w:tc>
                <w:tcPr>
                  <w:tcW w:w="659" w:type="pct"/>
                  <w:vAlign w:val="center"/>
                </w:tcPr>
                <w:p w14:paraId="40774D4E">
                  <w:pPr>
                    <w:widowControl w:val="0"/>
                    <w:overflowPunct w:val="0"/>
                    <w:autoSpaceDE w:val="0"/>
                    <w:autoSpaceDN w:val="0"/>
                    <w:snapToGrid w:val="0"/>
                    <w:jc w:val="center"/>
                    <w:rPr>
                      <w14:ligatures w14:val="standardContextual"/>
                    </w:rPr>
                  </w:pPr>
                  <w:r>
                    <w:rPr>
                      <w:rFonts w:hint="eastAsia"/>
                      <w14:ligatures w14:val="standardContextual"/>
                    </w:rPr>
                    <w:t>达标</w:t>
                  </w:r>
                </w:p>
              </w:tc>
            </w:tr>
            <w:tr w14:paraId="6C8814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994" w:type="pct"/>
                  <w:vAlign w:val="center"/>
                </w:tcPr>
                <w:p w14:paraId="3B34F013">
                  <w:pPr>
                    <w:widowControl w:val="0"/>
                    <w:overflowPunct w:val="0"/>
                    <w:autoSpaceDE w:val="0"/>
                    <w:autoSpaceDN w:val="0"/>
                    <w:snapToGrid w:val="0"/>
                    <w:jc w:val="center"/>
                    <w:rPr>
                      <w:color w:val="auto"/>
                      <w14:ligatures w14:val="standardContextual"/>
                    </w:rPr>
                  </w:pPr>
                  <w:r>
                    <w:rPr>
                      <w:rFonts w:hint="eastAsia"/>
                      <w:color w:val="auto"/>
                      <w14:ligatures w14:val="standardContextual"/>
                    </w:rPr>
                    <w:t>北厂界</w:t>
                  </w:r>
                </w:p>
              </w:tc>
              <w:tc>
                <w:tcPr>
                  <w:tcW w:w="669" w:type="pct"/>
                  <w:vAlign w:val="center"/>
                </w:tcPr>
                <w:p w14:paraId="78EACFDB">
                  <w:pPr>
                    <w:widowControl w:val="0"/>
                    <w:overflowPunct w:val="0"/>
                    <w:autoSpaceDE w:val="0"/>
                    <w:autoSpaceDN w:val="0"/>
                    <w:snapToGrid w:val="0"/>
                    <w:jc w:val="center"/>
                    <w:rPr>
                      <w14:ligatures w14:val="standardContextual"/>
                    </w:rPr>
                  </w:pPr>
                  <w:r>
                    <w:rPr>
                      <w:rFonts w:hint="eastAsia"/>
                      <w14:ligatures w14:val="standardContextual"/>
                    </w:rPr>
                    <w:t>46.2</w:t>
                  </w:r>
                </w:p>
              </w:tc>
              <w:tc>
                <w:tcPr>
                  <w:tcW w:w="671" w:type="pct"/>
                  <w:vAlign w:val="top"/>
                </w:tcPr>
                <w:p w14:paraId="63350549">
                  <w:pPr>
                    <w:widowControl w:val="0"/>
                    <w:overflowPunct w:val="0"/>
                    <w:autoSpaceDE w:val="0"/>
                    <w:autoSpaceDN w:val="0"/>
                    <w:snapToGrid w:val="0"/>
                    <w:jc w:val="center"/>
                    <w:rPr>
                      <w14:ligatures w14:val="standardContextual"/>
                    </w:rPr>
                  </w:pPr>
                  <w:r>
                    <w:rPr>
                      <w:rFonts w:hint="eastAsia"/>
                      <w14:ligatures w14:val="standardContextual"/>
                    </w:rPr>
                    <w:t>/</w:t>
                  </w:r>
                </w:p>
              </w:tc>
              <w:tc>
                <w:tcPr>
                  <w:tcW w:w="668" w:type="pct"/>
                  <w:vAlign w:val="center"/>
                </w:tcPr>
                <w:p w14:paraId="04189DC3">
                  <w:pPr>
                    <w:widowControl w:val="0"/>
                    <w:overflowPunct w:val="0"/>
                    <w:autoSpaceDE w:val="0"/>
                    <w:autoSpaceDN w:val="0"/>
                    <w:snapToGrid w:val="0"/>
                    <w:jc w:val="center"/>
                    <w:rPr>
                      <w14:ligatures w14:val="standardContextual"/>
                    </w:rPr>
                  </w:pPr>
                  <w:r>
                    <w:rPr>
                      <w:rFonts w:hint="eastAsia"/>
                      <w14:ligatures w14:val="standardContextual"/>
                    </w:rPr>
                    <w:t>65</w:t>
                  </w:r>
                </w:p>
              </w:tc>
              <w:tc>
                <w:tcPr>
                  <w:tcW w:w="671" w:type="pct"/>
                  <w:vAlign w:val="center"/>
                </w:tcPr>
                <w:p w14:paraId="3F68E5F5">
                  <w:pPr>
                    <w:widowControl w:val="0"/>
                    <w:overflowPunct w:val="0"/>
                    <w:autoSpaceDE w:val="0"/>
                    <w:autoSpaceDN w:val="0"/>
                    <w:snapToGrid w:val="0"/>
                    <w:jc w:val="center"/>
                    <w:rPr>
                      <w14:ligatures w14:val="standardContextual"/>
                    </w:rPr>
                  </w:pPr>
                  <w:r>
                    <w:rPr>
                      <w:rFonts w:hint="eastAsia"/>
                      <w14:ligatures w14:val="standardContextual"/>
                    </w:rPr>
                    <w:t>55</w:t>
                  </w:r>
                </w:p>
              </w:tc>
              <w:tc>
                <w:tcPr>
                  <w:tcW w:w="668" w:type="pct"/>
                  <w:vAlign w:val="center"/>
                </w:tcPr>
                <w:p w14:paraId="364AB09C">
                  <w:pPr>
                    <w:widowControl w:val="0"/>
                    <w:overflowPunct w:val="0"/>
                    <w:autoSpaceDE w:val="0"/>
                    <w:autoSpaceDN w:val="0"/>
                    <w:snapToGrid w:val="0"/>
                    <w:jc w:val="center"/>
                    <w:rPr>
                      <w14:ligatures w14:val="standardContextual"/>
                    </w:rPr>
                  </w:pPr>
                  <w:r>
                    <w:rPr>
                      <w:rFonts w:hint="eastAsia"/>
                      <w14:ligatures w14:val="standardContextual"/>
                    </w:rPr>
                    <w:t>达标</w:t>
                  </w:r>
                </w:p>
              </w:tc>
              <w:tc>
                <w:tcPr>
                  <w:tcW w:w="659" w:type="pct"/>
                  <w:vAlign w:val="center"/>
                </w:tcPr>
                <w:p w14:paraId="6A662AE2">
                  <w:pPr>
                    <w:widowControl w:val="0"/>
                    <w:overflowPunct w:val="0"/>
                    <w:autoSpaceDE w:val="0"/>
                    <w:autoSpaceDN w:val="0"/>
                    <w:snapToGrid w:val="0"/>
                    <w:jc w:val="center"/>
                    <w:rPr>
                      <w14:ligatures w14:val="standardContextual"/>
                    </w:rPr>
                  </w:pPr>
                  <w:r>
                    <w:rPr>
                      <w:rFonts w:hint="eastAsia"/>
                      <w14:ligatures w14:val="standardContextual"/>
                    </w:rPr>
                    <w:t>达标</w:t>
                  </w:r>
                </w:p>
              </w:tc>
            </w:tr>
          </w:tbl>
          <w:p w14:paraId="3B8BB62F">
            <w:pPr>
              <w:pStyle w:val="3"/>
              <w:ind w:firstLine="480"/>
            </w:pPr>
            <w:r>
              <w:rPr>
                <w:rFonts w:hint="eastAsia"/>
              </w:rPr>
              <w:t>由上表可知，采取措施后，本项目厂界噪声排放满足《工业企业厂界环境噪声排放标准》(GB12348-2008)3类区标准，不会对周围声环境产生明显影响。</w:t>
            </w:r>
          </w:p>
          <w:p w14:paraId="79D8F952">
            <w:pPr>
              <w:pStyle w:val="51"/>
            </w:pPr>
            <w:r>
              <w:rPr>
                <w:rFonts w:hint="eastAsia"/>
              </w:rPr>
              <w:t>4、噪声污染控制措施</w:t>
            </w:r>
          </w:p>
          <w:p w14:paraId="13E1AD3D">
            <w:pPr>
              <w:pStyle w:val="3"/>
              <w:ind w:firstLine="480"/>
            </w:pPr>
            <w:r>
              <w:rPr>
                <w:rFonts w:hint="eastAsia"/>
              </w:rPr>
              <w:t>本报告根据项目实际情况提出以下噪声防治措施：</w:t>
            </w:r>
          </w:p>
          <w:p w14:paraId="53BFA6BF">
            <w:pPr>
              <w:pStyle w:val="3"/>
              <w:ind w:firstLine="480"/>
            </w:pPr>
            <w:r>
              <w:rPr>
                <w:rFonts w:hint="eastAsia"/>
              </w:rPr>
              <w:t>①从声源上控制噪声，选用低噪声的设备、机械车辆，高噪声设备安设基础减振垫，减少振动、阻碍声源传播，以降低噪声。</w:t>
            </w:r>
          </w:p>
          <w:p w14:paraId="7A6CBFF4">
            <w:pPr>
              <w:pStyle w:val="3"/>
              <w:ind w:firstLine="480"/>
            </w:pPr>
            <w:r>
              <w:rPr>
                <w:rFonts w:hint="eastAsia"/>
              </w:rPr>
              <w:t>②合理安置作业区域，避免局部噪声过于集中，高噪声设备布置在车间中部，远离厂界。</w:t>
            </w:r>
          </w:p>
          <w:p w14:paraId="390CFA4A">
            <w:pPr>
              <w:pStyle w:val="3"/>
              <w:ind w:firstLine="480"/>
            </w:pPr>
            <w:r>
              <w:rPr>
                <w:rFonts w:hint="eastAsia"/>
              </w:rPr>
              <w:t>③加强生产管理、文明生产，定期维护机械设备，运输车辆定期进行年检，使其处于正常运行状态。</w:t>
            </w:r>
          </w:p>
          <w:p w14:paraId="41EAAC18">
            <w:pPr>
              <w:pStyle w:val="3"/>
              <w:ind w:firstLine="480"/>
            </w:pPr>
            <w:r>
              <w:rPr>
                <w:rFonts w:hint="eastAsia"/>
              </w:rPr>
              <w:t>④场界四周设置围墙，利用围墙、树木的阻隔作用降噪，从传播途径上衰减噪声。</w:t>
            </w:r>
          </w:p>
          <w:p w14:paraId="62D8EBEF">
            <w:pPr>
              <w:pStyle w:val="3"/>
              <w:ind w:firstLine="480"/>
            </w:pPr>
            <w:r>
              <w:rPr>
                <w:rFonts w:hint="eastAsia"/>
              </w:rPr>
              <w:t>综上所述，经采取隔声降噪措施后，项目噪声对声环境影响小。</w:t>
            </w:r>
          </w:p>
          <w:p w14:paraId="36E01A26">
            <w:pPr>
              <w:pStyle w:val="51"/>
            </w:pPr>
            <w:r>
              <w:rPr>
                <w:rFonts w:hint="eastAsia"/>
              </w:rPr>
              <w:t>5、噪声监测要求</w:t>
            </w:r>
          </w:p>
          <w:p w14:paraId="4E57F3FA">
            <w:pPr>
              <w:pStyle w:val="3"/>
              <w:ind w:firstLine="480"/>
            </w:pPr>
            <w:r>
              <w:rPr>
                <w:rFonts w:hint="eastAsia"/>
              </w:rPr>
              <w:t>根据《排污单位自行监测技术指</w:t>
            </w:r>
            <w:r>
              <w:rPr>
                <w:rFonts w:hint="eastAsia"/>
                <w:spacing w:val="120"/>
                <w:kern w:val="0"/>
                <w:fitText w:val="720" w:id="-925508864"/>
              </w:rPr>
              <w:t>南</w:t>
            </w:r>
            <w:r>
              <w:rPr>
                <w:rFonts w:hint="eastAsia"/>
                <w:spacing w:val="0"/>
                <w:kern w:val="0"/>
                <w:fitText w:val="720" w:id="-925508864"/>
              </w:rPr>
              <w:t>总</w:t>
            </w:r>
            <w:r>
              <w:rPr>
                <w:rFonts w:hint="eastAsia"/>
              </w:rPr>
              <w:t>则》（HJ819-2017），项目运营期噪声监测要求如下表：</w:t>
            </w:r>
          </w:p>
          <w:p w14:paraId="1F37A54C">
            <w:pPr>
              <w:pStyle w:val="48"/>
            </w:pPr>
            <w:r>
              <w:rPr>
                <w:rFonts w:hint="eastAsia"/>
              </w:rPr>
              <w:t xml:space="preserve">表4- </w:t>
            </w:r>
            <w:r>
              <w:fldChar w:fldCharType="begin"/>
            </w:r>
            <w:r>
              <w:instrText xml:space="preserve"> </w:instrText>
            </w:r>
            <w:r>
              <w:rPr>
                <w:rFonts w:hint="eastAsia"/>
              </w:rPr>
              <w:instrText xml:space="preserve">SEQ 表4- \* ARABIC</w:instrText>
            </w:r>
            <w:r>
              <w:instrText xml:space="preserve"> </w:instrText>
            </w:r>
            <w:r>
              <w:fldChar w:fldCharType="separate"/>
            </w:r>
            <w:r>
              <w:t>14</w:t>
            </w:r>
            <w:r>
              <w:fldChar w:fldCharType="end"/>
            </w:r>
            <w:r>
              <w:rPr>
                <w:rFonts w:hint="eastAsia"/>
              </w:rPr>
              <w:t>：噪声监测计划-</w:t>
            </w:r>
            <w:r>
              <w:t>--</w:t>
            </w:r>
            <w:r>
              <w:rPr>
                <w:rFonts w:hint="eastAsia"/>
              </w:rPr>
              <w:t>单位：dB(A)</w:t>
            </w:r>
          </w:p>
          <w:tbl>
            <w:tblPr>
              <w:tblStyle w:val="20"/>
              <w:tblW w:w="793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689"/>
              <w:gridCol w:w="2565"/>
              <w:gridCol w:w="3684"/>
            </w:tblGrid>
            <w:tr w14:paraId="52B53B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736" w:type="dxa"/>
                  <w:tcBorders>
                    <w:top w:val="single" w:color="auto" w:sz="12" w:space="0"/>
                    <w:left w:val="nil"/>
                    <w:bottom w:val="single" w:color="auto" w:sz="12" w:space="0"/>
                    <w:right w:val="single" w:color="auto" w:sz="4" w:space="0"/>
                  </w:tcBorders>
                  <w:vAlign w:val="center"/>
                </w:tcPr>
                <w:p w14:paraId="34CD2888">
                  <w:pPr>
                    <w:widowControl w:val="0"/>
                    <w:overflowPunct w:val="0"/>
                    <w:autoSpaceDE w:val="0"/>
                    <w:autoSpaceDN w:val="0"/>
                    <w:adjustRightInd w:val="0"/>
                    <w:snapToGrid w:val="0"/>
                    <w:jc w:val="center"/>
                    <w:rPr>
                      <w:b/>
                    </w:rPr>
                  </w:pPr>
                  <w:r>
                    <w:rPr>
                      <w:b/>
                    </w:rPr>
                    <w:t>监测测点位</w:t>
                  </w:r>
                </w:p>
              </w:tc>
              <w:tc>
                <w:tcPr>
                  <w:tcW w:w="2632" w:type="dxa"/>
                  <w:tcBorders>
                    <w:top w:val="single" w:color="auto" w:sz="12" w:space="0"/>
                    <w:left w:val="single" w:color="auto" w:sz="4" w:space="0"/>
                    <w:bottom w:val="single" w:color="auto" w:sz="12" w:space="0"/>
                    <w:right w:val="single" w:color="auto" w:sz="4" w:space="0"/>
                  </w:tcBorders>
                  <w:vAlign w:val="center"/>
                </w:tcPr>
                <w:p w14:paraId="3D98ADAB">
                  <w:pPr>
                    <w:widowControl w:val="0"/>
                    <w:overflowPunct w:val="0"/>
                    <w:autoSpaceDE w:val="0"/>
                    <w:autoSpaceDN w:val="0"/>
                    <w:adjustRightInd w:val="0"/>
                    <w:snapToGrid w:val="0"/>
                    <w:jc w:val="center"/>
                    <w:rPr>
                      <w:b/>
                    </w:rPr>
                  </w:pPr>
                  <w:r>
                    <w:rPr>
                      <w:b/>
                    </w:rPr>
                    <w:t>监测频次</w:t>
                  </w:r>
                </w:p>
              </w:tc>
              <w:tc>
                <w:tcPr>
                  <w:tcW w:w="3751" w:type="dxa"/>
                  <w:tcBorders>
                    <w:top w:val="single" w:color="auto" w:sz="12" w:space="0"/>
                    <w:left w:val="single" w:color="auto" w:sz="4" w:space="0"/>
                    <w:bottom w:val="single" w:color="auto" w:sz="12" w:space="0"/>
                    <w:right w:val="nil"/>
                  </w:tcBorders>
                  <w:vAlign w:val="center"/>
                </w:tcPr>
                <w:p w14:paraId="254B3ECE">
                  <w:pPr>
                    <w:widowControl w:val="0"/>
                    <w:overflowPunct w:val="0"/>
                    <w:autoSpaceDE w:val="0"/>
                    <w:autoSpaceDN w:val="0"/>
                    <w:adjustRightInd w:val="0"/>
                    <w:snapToGrid w:val="0"/>
                    <w:jc w:val="center"/>
                    <w:rPr>
                      <w:b/>
                    </w:rPr>
                  </w:pPr>
                  <w:r>
                    <w:rPr>
                      <w:b/>
                    </w:rPr>
                    <w:t>执行标准</w:t>
                  </w:r>
                </w:p>
              </w:tc>
            </w:tr>
            <w:tr w14:paraId="7AC41C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736" w:type="dxa"/>
                  <w:vAlign w:val="center"/>
                </w:tcPr>
                <w:p w14:paraId="0DC50970">
                  <w:pPr>
                    <w:widowControl w:val="0"/>
                    <w:overflowPunct w:val="0"/>
                    <w:autoSpaceDE w:val="0"/>
                    <w:autoSpaceDN w:val="0"/>
                    <w:snapToGrid w:val="0"/>
                    <w:jc w:val="center"/>
                  </w:pPr>
                  <w:r>
                    <w:rPr>
                      <w:rFonts w:hint="eastAsia"/>
                    </w:rPr>
                    <w:t>厂界</w:t>
                  </w:r>
                </w:p>
              </w:tc>
              <w:tc>
                <w:tcPr>
                  <w:tcW w:w="2632" w:type="dxa"/>
                  <w:vAlign w:val="center"/>
                </w:tcPr>
                <w:p w14:paraId="5B07C3DC">
                  <w:pPr>
                    <w:widowControl w:val="0"/>
                    <w:overflowPunct w:val="0"/>
                    <w:autoSpaceDE w:val="0"/>
                    <w:autoSpaceDN w:val="0"/>
                    <w:snapToGrid w:val="0"/>
                    <w:jc w:val="center"/>
                  </w:pPr>
                  <w:r>
                    <w:rPr>
                      <w:snapToGrid w:val="0"/>
                    </w:rPr>
                    <w:t>1次/季度</w:t>
                  </w:r>
                  <w:r>
                    <w:rPr>
                      <w:rFonts w:hint="eastAsia"/>
                      <w:snapToGrid w:val="0"/>
                    </w:rPr>
                    <w:t>（监测昼间噪声）</w:t>
                  </w:r>
                </w:p>
              </w:tc>
              <w:tc>
                <w:tcPr>
                  <w:tcW w:w="3751" w:type="dxa"/>
                  <w:vAlign w:val="center"/>
                </w:tcPr>
                <w:p w14:paraId="53F1B546">
                  <w:pPr>
                    <w:widowControl w:val="0"/>
                    <w:overflowPunct w:val="0"/>
                    <w:autoSpaceDE w:val="0"/>
                    <w:autoSpaceDN w:val="0"/>
                    <w:snapToGrid w:val="0"/>
                    <w:jc w:val="center"/>
                  </w:pPr>
                  <w:r>
                    <w:t>《工业企业厂界环境噪声排放标准》</w:t>
                  </w:r>
                  <w:r>
                    <w:rPr>
                      <w:rFonts w:hint="eastAsia"/>
                    </w:rPr>
                    <w:t>(</w:t>
                  </w:r>
                  <w:r>
                    <w:t>GB12348-2008</w:t>
                  </w:r>
                  <w:r>
                    <w:rPr>
                      <w:rFonts w:hint="eastAsia"/>
                    </w:rPr>
                    <w:t>)3</w:t>
                  </w:r>
                  <w:r>
                    <w:t>类区标准</w:t>
                  </w:r>
                </w:p>
              </w:tc>
            </w:tr>
          </w:tbl>
          <w:p w14:paraId="509618B8">
            <w:pPr>
              <w:pStyle w:val="7"/>
            </w:pPr>
            <w:r>
              <w:rPr>
                <w:rFonts w:hint="eastAsia"/>
              </w:rPr>
              <w:t>四、固体废物</w:t>
            </w:r>
          </w:p>
          <w:p w14:paraId="293F3146">
            <w:pPr>
              <w:pStyle w:val="3"/>
              <w:ind w:firstLine="482"/>
              <w:rPr>
                <w:b/>
                <w:bCs/>
              </w:rPr>
            </w:pPr>
            <w:r>
              <w:rPr>
                <w:rFonts w:hint="eastAsia"/>
                <w:b/>
                <w:bCs/>
              </w:rPr>
              <w:t>1、固体废物产生及处置情况</w:t>
            </w:r>
          </w:p>
          <w:p w14:paraId="78520984">
            <w:pPr>
              <w:pStyle w:val="3"/>
              <w:ind w:firstLine="480"/>
            </w:pPr>
            <w:r>
              <w:rPr>
                <w:rFonts w:hint="eastAsia"/>
              </w:rPr>
              <w:t>1、固体废物产生及处置情况</w:t>
            </w:r>
          </w:p>
          <w:p w14:paraId="7E440AE7">
            <w:pPr>
              <w:pStyle w:val="3"/>
              <w:ind w:firstLine="480"/>
              <w:rPr>
                <w:color w:val="auto"/>
              </w:rPr>
            </w:pPr>
            <w:r>
              <w:rPr>
                <w:rFonts w:hint="eastAsia"/>
              </w:rPr>
              <w:t>根据产排污节点分析，项目产生的固体废物为废土料、废金属、轻物质、废布袋、收集尘、</w:t>
            </w:r>
            <w:r>
              <w:rPr>
                <w:rFonts w:hint="eastAsia"/>
                <w:lang w:eastAsia="zh-CN"/>
              </w:rPr>
              <w:t>沉渣</w:t>
            </w:r>
            <w:r>
              <w:rPr>
                <w:rFonts w:hint="eastAsia"/>
              </w:rPr>
              <w:t>、废矿物油、废油桶</w:t>
            </w:r>
            <w:r>
              <w:rPr>
                <w:rFonts w:hint="eastAsia"/>
                <w:color w:val="auto"/>
              </w:rPr>
              <w:t>、含油废抹布和手套、生活垃圾。</w:t>
            </w:r>
          </w:p>
          <w:p w14:paraId="13634D29">
            <w:pPr>
              <w:pStyle w:val="3"/>
              <w:ind w:firstLine="480"/>
              <w:rPr>
                <w:color w:val="auto"/>
              </w:rPr>
            </w:pPr>
            <w:r>
              <w:rPr>
                <w:rFonts w:hint="eastAsia"/>
                <w:color w:val="auto"/>
              </w:rPr>
              <w:t>①废土料</w:t>
            </w:r>
          </w:p>
          <w:p w14:paraId="6393E081">
            <w:pPr>
              <w:pStyle w:val="3"/>
              <w:ind w:firstLine="480"/>
              <w:rPr>
                <w:color w:val="auto"/>
              </w:rPr>
            </w:pPr>
            <w:r>
              <w:rPr>
                <w:rFonts w:hint="eastAsia"/>
                <w:color w:val="auto"/>
              </w:rPr>
              <w:t>根据物料平衡计算结果，本项目在预分选过程产生的废土料为</w:t>
            </w:r>
            <w:r>
              <w:rPr>
                <w:color w:val="auto"/>
              </w:rPr>
              <w:t>7129.816</w:t>
            </w:r>
            <w:r>
              <w:rPr>
                <w:rFonts w:hint="eastAsia"/>
                <w:color w:val="auto"/>
              </w:rPr>
              <w:t>t/a。根据《固体废物分类与代码目录》，废物代码：</w:t>
            </w:r>
            <w:r>
              <w:rPr>
                <w:color w:val="auto"/>
              </w:rPr>
              <w:t>SW70</w:t>
            </w:r>
            <w:r>
              <w:rPr>
                <w:rFonts w:hint="eastAsia"/>
                <w:color w:val="auto"/>
              </w:rPr>
              <w:t>。集中收集后暂存于堆料区，分类堆放，用于路基铺路综合利用。</w:t>
            </w:r>
          </w:p>
          <w:p w14:paraId="3B18A10F">
            <w:pPr>
              <w:pStyle w:val="3"/>
              <w:ind w:firstLine="480"/>
              <w:rPr>
                <w:color w:val="auto"/>
              </w:rPr>
            </w:pPr>
            <w:r>
              <w:rPr>
                <w:rFonts w:hint="eastAsia"/>
                <w:color w:val="auto"/>
              </w:rPr>
              <w:t>②废金属</w:t>
            </w:r>
          </w:p>
          <w:p w14:paraId="062599E4">
            <w:pPr>
              <w:pStyle w:val="3"/>
              <w:ind w:firstLine="480"/>
              <w:rPr>
                <w:color w:val="auto"/>
              </w:rPr>
            </w:pPr>
            <w:r>
              <w:rPr>
                <w:rFonts w:hint="eastAsia"/>
                <w:color w:val="auto"/>
              </w:rPr>
              <w:t>根据物料平衡计算结果，本项目在磁选过程产生的废金属量为50t/a。根据《固体废物分类与代码目录》，废物代码：</w:t>
            </w:r>
            <w:r>
              <w:rPr>
                <w:color w:val="auto"/>
              </w:rPr>
              <w:t>SW62</w:t>
            </w:r>
            <w:r>
              <w:rPr>
                <w:rFonts w:hint="eastAsia"/>
                <w:color w:val="auto"/>
              </w:rPr>
              <w:t>。集中收集后暂存于堆料区，分类堆放，外售钢铁厂综合利用。</w:t>
            </w:r>
          </w:p>
          <w:p w14:paraId="6326D36A">
            <w:pPr>
              <w:pStyle w:val="3"/>
              <w:ind w:firstLine="480"/>
              <w:rPr>
                <w:color w:val="auto"/>
              </w:rPr>
            </w:pPr>
            <w:r>
              <w:rPr>
                <w:rFonts w:hint="eastAsia"/>
                <w:color w:val="auto"/>
              </w:rPr>
              <w:t>③轻物质</w:t>
            </w:r>
          </w:p>
          <w:p w14:paraId="727CB0BB">
            <w:pPr>
              <w:pStyle w:val="3"/>
              <w:ind w:firstLine="480"/>
              <w:rPr>
                <w:color w:val="auto"/>
              </w:rPr>
            </w:pPr>
            <w:r>
              <w:rPr>
                <w:rFonts w:hint="eastAsia"/>
                <w:color w:val="auto"/>
              </w:rPr>
              <w:t>本项目轻物质产生环节为预分选、风选工序，主要成分包括废塑料、废木材。根据物料平衡计算结果，轻物质产生量为7700t/a。根据《固体废物分类与代码目录》，废物代码：</w:t>
            </w:r>
            <w:r>
              <w:rPr>
                <w:color w:val="auto"/>
              </w:rPr>
              <w:t>SW62</w:t>
            </w:r>
            <w:r>
              <w:rPr>
                <w:rFonts w:hint="eastAsia"/>
                <w:color w:val="auto"/>
              </w:rPr>
              <w:t>。集中收集后暂存于堆料区，分类堆放，外售物资回收站。</w:t>
            </w:r>
          </w:p>
          <w:p w14:paraId="405C83A0">
            <w:pPr>
              <w:pStyle w:val="3"/>
              <w:ind w:firstLine="480"/>
              <w:rPr>
                <w:color w:val="auto"/>
              </w:rPr>
            </w:pPr>
            <w:r>
              <w:rPr>
                <w:rFonts w:hint="eastAsia"/>
                <w:color w:val="auto"/>
              </w:rPr>
              <w:t>④废布袋</w:t>
            </w:r>
          </w:p>
          <w:p w14:paraId="2D074421">
            <w:pPr>
              <w:pStyle w:val="3"/>
              <w:ind w:firstLine="480"/>
              <w:rPr>
                <w:color w:val="auto"/>
              </w:rPr>
            </w:pPr>
            <w:r>
              <w:rPr>
                <w:rFonts w:hint="eastAsia"/>
                <w:color w:val="auto"/>
              </w:rPr>
              <w:t>本项目袋式除尘器平均2年更换一次布袋，袋式除尘器中有20个滤袋，每个滤袋重约10kg，则更换产生的废滤袋量为0.1t/a。根据《固体废物分类与代码目录》，废物代码：</w:t>
            </w:r>
            <w:r>
              <w:rPr>
                <w:color w:val="auto"/>
              </w:rPr>
              <w:t>SW</w:t>
            </w:r>
            <w:r>
              <w:rPr>
                <w:rFonts w:hint="eastAsia"/>
                <w:color w:val="auto"/>
              </w:rPr>
              <w:t>59。集中收集后暂存于堆料区，分类堆放，外售物资回收站。</w:t>
            </w:r>
          </w:p>
          <w:p w14:paraId="4FC3BFE8">
            <w:pPr>
              <w:pStyle w:val="3"/>
              <w:ind w:firstLine="480"/>
              <w:rPr>
                <w:color w:val="auto"/>
              </w:rPr>
            </w:pPr>
            <w:r>
              <w:rPr>
                <w:rFonts w:hint="eastAsia"/>
                <w:color w:val="auto"/>
              </w:rPr>
              <w:t>⑤收集尘</w:t>
            </w:r>
          </w:p>
          <w:p w14:paraId="7DE019CB">
            <w:pPr>
              <w:pStyle w:val="3"/>
              <w:ind w:firstLine="480"/>
              <w:rPr>
                <w:color w:val="auto"/>
              </w:rPr>
            </w:pPr>
            <w:r>
              <w:rPr>
                <w:rFonts w:hint="eastAsia"/>
                <w:color w:val="auto"/>
              </w:rPr>
              <w:t>根据前文废气核算结果，本项目布袋除尘中收集尘产生量为</w:t>
            </w:r>
            <w:r>
              <w:rPr>
                <w:color w:val="auto"/>
              </w:rPr>
              <w:t>106.639</w:t>
            </w:r>
            <w:r>
              <w:rPr>
                <w:rFonts w:hint="eastAsia"/>
                <w:color w:val="auto"/>
              </w:rPr>
              <w:t>t/a，地面沉降收集尘量为2.693t/a，故收集尘总量为109.332t/a。根据《固体废物分类与代码目录》，废物代码：</w:t>
            </w:r>
            <w:r>
              <w:rPr>
                <w:color w:val="auto"/>
              </w:rPr>
              <w:t>SW</w:t>
            </w:r>
            <w:r>
              <w:rPr>
                <w:rFonts w:hint="eastAsia"/>
                <w:color w:val="auto"/>
              </w:rPr>
              <w:t>59。集中收集后暂存于堆料区，分类堆放，用于路基铺路综合利用。</w:t>
            </w:r>
          </w:p>
          <w:p w14:paraId="224C31A3">
            <w:pPr>
              <w:pStyle w:val="3"/>
              <w:ind w:firstLine="480"/>
              <w:rPr>
                <w:rFonts w:hint="eastAsia" w:eastAsia="宋体"/>
                <w:color w:val="auto"/>
                <w:lang w:eastAsia="zh-CN"/>
              </w:rPr>
            </w:pPr>
            <w:r>
              <w:rPr>
                <w:rFonts w:hint="eastAsia"/>
                <w:color w:val="auto"/>
              </w:rPr>
              <w:t>⑥</w:t>
            </w:r>
            <w:r>
              <w:rPr>
                <w:rFonts w:hint="eastAsia"/>
                <w:color w:val="auto"/>
                <w:lang w:eastAsia="zh-CN"/>
              </w:rPr>
              <w:t>沉渣</w:t>
            </w:r>
          </w:p>
          <w:p w14:paraId="1F7320B3">
            <w:pPr>
              <w:pStyle w:val="3"/>
              <w:ind w:firstLine="480"/>
              <w:rPr>
                <w:color w:val="auto"/>
              </w:rPr>
            </w:pPr>
            <w:r>
              <w:rPr>
                <w:rFonts w:hint="eastAsia"/>
                <w:color w:val="auto"/>
              </w:rPr>
              <w:t>项目车辆清洗废水、初期雨水经沉淀池沉淀处理后会产生</w:t>
            </w:r>
            <w:r>
              <w:rPr>
                <w:rFonts w:hint="eastAsia"/>
                <w:color w:val="auto"/>
                <w:lang w:eastAsia="zh-CN"/>
              </w:rPr>
              <w:t>沉渣</w:t>
            </w:r>
            <w:r>
              <w:rPr>
                <w:rFonts w:hint="eastAsia"/>
                <w:color w:val="auto"/>
              </w:rPr>
              <w:t>，根据经验系数核算，每立方米污水产生约0.3-0.5kg</w:t>
            </w:r>
            <w:r>
              <w:rPr>
                <w:rFonts w:hint="eastAsia"/>
                <w:color w:val="auto"/>
                <w:lang w:eastAsia="zh-CN"/>
              </w:rPr>
              <w:t>沉渣</w:t>
            </w:r>
            <w:r>
              <w:rPr>
                <w:rFonts w:hint="eastAsia"/>
                <w:color w:val="auto"/>
              </w:rPr>
              <w:t>，本次评价取0.5kg核算。本项目车辆清洗用水为500 m</w:t>
            </w:r>
            <w:r>
              <w:rPr>
                <w:rFonts w:hint="eastAsia"/>
                <w:color w:val="auto"/>
                <w:vertAlign w:val="superscript"/>
              </w:rPr>
              <w:t>3</w:t>
            </w:r>
            <w:r>
              <w:rPr>
                <w:rFonts w:hint="eastAsia"/>
                <w:color w:val="auto"/>
              </w:rPr>
              <w:t>/a，初期雨水为6500</w:t>
            </w:r>
            <w:r>
              <w:rPr>
                <w:color w:val="auto"/>
              </w:rPr>
              <w:t>m</w:t>
            </w:r>
            <w:r>
              <w:rPr>
                <w:color w:val="auto"/>
                <w:vertAlign w:val="superscript"/>
              </w:rPr>
              <w:t>3</w:t>
            </w:r>
            <w:r>
              <w:rPr>
                <w:rFonts w:hint="eastAsia"/>
                <w:color w:val="auto"/>
              </w:rPr>
              <w:t>/a，则</w:t>
            </w:r>
            <w:r>
              <w:rPr>
                <w:rFonts w:hint="eastAsia"/>
                <w:color w:val="auto"/>
                <w:lang w:eastAsia="zh-CN"/>
              </w:rPr>
              <w:t>沉渣</w:t>
            </w:r>
            <w:r>
              <w:rPr>
                <w:rFonts w:hint="eastAsia"/>
                <w:color w:val="auto"/>
              </w:rPr>
              <w:t>产生量为3.5t/a，废水成分简单，无有毒有害物质。根据《固体废物分类与代码目录》，废物代码：</w:t>
            </w:r>
            <w:r>
              <w:rPr>
                <w:color w:val="auto"/>
              </w:rPr>
              <w:t>SW</w:t>
            </w:r>
            <w:r>
              <w:rPr>
                <w:rFonts w:hint="eastAsia"/>
                <w:color w:val="auto"/>
              </w:rPr>
              <w:t>59。集中收集后暂存于堆料区，分类堆放，用于路基铺路综合利用。</w:t>
            </w:r>
          </w:p>
          <w:p w14:paraId="0144B25A">
            <w:pPr>
              <w:pStyle w:val="3"/>
              <w:ind w:firstLine="480"/>
              <w:rPr>
                <w:color w:val="auto"/>
              </w:rPr>
            </w:pPr>
            <w:r>
              <w:rPr>
                <w:rFonts w:hint="eastAsia"/>
                <w:color w:val="auto"/>
              </w:rPr>
              <w:t>⑦废矿物油</w:t>
            </w:r>
          </w:p>
          <w:p w14:paraId="599DCC57">
            <w:pPr>
              <w:pStyle w:val="3"/>
              <w:ind w:firstLine="480"/>
              <w:rPr>
                <w:color w:val="auto"/>
              </w:rPr>
            </w:pPr>
            <w:r>
              <w:rPr>
                <w:rFonts w:hint="eastAsia"/>
                <w:color w:val="auto"/>
              </w:rPr>
              <w:t>本项目设备检修维护时产生的废润滑油等废矿物油（废物代码为900-214-08），废矿物油产生量约为0.5t/a。收集后于危废间，定期委托有资质的单位处置。</w:t>
            </w:r>
          </w:p>
          <w:p w14:paraId="4A3FBB52">
            <w:pPr>
              <w:pStyle w:val="3"/>
              <w:ind w:firstLine="480"/>
              <w:rPr>
                <w:color w:val="auto"/>
              </w:rPr>
            </w:pPr>
            <w:r>
              <w:rPr>
                <w:rFonts w:hint="eastAsia"/>
                <w:color w:val="auto"/>
              </w:rPr>
              <w:t>⑧废油桶</w:t>
            </w:r>
          </w:p>
          <w:p w14:paraId="0DA28FE1">
            <w:pPr>
              <w:pStyle w:val="3"/>
              <w:ind w:firstLine="480"/>
              <w:rPr>
                <w:color w:val="auto"/>
              </w:rPr>
            </w:pPr>
            <w:r>
              <w:rPr>
                <w:rFonts w:hint="eastAsia"/>
                <w:color w:val="auto"/>
              </w:rPr>
              <w:t>本项目设备检修维护时产生的废油桶（废物代码为</w:t>
            </w:r>
            <w:r>
              <w:rPr>
                <w:color w:val="auto"/>
              </w:rPr>
              <w:t>900-249-08</w:t>
            </w:r>
            <w:r>
              <w:rPr>
                <w:rFonts w:hint="eastAsia"/>
                <w:color w:val="auto"/>
              </w:rPr>
              <w:t>），废油桶产生量约为0.1t/a。收集后于危废间，定期委托有资质的单位处置。</w:t>
            </w:r>
          </w:p>
          <w:p w14:paraId="23732D49">
            <w:pPr>
              <w:pStyle w:val="3"/>
              <w:ind w:firstLine="480"/>
              <w:rPr>
                <w:color w:val="auto"/>
              </w:rPr>
            </w:pPr>
            <w:r>
              <w:rPr>
                <w:rFonts w:hint="eastAsia"/>
                <w:color w:val="auto"/>
              </w:rPr>
              <w:t>⑨含油废抹布和手套</w:t>
            </w:r>
          </w:p>
          <w:p w14:paraId="16B341F2">
            <w:pPr>
              <w:pStyle w:val="3"/>
              <w:ind w:firstLine="480"/>
              <w:rPr>
                <w:color w:val="auto"/>
              </w:rPr>
            </w:pPr>
            <w:r>
              <w:rPr>
                <w:rFonts w:hint="eastAsia"/>
                <w:color w:val="auto"/>
              </w:rPr>
              <w:t>项目定期更换废机油会产生少量的废含油抹布和手套（废物代码为</w:t>
            </w:r>
            <w:r>
              <w:rPr>
                <w:color w:val="auto"/>
              </w:rPr>
              <w:t>900-041-49</w:t>
            </w:r>
            <w:r>
              <w:rPr>
                <w:rFonts w:hint="eastAsia"/>
                <w:color w:val="auto"/>
              </w:rPr>
              <w:t>），废含油抹布和手套产生量约为0.01t/a。</w:t>
            </w:r>
          </w:p>
          <w:p w14:paraId="7E391A30">
            <w:pPr>
              <w:pStyle w:val="3"/>
              <w:ind w:firstLine="480"/>
              <w:rPr>
                <w:color w:val="auto"/>
              </w:rPr>
            </w:pPr>
            <w:r>
              <w:rPr>
                <w:rFonts w:hint="eastAsia" w:ascii="Segoe UI Symbol" w:hAnsi="Segoe UI Symbol" w:cs="Segoe UI Symbol"/>
                <w:color w:val="auto"/>
              </w:rPr>
              <w:t>⑩</w:t>
            </w:r>
            <w:r>
              <w:rPr>
                <w:rFonts w:hint="eastAsia"/>
                <w:color w:val="auto"/>
              </w:rPr>
              <w:t>生活垃圾</w:t>
            </w:r>
          </w:p>
          <w:p w14:paraId="6FAE9F37">
            <w:pPr>
              <w:pStyle w:val="3"/>
              <w:ind w:firstLine="480"/>
              <w:rPr>
                <w:color w:val="auto"/>
              </w:rPr>
            </w:pPr>
            <w:r>
              <w:rPr>
                <w:rFonts w:hint="eastAsia"/>
                <w:color w:val="auto"/>
              </w:rPr>
              <w:t>本项目全厂劳动定员为6人，年工作300天，生活垃圾按每人每天0.5kg计。则生活垃圾产生量0.9t/a。交由环卫部门处置。</w:t>
            </w:r>
          </w:p>
          <w:p w14:paraId="191F03E2">
            <w:pPr>
              <w:pStyle w:val="3"/>
              <w:ind w:firstLine="480"/>
              <w:rPr>
                <w:color w:val="auto"/>
              </w:rPr>
            </w:pPr>
            <w:r>
              <w:rPr>
                <w:rFonts w:hint="eastAsia"/>
                <w:color w:val="auto"/>
              </w:rPr>
              <w:t>固体废物的产生情况见下表，固废代码根据《固体废物分类与代码目录（2024）》以及《国家危险废物名录（2025年版）确定。</w:t>
            </w:r>
          </w:p>
          <w:p w14:paraId="55E4B52A">
            <w:pPr>
              <w:pStyle w:val="48"/>
              <w:rPr>
                <w:color w:val="auto"/>
              </w:rPr>
            </w:pPr>
            <w:bookmarkStart w:id="85" w:name="_Ref192750457"/>
            <w:bookmarkStart w:id="86" w:name="_Ref176914655"/>
            <w:r>
              <w:rPr>
                <w:rFonts w:hint="eastAsia"/>
                <w:color w:val="auto"/>
              </w:rPr>
              <w:t xml:space="preserve">表4- </w:t>
            </w:r>
            <w:r>
              <w:rPr>
                <w:color w:val="auto"/>
              </w:rPr>
              <w:fldChar w:fldCharType="begin"/>
            </w:r>
            <w:r>
              <w:rPr>
                <w:color w:val="auto"/>
              </w:rPr>
              <w:instrText xml:space="preserve"> </w:instrText>
            </w:r>
            <w:r>
              <w:rPr>
                <w:rFonts w:hint="eastAsia"/>
                <w:color w:val="auto"/>
              </w:rPr>
              <w:instrText xml:space="preserve">SEQ 表4- \* ARABIC</w:instrText>
            </w:r>
            <w:r>
              <w:rPr>
                <w:color w:val="auto"/>
              </w:rPr>
              <w:instrText xml:space="preserve"> </w:instrText>
            </w:r>
            <w:r>
              <w:rPr>
                <w:color w:val="auto"/>
              </w:rPr>
              <w:fldChar w:fldCharType="separate"/>
            </w:r>
            <w:r>
              <w:rPr>
                <w:color w:val="auto"/>
              </w:rPr>
              <w:t>15</w:t>
            </w:r>
            <w:r>
              <w:rPr>
                <w:color w:val="auto"/>
              </w:rPr>
              <w:fldChar w:fldCharType="end"/>
            </w:r>
            <w:bookmarkEnd w:id="85"/>
            <w:r>
              <w:rPr>
                <w:rFonts w:hint="eastAsia"/>
                <w:color w:val="auto"/>
              </w:rPr>
              <w:t>：项目固体废物的产生情况汇总</w:t>
            </w:r>
            <w:bookmarkEnd w:id="86"/>
          </w:p>
          <w:tbl>
            <w:tblPr>
              <w:tblStyle w:val="49"/>
              <w:tblW w:w="794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167"/>
              <w:gridCol w:w="900"/>
              <w:gridCol w:w="1971"/>
              <w:gridCol w:w="835"/>
              <w:gridCol w:w="902"/>
              <w:gridCol w:w="1143"/>
              <w:gridCol w:w="1025"/>
            </w:tblGrid>
            <w:tr w14:paraId="7ABD1E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167" w:type="dxa"/>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4206F1B6">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14:ligatures w14:val="standardContextual"/>
                    </w:rPr>
                  </w:pPr>
                  <w:r>
                    <w:rPr>
                      <w:rFonts w:hint="default" w:ascii="Times New Roman" w:hAnsi="Times New Roman" w:eastAsia="宋体" w:cs="Times New Roman"/>
                      <w:b/>
                      <w:i w:val="0"/>
                      <w:color w:val="auto"/>
                      <w14:ligatures w14:val="standardContextual"/>
                    </w:rPr>
                    <w:t>固废名称</w:t>
                  </w:r>
                </w:p>
              </w:tc>
              <w:tc>
                <w:tcPr>
                  <w:tcW w:w="900"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1F73AAB6">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14:ligatures w14:val="standardContextual"/>
                    </w:rPr>
                  </w:pPr>
                  <w:r>
                    <w:rPr>
                      <w:rFonts w:hint="default" w:ascii="Times New Roman" w:hAnsi="Times New Roman" w:eastAsia="宋体" w:cs="Times New Roman"/>
                      <w:b/>
                      <w:i w:val="0"/>
                      <w:color w:val="auto"/>
                      <w14:ligatures w14:val="standardContextual"/>
                    </w:rPr>
                    <w:t>固废类型</w:t>
                  </w:r>
                </w:p>
              </w:tc>
              <w:tc>
                <w:tcPr>
                  <w:tcW w:w="1971"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3368C88E">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14:ligatures w14:val="standardContextual"/>
                    </w:rPr>
                  </w:pPr>
                  <w:r>
                    <w:rPr>
                      <w:rFonts w:hint="default" w:ascii="Times New Roman" w:hAnsi="Times New Roman" w:eastAsia="宋体" w:cs="Times New Roman"/>
                      <w:b/>
                      <w:i w:val="0"/>
                      <w:color w:val="auto"/>
                      <w14:ligatures w14:val="standardContextual"/>
                    </w:rPr>
                    <w:t>废物类别</w:t>
                  </w:r>
                  <w:r>
                    <w:rPr>
                      <w:rFonts w:hint="eastAsia" w:ascii="Times New Roman" w:hAnsi="Times New Roman" w:eastAsia="宋体" w:cs="Times New Roman"/>
                      <w:b/>
                      <w:i w:val="0"/>
                      <w:color w:val="auto"/>
                      <w14:ligatures w14:val="standardContextual"/>
                    </w:rPr>
                    <w:t>及代码</w:t>
                  </w:r>
                </w:p>
              </w:tc>
              <w:tc>
                <w:tcPr>
                  <w:tcW w:w="835"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55E2D184">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14:ligatures w14:val="standardContextual"/>
                    </w:rPr>
                  </w:pPr>
                  <w:r>
                    <w:rPr>
                      <w:rFonts w:hint="default" w:ascii="Times New Roman" w:hAnsi="Times New Roman" w:eastAsia="宋体" w:cs="Times New Roman"/>
                      <w:b/>
                      <w:i w:val="0"/>
                      <w:color w:val="auto"/>
                      <w14:ligatures w14:val="standardContextual"/>
                    </w:rPr>
                    <w:t>物理</w:t>
                  </w:r>
                </w:p>
                <w:p w14:paraId="798C9E4D">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14:ligatures w14:val="standardContextual"/>
                    </w:rPr>
                  </w:pPr>
                  <w:r>
                    <w:rPr>
                      <w:rFonts w:hint="default" w:ascii="Times New Roman" w:hAnsi="Times New Roman" w:eastAsia="宋体" w:cs="Times New Roman"/>
                      <w:b/>
                      <w:i w:val="0"/>
                      <w:color w:val="auto"/>
                      <w14:ligatures w14:val="standardContextual"/>
                    </w:rPr>
                    <w:t>性状</w:t>
                  </w:r>
                </w:p>
              </w:tc>
              <w:tc>
                <w:tcPr>
                  <w:tcW w:w="902"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22A1D8A6">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color w:val="auto"/>
                      <w14:ligatures w14:val="standardContextual"/>
                    </w:rPr>
                  </w:pPr>
                  <w:r>
                    <w:rPr>
                      <w:rFonts w:hint="default" w:ascii="Times New Roman" w:hAnsi="Times New Roman" w:eastAsia="宋体" w:cs="Times New Roman"/>
                      <w:b/>
                      <w:i w:val="0"/>
                      <w:color w:val="auto"/>
                      <w14:ligatures w14:val="standardContextual"/>
                    </w:rPr>
                    <w:t>产生量t/a</w:t>
                  </w:r>
                </w:p>
              </w:tc>
              <w:tc>
                <w:tcPr>
                  <w:tcW w:w="1143"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360128B4">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14:ligatures w14:val="standardContextual"/>
                    </w:rPr>
                  </w:pPr>
                  <w:r>
                    <w:rPr>
                      <w:rFonts w:hint="eastAsia" w:ascii="Times New Roman" w:hAnsi="Times New Roman" w:eastAsia="宋体" w:cs="Times New Roman"/>
                      <w:b/>
                      <w:i w:val="0"/>
                      <w:color w:val="auto"/>
                      <w14:ligatures w14:val="standardContextual"/>
                    </w:rPr>
                    <w:t>处置量</w:t>
                  </w:r>
                  <w:r>
                    <w:rPr>
                      <w:rFonts w:hint="default" w:ascii="Times New Roman" w:hAnsi="Times New Roman" w:eastAsia="宋体" w:cs="Times New Roman"/>
                      <w:b/>
                      <w:i w:val="0"/>
                      <w:color w:val="auto"/>
                      <w14:ligatures w14:val="standardContextual"/>
                    </w:rPr>
                    <w:t>t/a</w:t>
                  </w:r>
                </w:p>
              </w:tc>
              <w:tc>
                <w:tcPr>
                  <w:tcW w:w="1025" w:type="dxa"/>
                  <w:tcBorders>
                    <w:top w:val="single" w:color="auto" w:sz="12" w:space="0"/>
                    <w:bottom w:val="single" w:color="auto" w:sz="12" w:space="0"/>
                    <w:right w:val="nil"/>
                    <w:insideH w:val="single" w:sz="12" w:space="0"/>
                    <w:insideV w:val="single" w:sz="4" w:space="0"/>
                    <w:tl2br w:val="nil"/>
                    <w:tr2bl w:val="nil"/>
                  </w:tcBorders>
                  <w:vAlign w:val="center"/>
                </w:tcPr>
                <w:p w14:paraId="65835768">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auto"/>
                      <w14:ligatures w14:val="standardContextual"/>
                    </w:rPr>
                  </w:pPr>
                  <w:r>
                    <w:rPr>
                      <w:rFonts w:hint="default" w:ascii="Times New Roman" w:hAnsi="Times New Roman" w:eastAsia="宋体" w:cs="Times New Roman"/>
                      <w:b/>
                      <w:i w:val="0"/>
                      <w:color w:val="auto"/>
                      <w14:ligatures w14:val="standardContextual"/>
                    </w:rPr>
                    <w:t>处置去向</w:t>
                  </w:r>
                </w:p>
              </w:tc>
            </w:tr>
            <w:tr w14:paraId="3418D0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167" w:type="dxa"/>
                  <w:vAlign w:val="center"/>
                </w:tcPr>
                <w:p w14:paraId="4E095591">
                  <w:pPr>
                    <w:widowControl w:val="0"/>
                    <w:overflowPunct w:val="0"/>
                    <w:autoSpaceDE w:val="0"/>
                    <w:autoSpaceDN w:val="0"/>
                    <w:snapToGrid w:val="0"/>
                    <w:jc w:val="center"/>
                    <w:rPr>
                      <w:color w:val="auto"/>
                      <w14:ligatures w14:val="standardContextual"/>
                    </w:rPr>
                  </w:pPr>
                  <w:r>
                    <w:rPr>
                      <w:rFonts w:hint="eastAsia"/>
                      <w:color w:val="auto"/>
                      <w14:ligatures w14:val="standardContextual"/>
                    </w:rPr>
                    <w:t>废金属</w:t>
                  </w:r>
                </w:p>
              </w:tc>
              <w:tc>
                <w:tcPr>
                  <w:tcW w:w="900" w:type="dxa"/>
                  <w:vMerge w:val="restart"/>
                  <w:vAlign w:val="center"/>
                </w:tcPr>
                <w:p w14:paraId="57248C4B">
                  <w:pPr>
                    <w:widowControl w:val="0"/>
                    <w:overflowPunct w:val="0"/>
                    <w:autoSpaceDE w:val="0"/>
                    <w:autoSpaceDN w:val="0"/>
                    <w:snapToGrid w:val="0"/>
                    <w:jc w:val="center"/>
                    <w:rPr>
                      <w:color w:val="auto"/>
                      <w14:ligatures w14:val="standardContextual"/>
                    </w:rPr>
                  </w:pPr>
                </w:p>
              </w:tc>
              <w:tc>
                <w:tcPr>
                  <w:tcW w:w="1971" w:type="dxa"/>
                  <w:vAlign w:val="center"/>
                </w:tcPr>
                <w:p w14:paraId="3026F350">
                  <w:pPr>
                    <w:widowControl w:val="0"/>
                    <w:overflowPunct w:val="0"/>
                    <w:autoSpaceDE w:val="0"/>
                    <w:autoSpaceDN w:val="0"/>
                    <w:snapToGrid w:val="0"/>
                    <w:jc w:val="center"/>
                    <w:rPr>
                      <w:color w:val="auto"/>
                      <w14:ligatures w14:val="standardContextual"/>
                    </w:rPr>
                  </w:pPr>
                  <w:r>
                    <w:rPr>
                      <w:color w:val="auto"/>
                      <w14:ligatures w14:val="standardContextual"/>
                    </w:rPr>
                    <w:t>SW62</w:t>
                  </w:r>
                </w:p>
              </w:tc>
              <w:tc>
                <w:tcPr>
                  <w:tcW w:w="835" w:type="dxa"/>
                  <w:vAlign w:val="center"/>
                </w:tcPr>
                <w:p w14:paraId="61510446">
                  <w:pPr>
                    <w:widowControl w:val="0"/>
                    <w:overflowPunct w:val="0"/>
                    <w:autoSpaceDE w:val="0"/>
                    <w:autoSpaceDN w:val="0"/>
                    <w:snapToGrid w:val="0"/>
                    <w:jc w:val="center"/>
                    <w:rPr>
                      <w:color w:val="auto"/>
                      <w14:ligatures w14:val="standardContextual"/>
                    </w:rPr>
                  </w:pPr>
                  <w:r>
                    <w:rPr>
                      <w:color w:val="auto"/>
                      <w14:ligatures w14:val="standardContextual"/>
                    </w:rPr>
                    <w:t>固态</w:t>
                  </w:r>
                </w:p>
              </w:tc>
              <w:tc>
                <w:tcPr>
                  <w:tcW w:w="902" w:type="dxa"/>
                  <w:vAlign w:val="center"/>
                </w:tcPr>
                <w:p w14:paraId="7C1DE4D1">
                  <w:pPr>
                    <w:widowControl w:val="0"/>
                    <w:overflowPunct w:val="0"/>
                    <w:autoSpaceDE w:val="0"/>
                    <w:autoSpaceDN w:val="0"/>
                    <w:snapToGrid w:val="0"/>
                    <w:jc w:val="center"/>
                    <w:rPr>
                      <w:color w:val="auto"/>
                      <w14:ligatures w14:val="standardContextual"/>
                    </w:rPr>
                  </w:pPr>
                  <w:r>
                    <w:rPr>
                      <w:rFonts w:hint="eastAsia"/>
                      <w:color w:val="auto"/>
                      <w14:ligatures w14:val="standardContextual"/>
                    </w:rPr>
                    <w:t>50</w:t>
                  </w:r>
                </w:p>
              </w:tc>
              <w:tc>
                <w:tcPr>
                  <w:tcW w:w="1143" w:type="dxa"/>
                  <w:vAlign w:val="center"/>
                </w:tcPr>
                <w:p w14:paraId="21E01BA4">
                  <w:pPr>
                    <w:widowControl w:val="0"/>
                    <w:overflowPunct w:val="0"/>
                    <w:autoSpaceDE w:val="0"/>
                    <w:autoSpaceDN w:val="0"/>
                    <w:snapToGrid w:val="0"/>
                    <w:jc w:val="center"/>
                    <w:rPr>
                      <w:color w:val="auto"/>
                      <w14:ligatures w14:val="standardContextual"/>
                    </w:rPr>
                  </w:pPr>
                  <w:r>
                    <w:rPr>
                      <w:rFonts w:hint="eastAsia"/>
                      <w:color w:val="auto"/>
                      <w14:ligatures w14:val="standardContextual"/>
                    </w:rPr>
                    <w:t>50</w:t>
                  </w:r>
                </w:p>
              </w:tc>
              <w:tc>
                <w:tcPr>
                  <w:tcW w:w="1025" w:type="dxa"/>
                  <w:vAlign w:val="center"/>
                </w:tcPr>
                <w:p w14:paraId="2D9123D8">
                  <w:pPr>
                    <w:widowControl w:val="0"/>
                    <w:overflowPunct w:val="0"/>
                    <w:autoSpaceDE w:val="0"/>
                    <w:autoSpaceDN w:val="0"/>
                    <w:snapToGrid w:val="0"/>
                    <w:jc w:val="center"/>
                    <w:rPr>
                      <w:color w:val="auto"/>
                      <w14:ligatures w14:val="standardContextual"/>
                    </w:rPr>
                  </w:pPr>
                  <w:r>
                    <w:rPr>
                      <w:rFonts w:hint="eastAsia"/>
                      <w:color w:val="auto"/>
                      <w14:ligatures w14:val="standardContextual"/>
                    </w:rPr>
                    <w:t>暂存产品堆料区，外售钢铁厂综合利用</w:t>
                  </w:r>
                </w:p>
              </w:tc>
            </w:tr>
            <w:tr w14:paraId="742360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87" w:hRule="atLeast"/>
                <w:jc w:val="center"/>
              </w:trPr>
              <w:tc>
                <w:tcPr>
                  <w:tcW w:w="1167" w:type="dxa"/>
                  <w:vAlign w:val="center"/>
                </w:tcPr>
                <w:p w14:paraId="37154FC0">
                  <w:pPr>
                    <w:widowControl w:val="0"/>
                    <w:overflowPunct w:val="0"/>
                    <w:autoSpaceDE w:val="0"/>
                    <w:autoSpaceDN w:val="0"/>
                    <w:snapToGrid w:val="0"/>
                    <w:jc w:val="center"/>
                    <w:rPr>
                      <w:color w:val="auto"/>
                      <w14:ligatures w14:val="standardContextual"/>
                    </w:rPr>
                  </w:pPr>
                  <w:r>
                    <w:rPr>
                      <w:rFonts w:hint="eastAsia"/>
                      <w:color w:val="auto"/>
                      <w14:ligatures w14:val="standardContextual"/>
                    </w:rPr>
                    <w:t>轻物质</w:t>
                  </w:r>
                </w:p>
              </w:tc>
              <w:tc>
                <w:tcPr>
                  <w:tcW w:w="900" w:type="dxa"/>
                  <w:vMerge w:val="continue"/>
                  <w:vAlign w:val="center"/>
                </w:tcPr>
                <w:p w14:paraId="47A13F2F">
                  <w:pPr>
                    <w:widowControl w:val="0"/>
                    <w:overflowPunct w:val="0"/>
                    <w:autoSpaceDE w:val="0"/>
                    <w:autoSpaceDN w:val="0"/>
                    <w:snapToGrid w:val="0"/>
                    <w:jc w:val="center"/>
                    <w:rPr>
                      <w:color w:val="auto"/>
                      <w14:ligatures w14:val="standardContextual"/>
                    </w:rPr>
                  </w:pPr>
                </w:p>
              </w:tc>
              <w:tc>
                <w:tcPr>
                  <w:tcW w:w="1971" w:type="dxa"/>
                  <w:vAlign w:val="center"/>
                </w:tcPr>
                <w:p w14:paraId="1001BE07">
                  <w:pPr>
                    <w:widowControl w:val="0"/>
                    <w:overflowPunct w:val="0"/>
                    <w:autoSpaceDE w:val="0"/>
                    <w:autoSpaceDN w:val="0"/>
                    <w:snapToGrid w:val="0"/>
                    <w:jc w:val="center"/>
                    <w:rPr>
                      <w:color w:val="auto"/>
                      <w14:ligatures w14:val="standardContextual"/>
                    </w:rPr>
                  </w:pPr>
                  <w:r>
                    <w:rPr>
                      <w:color w:val="auto"/>
                      <w14:ligatures w14:val="standardContextual"/>
                    </w:rPr>
                    <w:t>SW62</w:t>
                  </w:r>
                </w:p>
              </w:tc>
              <w:tc>
                <w:tcPr>
                  <w:tcW w:w="835" w:type="dxa"/>
                  <w:vAlign w:val="center"/>
                </w:tcPr>
                <w:p w14:paraId="2DE3BEC1">
                  <w:pPr>
                    <w:widowControl w:val="0"/>
                    <w:overflowPunct w:val="0"/>
                    <w:autoSpaceDE w:val="0"/>
                    <w:autoSpaceDN w:val="0"/>
                    <w:snapToGrid w:val="0"/>
                    <w:jc w:val="center"/>
                    <w:rPr>
                      <w:color w:val="auto"/>
                      <w14:ligatures w14:val="standardContextual"/>
                    </w:rPr>
                  </w:pPr>
                  <w:r>
                    <w:rPr>
                      <w:color w:val="auto"/>
                      <w14:ligatures w14:val="standardContextual"/>
                    </w:rPr>
                    <w:t>固态</w:t>
                  </w:r>
                </w:p>
              </w:tc>
              <w:tc>
                <w:tcPr>
                  <w:tcW w:w="902" w:type="dxa"/>
                  <w:vAlign w:val="center"/>
                </w:tcPr>
                <w:p w14:paraId="1519AC09">
                  <w:pPr>
                    <w:widowControl w:val="0"/>
                    <w:overflowPunct w:val="0"/>
                    <w:autoSpaceDE w:val="0"/>
                    <w:autoSpaceDN w:val="0"/>
                    <w:snapToGrid w:val="0"/>
                    <w:jc w:val="center"/>
                    <w:rPr>
                      <w:color w:val="auto"/>
                      <w14:ligatures w14:val="standardContextual"/>
                    </w:rPr>
                  </w:pPr>
                  <w:r>
                    <w:rPr>
                      <w:rFonts w:hint="eastAsia"/>
                      <w:color w:val="auto"/>
                      <w14:ligatures w14:val="standardContextual"/>
                    </w:rPr>
                    <w:t>7700</w:t>
                  </w:r>
                </w:p>
              </w:tc>
              <w:tc>
                <w:tcPr>
                  <w:tcW w:w="1143" w:type="dxa"/>
                  <w:vAlign w:val="center"/>
                </w:tcPr>
                <w:p w14:paraId="14E99869">
                  <w:pPr>
                    <w:widowControl w:val="0"/>
                    <w:overflowPunct w:val="0"/>
                    <w:autoSpaceDE w:val="0"/>
                    <w:autoSpaceDN w:val="0"/>
                    <w:snapToGrid w:val="0"/>
                    <w:jc w:val="center"/>
                    <w:rPr>
                      <w:color w:val="auto"/>
                      <w14:ligatures w14:val="standardContextual"/>
                    </w:rPr>
                  </w:pPr>
                  <w:r>
                    <w:rPr>
                      <w:rFonts w:hint="eastAsia"/>
                      <w:color w:val="auto"/>
                      <w14:ligatures w14:val="standardContextual"/>
                    </w:rPr>
                    <w:t>7700</w:t>
                  </w:r>
                </w:p>
              </w:tc>
              <w:tc>
                <w:tcPr>
                  <w:tcW w:w="1025" w:type="dxa"/>
                  <w:vMerge w:val="restart"/>
                  <w:vAlign w:val="center"/>
                </w:tcPr>
                <w:p w14:paraId="60889E07">
                  <w:pPr>
                    <w:widowControl w:val="0"/>
                    <w:overflowPunct w:val="0"/>
                    <w:autoSpaceDE w:val="0"/>
                    <w:autoSpaceDN w:val="0"/>
                    <w:snapToGrid w:val="0"/>
                    <w:jc w:val="center"/>
                    <w:rPr>
                      <w:color w:val="auto"/>
                      <w14:ligatures w14:val="standardContextual"/>
                    </w:rPr>
                  </w:pPr>
                  <w:r>
                    <w:rPr>
                      <w:rFonts w:hint="eastAsia"/>
                      <w:color w:val="auto"/>
                      <w14:ligatures w14:val="standardContextual"/>
                    </w:rPr>
                    <w:t>暂存产品堆料区，外售物资回收站</w:t>
                  </w:r>
                </w:p>
              </w:tc>
            </w:tr>
            <w:tr w14:paraId="53A218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167" w:type="dxa"/>
                  <w:vAlign w:val="center"/>
                </w:tcPr>
                <w:p w14:paraId="0C4C99B6">
                  <w:pPr>
                    <w:widowControl w:val="0"/>
                    <w:overflowPunct w:val="0"/>
                    <w:autoSpaceDE w:val="0"/>
                    <w:autoSpaceDN w:val="0"/>
                    <w:snapToGrid w:val="0"/>
                    <w:jc w:val="center"/>
                    <w:rPr>
                      <w:color w:val="auto"/>
                      <w14:ligatures w14:val="standardContextual"/>
                    </w:rPr>
                  </w:pPr>
                  <w:r>
                    <w:rPr>
                      <w:rFonts w:hint="eastAsia"/>
                      <w:color w:val="auto"/>
                      <w14:ligatures w14:val="standardContextual"/>
                    </w:rPr>
                    <w:t>废布袋</w:t>
                  </w:r>
                </w:p>
              </w:tc>
              <w:tc>
                <w:tcPr>
                  <w:tcW w:w="900" w:type="dxa"/>
                  <w:vMerge w:val="continue"/>
                  <w:vAlign w:val="center"/>
                </w:tcPr>
                <w:p w14:paraId="71B19FD3">
                  <w:pPr>
                    <w:widowControl w:val="0"/>
                    <w:overflowPunct w:val="0"/>
                    <w:autoSpaceDE w:val="0"/>
                    <w:autoSpaceDN w:val="0"/>
                    <w:snapToGrid w:val="0"/>
                    <w:jc w:val="center"/>
                    <w:rPr>
                      <w:color w:val="auto"/>
                      <w14:ligatures w14:val="standardContextual"/>
                    </w:rPr>
                  </w:pPr>
                </w:p>
              </w:tc>
              <w:tc>
                <w:tcPr>
                  <w:tcW w:w="1971" w:type="dxa"/>
                  <w:vAlign w:val="center"/>
                </w:tcPr>
                <w:p w14:paraId="464D5125">
                  <w:pPr>
                    <w:widowControl w:val="0"/>
                    <w:overflowPunct w:val="0"/>
                    <w:autoSpaceDE w:val="0"/>
                    <w:autoSpaceDN w:val="0"/>
                    <w:snapToGrid w:val="0"/>
                    <w:jc w:val="center"/>
                    <w:rPr>
                      <w:color w:val="auto"/>
                      <w14:ligatures w14:val="standardContextual"/>
                    </w:rPr>
                  </w:pPr>
                  <w:r>
                    <w:rPr>
                      <w:color w:val="auto"/>
                      <w14:ligatures w14:val="standardContextual"/>
                    </w:rPr>
                    <w:t>SW59</w:t>
                  </w:r>
                </w:p>
              </w:tc>
              <w:tc>
                <w:tcPr>
                  <w:tcW w:w="835" w:type="dxa"/>
                  <w:vAlign w:val="center"/>
                </w:tcPr>
                <w:p w14:paraId="1F2EDD13">
                  <w:pPr>
                    <w:widowControl w:val="0"/>
                    <w:overflowPunct w:val="0"/>
                    <w:autoSpaceDE w:val="0"/>
                    <w:autoSpaceDN w:val="0"/>
                    <w:snapToGrid w:val="0"/>
                    <w:jc w:val="center"/>
                    <w:rPr>
                      <w:color w:val="auto"/>
                      <w14:ligatures w14:val="standardContextual"/>
                    </w:rPr>
                  </w:pPr>
                  <w:r>
                    <w:rPr>
                      <w:color w:val="auto"/>
                      <w14:ligatures w14:val="standardContextual"/>
                    </w:rPr>
                    <w:t>固态</w:t>
                  </w:r>
                </w:p>
              </w:tc>
              <w:tc>
                <w:tcPr>
                  <w:tcW w:w="902" w:type="dxa"/>
                  <w:vAlign w:val="center"/>
                </w:tcPr>
                <w:p w14:paraId="63E3D334">
                  <w:pPr>
                    <w:widowControl w:val="0"/>
                    <w:overflowPunct w:val="0"/>
                    <w:autoSpaceDE w:val="0"/>
                    <w:autoSpaceDN w:val="0"/>
                    <w:snapToGrid w:val="0"/>
                    <w:jc w:val="center"/>
                    <w:rPr>
                      <w:color w:val="auto"/>
                      <w14:ligatures w14:val="standardContextual"/>
                    </w:rPr>
                  </w:pPr>
                  <w:r>
                    <w:rPr>
                      <w:rFonts w:hint="eastAsia"/>
                      <w:color w:val="auto"/>
                      <w14:ligatures w14:val="standardContextual"/>
                    </w:rPr>
                    <w:t>0.1</w:t>
                  </w:r>
                </w:p>
              </w:tc>
              <w:tc>
                <w:tcPr>
                  <w:tcW w:w="1143" w:type="dxa"/>
                  <w:vAlign w:val="center"/>
                </w:tcPr>
                <w:p w14:paraId="362A5FA9">
                  <w:pPr>
                    <w:widowControl w:val="0"/>
                    <w:overflowPunct w:val="0"/>
                    <w:autoSpaceDE w:val="0"/>
                    <w:autoSpaceDN w:val="0"/>
                    <w:snapToGrid w:val="0"/>
                    <w:jc w:val="center"/>
                    <w:rPr>
                      <w:color w:val="auto"/>
                      <w14:ligatures w14:val="standardContextual"/>
                    </w:rPr>
                  </w:pPr>
                  <w:r>
                    <w:rPr>
                      <w:rFonts w:hint="eastAsia"/>
                      <w:color w:val="auto"/>
                      <w14:ligatures w14:val="standardContextual"/>
                    </w:rPr>
                    <w:t>0.1</w:t>
                  </w:r>
                </w:p>
              </w:tc>
              <w:tc>
                <w:tcPr>
                  <w:tcW w:w="1025" w:type="dxa"/>
                  <w:vMerge w:val="continue"/>
                  <w:vAlign w:val="center"/>
                </w:tcPr>
                <w:p w14:paraId="12A4B435">
                  <w:pPr>
                    <w:widowControl w:val="0"/>
                    <w:overflowPunct w:val="0"/>
                    <w:autoSpaceDE w:val="0"/>
                    <w:autoSpaceDN w:val="0"/>
                    <w:snapToGrid w:val="0"/>
                    <w:jc w:val="center"/>
                    <w:rPr>
                      <w:color w:val="auto"/>
                      <w14:ligatures w14:val="standardContextual"/>
                    </w:rPr>
                  </w:pPr>
                </w:p>
              </w:tc>
            </w:tr>
            <w:tr w14:paraId="194157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00" w:hRule="atLeast"/>
                <w:jc w:val="center"/>
              </w:trPr>
              <w:tc>
                <w:tcPr>
                  <w:tcW w:w="1167" w:type="dxa"/>
                  <w:vAlign w:val="center"/>
                </w:tcPr>
                <w:p w14:paraId="0C972431">
                  <w:pPr>
                    <w:widowControl w:val="0"/>
                    <w:overflowPunct w:val="0"/>
                    <w:autoSpaceDE w:val="0"/>
                    <w:autoSpaceDN w:val="0"/>
                    <w:snapToGrid w:val="0"/>
                    <w:jc w:val="center"/>
                    <w:rPr>
                      <w:color w:val="auto"/>
                      <w14:ligatures w14:val="standardContextual"/>
                    </w:rPr>
                  </w:pPr>
                  <w:r>
                    <w:rPr>
                      <w:rFonts w:hint="eastAsia"/>
                      <w:color w:val="auto"/>
                      <w14:ligatures w14:val="standardContextual"/>
                    </w:rPr>
                    <w:t>收集尘</w:t>
                  </w:r>
                </w:p>
              </w:tc>
              <w:tc>
                <w:tcPr>
                  <w:tcW w:w="900" w:type="dxa"/>
                  <w:vMerge w:val="continue"/>
                  <w:vAlign w:val="center"/>
                </w:tcPr>
                <w:p w14:paraId="1D542785">
                  <w:pPr>
                    <w:widowControl w:val="0"/>
                    <w:overflowPunct w:val="0"/>
                    <w:autoSpaceDE w:val="0"/>
                    <w:autoSpaceDN w:val="0"/>
                    <w:snapToGrid w:val="0"/>
                    <w:jc w:val="center"/>
                    <w:rPr>
                      <w:color w:val="auto"/>
                      <w14:ligatures w14:val="standardContextual"/>
                    </w:rPr>
                  </w:pPr>
                </w:p>
              </w:tc>
              <w:tc>
                <w:tcPr>
                  <w:tcW w:w="1971" w:type="dxa"/>
                  <w:vAlign w:val="center"/>
                </w:tcPr>
                <w:p w14:paraId="407CEA3D">
                  <w:pPr>
                    <w:widowControl w:val="0"/>
                    <w:overflowPunct w:val="0"/>
                    <w:autoSpaceDE w:val="0"/>
                    <w:autoSpaceDN w:val="0"/>
                    <w:snapToGrid w:val="0"/>
                    <w:jc w:val="center"/>
                    <w:rPr>
                      <w:color w:val="auto"/>
                      <w14:ligatures w14:val="standardContextual"/>
                    </w:rPr>
                  </w:pPr>
                  <w:r>
                    <w:rPr>
                      <w:color w:val="auto"/>
                      <w14:ligatures w14:val="standardContextual"/>
                    </w:rPr>
                    <w:t>SW59</w:t>
                  </w:r>
                </w:p>
              </w:tc>
              <w:tc>
                <w:tcPr>
                  <w:tcW w:w="835" w:type="dxa"/>
                  <w:vAlign w:val="center"/>
                </w:tcPr>
                <w:p w14:paraId="13330699">
                  <w:pPr>
                    <w:widowControl w:val="0"/>
                    <w:overflowPunct w:val="0"/>
                    <w:autoSpaceDE w:val="0"/>
                    <w:autoSpaceDN w:val="0"/>
                    <w:snapToGrid w:val="0"/>
                    <w:jc w:val="center"/>
                    <w:rPr>
                      <w:color w:val="auto"/>
                      <w14:ligatures w14:val="standardContextual"/>
                    </w:rPr>
                  </w:pPr>
                  <w:r>
                    <w:rPr>
                      <w:color w:val="auto"/>
                      <w14:ligatures w14:val="standardContextual"/>
                    </w:rPr>
                    <w:t>固态</w:t>
                  </w:r>
                </w:p>
              </w:tc>
              <w:tc>
                <w:tcPr>
                  <w:tcW w:w="902" w:type="dxa"/>
                  <w:vAlign w:val="center"/>
                </w:tcPr>
                <w:p w14:paraId="2790C64B">
                  <w:pPr>
                    <w:widowControl w:val="0"/>
                    <w:overflowPunct w:val="0"/>
                    <w:autoSpaceDE w:val="0"/>
                    <w:autoSpaceDN w:val="0"/>
                    <w:snapToGrid w:val="0"/>
                    <w:jc w:val="center"/>
                    <w:rPr>
                      <w:color w:val="auto"/>
                      <w14:ligatures w14:val="standardContextual"/>
                    </w:rPr>
                  </w:pPr>
                  <w:r>
                    <w:rPr>
                      <w:color w:val="auto"/>
                      <w14:ligatures w14:val="standardContextual"/>
                    </w:rPr>
                    <w:t>10</w:t>
                  </w:r>
                  <w:r>
                    <w:rPr>
                      <w:rFonts w:hint="eastAsia"/>
                      <w:color w:val="auto"/>
                      <w14:ligatures w14:val="standardContextual"/>
                    </w:rPr>
                    <w:t>9.332</w:t>
                  </w:r>
                </w:p>
              </w:tc>
              <w:tc>
                <w:tcPr>
                  <w:tcW w:w="1143" w:type="dxa"/>
                  <w:vAlign w:val="center"/>
                </w:tcPr>
                <w:p w14:paraId="7813F340">
                  <w:pPr>
                    <w:widowControl w:val="0"/>
                    <w:overflowPunct w:val="0"/>
                    <w:autoSpaceDE w:val="0"/>
                    <w:autoSpaceDN w:val="0"/>
                    <w:snapToGrid w:val="0"/>
                    <w:jc w:val="center"/>
                    <w:rPr>
                      <w:color w:val="auto"/>
                      <w14:ligatures w14:val="standardContextual"/>
                    </w:rPr>
                  </w:pPr>
                  <w:r>
                    <w:rPr>
                      <w:color w:val="auto"/>
                      <w14:ligatures w14:val="standardContextual"/>
                    </w:rPr>
                    <w:t>10</w:t>
                  </w:r>
                  <w:r>
                    <w:rPr>
                      <w:rFonts w:hint="eastAsia"/>
                      <w:color w:val="auto"/>
                      <w14:ligatures w14:val="standardContextual"/>
                    </w:rPr>
                    <w:t>9.332</w:t>
                  </w:r>
                </w:p>
              </w:tc>
              <w:tc>
                <w:tcPr>
                  <w:tcW w:w="1025" w:type="dxa"/>
                  <w:vMerge w:val="restart"/>
                  <w:vAlign w:val="center"/>
                </w:tcPr>
                <w:p w14:paraId="3067CD72">
                  <w:pPr>
                    <w:widowControl w:val="0"/>
                    <w:overflowPunct w:val="0"/>
                    <w:autoSpaceDE w:val="0"/>
                    <w:autoSpaceDN w:val="0"/>
                    <w:snapToGrid w:val="0"/>
                    <w:jc w:val="center"/>
                    <w:rPr>
                      <w:color w:val="auto"/>
                      <w14:ligatures w14:val="standardContextual"/>
                    </w:rPr>
                  </w:pPr>
                  <w:r>
                    <w:rPr>
                      <w:rFonts w:hint="eastAsia"/>
                      <w:color w:val="auto"/>
                      <w14:ligatures w14:val="standardContextual"/>
                    </w:rPr>
                    <w:t>暂存产品堆料区，外售用于路基铺路综合利用</w:t>
                  </w:r>
                </w:p>
              </w:tc>
            </w:tr>
            <w:tr w14:paraId="3366C6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27" w:hRule="atLeast"/>
                <w:jc w:val="center"/>
              </w:trPr>
              <w:tc>
                <w:tcPr>
                  <w:tcW w:w="1167" w:type="dxa"/>
                  <w:vAlign w:val="center"/>
                </w:tcPr>
                <w:p w14:paraId="7AB9F4C5">
                  <w:pPr>
                    <w:widowControl w:val="0"/>
                    <w:overflowPunct w:val="0"/>
                    <w:autoSpaceDE w:val="0"/>
                    <w:autoSpaceDN w:val="0"/>
                    <w:snapToGrid w:val="0"/>
                    <w:jc w:val="center"/>
                    <w:rPr>
                      <w:rFonts w:hint="eastAsia" w:eastAsia="宋体"/>
                      <w:color w:val="auto"/>
                      <w:lang w:eastAsia="zh-CN"/>
                      <w14:ligatures w14:val="standardContextual"/>
                    </w:rPr>
                  </w:pPr>
                  <w:r>
                    <w:rPr>
                      <w:rFonts w:hint="eastAsia"/>
                      <w:color w:val="auto"/>
                      <w:lang w:eastAsia="zh-CN"/>
                      <w14:ligatures w14:val="standardContextual"/>
                    </w:rPr>
                    <w:t>沉渣</w:t>
                  </w:r>
                </w:p>
              </w:tc>
              <w:tc>
                <w:tcPr>
                  <w:tcW w:w="900" w:type="dxa"/>
                  <w:vMerge w:val="continue"/>
                  <w:vAlign w:val="center"/>
                </w:tcPr>
                <w:p w14:paraId="4AF015D6">
                  <w:pPr>
                    <w:widowControl w:val="0"/>
                    <w:overflowPunct w:val="0"/>
                    <w:autoSpaceDE w:val="0"/>
                    <w:autoSpaceDN w:val="0"/>
                    <w:snapToGrid w:val="0"/>
                    <w:jc w:val="center"/>
                    <w:rPr>
                      <w:color w:val="auto"/>
                      <w14:ligatures w14:val="standardContextual"/>
                    </w:rPr>
                  </w:pPr>
                </w:p>
              </w:tc>
              <w:tc>
                <w:tcPr>
                  <w:tcW w:w="1971" w:type="dxa"/>
                  <w:vAlign w:val="center"/>
                </w:tcPr>
                <w:p w14:paraId="77829EB6">
                  <w:pPr>
                    <w:widowControl w:val="0"/>
                    <w:overflowPunct w:val="0"/>
                    <w:autoSpaceDE w:val="0"/>
                    <w:autoSpaceDN w:val="0"/>
                    <w:snapToGrid w:val="0"/>
                    <w:jc w:val="center"/>
                    <w:rPr>
                      <w:color w:val="auto"/>
                      <w14:ligatures w14:val="standardContextual"/>
                    </w:rPr>
                  </w:pPr>
                  <w:r>
                    <w:rPr>
                      <w:color w:val="auto"/>
                      <w14:ligatures w14:val="standardContextual"/>
                    </w:rPr>
                    <w:t>SW59</w:t>
                  </w:r>
                </w:p>
              </w:tc>
              <w:tc>
                <w:tcPr>
                  <w:tcW w:w="835" w:type="dxa"/>
                  <w:vAlign w:val="center"/>
                </w:tcPr>
                <w:p w14:paraId="690FA280">
                  <w:pPr>
                    <w:widowControl w:val="0"/>
                    <w:overflowPunct w:val="0"/>
                    <w:autoSpaceDE w:val="0"/>
                    <w:autoSpaceDN w:val="0"/>
                    <w:snapToGrid w:val="0"/>
                    <w:jc w:val="center"/>
                    <w:rPr>
                      <w:color w:val="auto"/>
                      <w14:ligatures w14:val="standardContextual"/>
                    </w:rPr>
                  </w:pPr>
                  <w:r>
                    <w:rPr>
                      <w:color w:val="auto"/>
                      <w14:ligatures w14:val="standardContextual"/>
                    </w:rPr>
                    <w:t>固态</w:t>
                  </w:r>
                </w:p>
              </w:tc>
              <w:tc>
                <w:tcPr>
                  <w:tcW w:w="902" w:type="dxa"/>
                  <w:vAlign w:val="center"/>
                </w:tcPr>
                <w:p w14:paraId="17DA0868">
                  <w:pPr>
                    <w:widowControl w:val="0"/>
                    <w:overflowPunct w:val="0"/>
                    <w:autoSpaceDE w:val="0"/>
                    <w:autoSpaceDN w:val="0"/>
                    <w:snapToGrid w:val="0"/>
                    <w:jc w:val="center"/>
                    <w:rPr>
                      <w:color w:val="auto"/>
                      <w14:ligatures w14:val="standardContextual"/>
                    </w:rPr>
                  </w:pPr>
                  <w:r>
                    <w:rPr>
                      <w:rFonts w:hint="eastAsia"/>
                      <w:color w:val="auto"/>
                      <w14:ligatures w14:val="standardContextual"/>
                    </w:rPr>
                    <w:t>3.5</w:t>
                  </w:r>
                </w:p>
              </w:tc>
              <w:tc>
                <w:tcPr>
                  <w:tcW w:w="1143" w:type="dxa"/>
                  <w:vAlign w:val="center"/>
                </w:tcPr>
                <w:p w14:paraId="22813395">
                  <w:pPr>
                    <w:widowControl w:val="0"/>
                    <w:overflowPunct w:val="0"/>
                    <w:autoSpaceDE w:val="0"/>
                    <w:autoSpaceDN w:val="0"/>
                    <w:snapToGrid w:val="0"/>
                    <w:jc w:val="center"/>
                    <w:rPr>
                      <w:color w:val="auto"/>
                      <w14:ligatures w14:val="standardContextual"/>
                    </w:rPr>
                  </w:pPr>
                  <w:r>
                    <w:rPr>
                      <w:rFonts w:hint="eastAsia"/>
                      <w:color w:val="auto"/>
                      <w14:ligatures w14:val="standardContextual"/>
                    </w:rPr>
                    <w:t>33.5</w:t>
                  </w:r>
                </w:p>
              </w:tc>
              <w:tc>
                <w:tcPr>
                  <w:tcW w:w="1025" w:type="dxa"/>
                  <w:vMerge w:val="continue"/>
                  <w:vAlign w:val="center"/>
                </w:tcPr>
                <w:p w14:paraId="51A49EA3">
                  <w:pPr>
                    <w:widowControl w:val="0"/>
                    <w:overflowPunct w:val="0"/>
                    <w:autoSpaceDE w:val="0"/>
                    <w:autoSpaceDN w:val="0"/>
                    <w:snapToGrid w:val="0"/>
                    <w:jc w:val="center"/>
                    <w:rPr>
                      <w:color w:val="auto"/>
                      <w14:ligatures w14:val="standardContextual"/>
                    </w:rPr>
                  </w:pPr>
                </w:p>
              </w:tc>
            </w:tr>
            <w:tr w14:paraId="7DDB7A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167" w:type="dxa"/>
                  <w:vAlign w:val="center"/>
                </w:tcPr>
                <w:p w14:paraId="075790A1">
                  <w:pPr>
                    <w:widowControl w:val="0"/>
                    <w:overflowPunct w:val="0"/>
                    <w:autoSpaceDE w:val="0"/>
                    <w:autoSpaceDN w:val="0"/>
                    <w:snapToGrid w:val="0"/>
                    <w:jc w:val="center"/>
                    <w:rPr>
                      <w:color w:val="auto"/>
                      <w14:ligatures w14:val="standardContextual"/>
                    </w:rPr>
                  </w:pPr>
                  <w:r>
                    <w:rPr>
                      <w:rFonts w:hint="eastAsia"/>
                      <w:color w:val="auto"/>
                      <w14:ligatures w14:val="standardContextual"/>
                    </w:rPr>
                    <w:t>废土料</w:t>
                  </w:r>
                </w:p>
              </w:tc>
              <w:tc>
                <w:tcPr>
                  <w:tcW w:w="900" w:type="dxa"/>
                  <w:vAlign w:val="center"/>
                </w:tcPr>
                <w:p w14:paraId="4554234A">
                  <w:pPr>
                    <w:widowControl w:val="0"/>
                    <w:overflowPunct w:val="0"/>
                    <w:autoSpaceDE w:val="0"/>
                    <w:autoSpaceDN w:val="0"/>
                    <w:snapToGrid w:val="0"/>
                    <w:jc w:val="center"/>
                    <w:rPr>
                      <w:color w:val="auto"/>
                      <w14:ligatures w14:val="standardContextual"/>
                    </w:rPr>
                  </w:pPr>
                </w:p>
              </w:tc>
              <w:tc>
                <w:tcPr>
                  <w:tcW w:w="1971" w:type="dxa"/>
                  <w:vAlign w:val="center"/>
                </w:tcPr>
                <w:p w14:paraId="47DAAD91">
                  <w:pPr>
                    <w:widowControl w:val="0"/>
                    <w:overflowPunct w:val="0"/>
                    <w:autoSpaceDE w:val="0"/>
                    <w:autoSpaceDN w:val="0"/>
                    <w:snapToGrid w:val="0"/>
                    <w:jc w:val="center"/>
                    <w:rPr>
                      <w:color w:val="auto"/>
                      <w14:ligatures w14:val="standardContextual"/>
                    </w:rPr>
                  </w:pPr>
                  <w:r>
                    <w:rPr>
                      <w:color w:val="auto"/>
                      <w14:ligatures w14:val="standardContextual"/>
                    </w:rPr>
                    <w:t>SW70</w:t>
                  </w:r>
                </w:p>
              </w:tc>
              <w:tc>
                <w:tcPr>
                  <w:tcW w:w="835" w:type="dxa"/>
                  <w:vAlign w:val="center"/>
                </w:tcPr>
                <w:p w14:paraId="2B416BCB">
                  <w:pPr>
                    <w:widowControl w:val="0"/>
                    <w:overflowPunct w:val="0"/>
                    <w:autoSpaceDE w:val="0"/>
                    <w:autoSpaceDN w:val="0"/>
                    <w:snapToGrid w:val="0"/>
                    <w:jc w:val="center"/>
                    <w:rPr>
                      <w:color w:val="auto"/>
                      <w14:ligatures w14:val="standardContextual"/>
                    </w:rPr>
                  </w:pPr>
                  <w:r>
                    <w:rPr>
                      <w:color w:val="auto"/>
                      <w14:ligatures w14:val="standardContextual"/>
                    </w:rPr>
                    <w:t>固态</w:t>
                  </w:r>
                </w:p>
              </w:tc>
              <w:tc>
                <w:tcPr>
                  <w:tcW w:w="902" w:type="dxa"/>
                  <w:vAlign w:val="center"/>
                </w:tcPr>
                <w:p w14:paraId="07D1159A">
                  <w:pPr>
                    <w:widowControl w:val="0"/>
                    <w:overflowPunct w:val="0"/>
                    <w:autoSpaceDE w:val="0"/>
                    <w:autoSpaceDN w:val="0"/>
                    <w:snapToGrid w:val="0"/>
                    <w:jc w:val="center"/>
                    <w:rPr>
                      <w:color w:val="auto"/>
                      <w14:ligatures w14:val="standardContextual"/>
                    </w:rPr>
                  </w:pPr>
                  <w:r>
                    <w:rPr>
                      <w:color w:val="auto"/>
                      <w14:ligatures w14:val="standardContextual"/>
                    </w:rPr>
                    <w:t>712</w:t>
                  </w:r>
                  <w:r>
                    <w:rPr>
                      <w:rFonts w:hint="eastAsia"/>
                      <w:color w:val="auto"/>
                      <w14:ligatures w14:val="standardContextual"/>
                    </w:rPr>
                    <w:t>3.353</w:t>
                  </w:r>
                </w:p>
              </w:tc>
              <w:tc>
                <w:tcPr>
                  <w:tcW w:w="1143" w:type="dxa"/>
                  <w:vAlign w:val="center"/>
                </w:tcPr>
                <w:p w14:paraId="7B367A07">
                  <w:pPr>
                    <w:widowControl w:val="0"/>
                    <w:overflowPunct w:val="0"/>
                    <w:autoSpaceDE w:val="0"/>
                    <w:autoSpaceDN w:val="0"/>
                    <w:snapToGrid w:val="0"/>
                    <w:jc w:val="center"/>
                    <w:rPr>
                      <w:color w:val="auto"/>
                      <w14:ligatures w14:val="standardContextual"/>
                    </w:rPr>
                  </w:pPr>
                  <w:r>
                    <w:rPr>
                      <w:color w:val="auto"/>
                      <w14:ligatures w14:val="standardContextual"/>
                    </w:rPr>
                    <w:t>712</w:t>
                  </w:r>
                  <w:r>
                    <w:rPr>
                      <w:rFonts w:hint="eastAsia"/>
                      <w:color w:val="auto"/>
                      <w14:ligatures w14:val="standardContextual"/>
                    </w:rPr>
                    <w:t>3.353</w:t>
                  </w:r>
                </w:p>
              </w:tc>
              <w:tc>
                <w:tcPr>
                  <w:tcW w:w="1025" w:type="dxa"/>
                  <w:vMerge w:val="continue"/>
                  <w:vAlign w:val="center"/>
                </w:tcPr>
                <w:p w14:paraId="73F44A83">
                  <w:pPr>
                    <w:widowControl w:val="0"/>
                    <w:overflowPunct w:val="0"/>
                    <w:autoSpaceDE w:val="0"/>
                    <w:autoSpaceDN w:val="0"/>
                    <w:snapToGrid w:val="0"/>
                    <w:jc w:val="center"/>
                    <w:rPr>
                      <w:color w:val="auto"/>
                      <w14:ligatures w14:val="standardContextual"/>
                    </w:rPr>
                  </w:pPr>
                </w:p>
              </w:tc>
            </w:tr>
            <w:tr w14:paraId="19EC73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167" w:type="dxa"/>
                  <w:vAlign w:val="center"/>
                </w:tcPr>
                <w:p w14:paraId="68300E46">
                  <w:pPr>
                    <w:widowControl w:val="0"/>
                    <w:overflowPunct w:val="0"/>
                    <w:autoSpaceDE w:val="0"/>
                    <w:autoSpaceDN w:val="0"/>
                    <w:snapToGrid w:val="0"/>
                    <w:jc w:val="center"/>
                    <w:rPr>
                      <w:color w:val="auto"/>
                      <w14:ligatures w14:val="standardContextual"/>
                    </w:rPr>
                  </w:pPr>
                  <w:bookmarkStart w:id="87" w:name="_Hlk191859217"/>
                  <w:r>
                    <w:rPr>
                      <w:rFonts w:hint="eastAsia"/>
                      <w:color w:val="auto"/>
                      <w14:ligatures w14:val="standardContextual"/>
                    </w:rPr>
                    <w:t>废矿物油</w:t>
                  </w:r>
                </w:p>
              </w:tc>
              <w:tc>
                <w:tcPr>
                  <w:tcW w:w="900" w:type="dxa"/>
                  <w:vMerge w:val="restart"/>
                  <w:vAlign w:val="center"/>
                </w:tcPr>
                <w:p w14:paraId="16A08433">
                  <w:pPr>
                    <w:widowControl w:val="0"/>
                    <w:overflowPunct w:val="0"/>
                    <w:autoSpaceDE w:val="0"/>
                    <w:autoSpaceDN w:val="0"/>
                    <w:snapToGrid w:val="0"/>
                    <w:jc w:val="center"/>
                    <w:rPr>
                      <w:color w:val="auto"/>
                      <w14:ligatures w14:val="standardContextual"/>
                    </w:rPr>
                  </w:pPr>
                  <w:r>
                    <w:rPr>
                      <w:rFonts w:hint="eastAsia"/>
                      <w:color w:val="auto"/>
                      <w14:ligatures w14:val="standardContextual"/>
                    </w:rPr>
                    <w:t>危险废物</w:t>
                  </w:r>
                </w:p>
              </w:tc>
              <w:tc>
                <w:tcPr>
                  <w:tcW w:w="1971" w:type="dxa"/>
                  <w:vAlign w:val="center"/>
                </w:tcPr>
                <w:p w14:paraId="26FC5A2B">
                  <w:pPr>
                    <w:widowControl w:val="0"/>
                    <w:overflowPunct w:val="0"/>
                    <w:autoSpaceDE w:val="0"/>
                    <w:autoSpaceDN w:val="0"/>
                    <w:snapToGrid w:val="0"/>
                    <w:jc w:val="center"/>
                    <w:rPr>
                      <w:color w:val="auto"/>
                      <w14:ligatures w14:val="standardContextual"/>
                    </w:rPr>
                  </w:pPr>
                  <w:r>
                    <w:rPr>
                      <w:color w:val="auto"/>
                      <w14:ligatures w14:val="standardContextual"/>
                    </w:rPr>
                    <w:t>900-214-08</w:t>
                  </w:r>
                </w:p>
              </w:tc>
              <w:tc>
                <w:tcPr>
                  <w:tcW w:w="835" w:type="dxa"/>
                  <w:vAlign w:val="center"/>
                </w:tcPr>
                <w:p w14:paraId="3A1BDB98">
                  <w:pPr>
                    <w:widowControl w:val="0"/>
                    <w:overflowPunct w:val="0"/>
                    <w:autoSpaceDE w:val="0"/>
                    <w:autoSpaceDN w:val="0"/>
                    <w:snapToGrid w:val="0"/>
                    <w:jc w:val="center"/>
                    <w:rPr>
                      <w:color w:val="auto"/>
                      <w14:ligatures w14:val="standardContextual"/>
                    </w:rPr>
                  </w:pPr>
                  <w:r>
                    <w:rPr>
                      <w:rFonts w:hint="eastAsia"/>
                      <w:color w:val="auto"/>
                      <w14:ligatures w14:val="standardContextual"/>
                    </w:rPr>
                    <w:t>液态</w:t>
                  </w:r>
                </w:p>
              </w:tc>
              <w:tc>
                <w:tcPr>
                  <w:tcW w:w="902" w:type="dxa"/>
                  <w:vAlign w:val="center"/>
                </w:tcPr>
                <w:p w14:paraId="59C423FE">
                  <w:pPr>
                    <w:widowControl w:val="0"/>
                    <w:overflowPunct w:val="0"/>
                    <w:autoSpaceDE w:val="0"/>
                    <w:autoSpaceDN w:val="0"/>
                    <w:snapToGrid w:val="0"/>
                    <w:jc w:val="center"/>
                    <w:rPr>
                      <w:color w:val="auto"/>
                      <w14:ligatures w14:val="standardContextual"/>
                    </w:rPr>
                  </w:pPr>
                  <w:r>
                    <w:rPr>
                      <w:rFonts w:hint="eastAsia"/>
                      <w:color w:val="auto"/>
                      <w14:ligatures w14:val="standardContextual"/>
                    </w:rPr>
                    <w:t>0.5</w:t>
                  </w:r>
                </w:p>
              </w:tc>
              <w:tc>
                <w:tcPr>
                  <w:tcW w:w="1143" w:type="dxa"/>
                  <w:vAlign w:val="center"/>
                </w:tcPr>
                <w:p w14:paraId="54A5B5F1">
                  <w:pPr>
                    <w:widowControl w:val="0"/>
                    <w:overflowPunct w:val="0"/>
                    <w:autoSpaceDE w:val="0"/>
                    <w:autoSpaceDN w:val="0"/>
                    <w:snapToGrid w:val="0"/>
                    <w:jc w:val="center"/>
                    <w:rPr>
                      <w:color w:val="auto"/>
                      <w14:ligatures w14:val="standardContextual"/>
                    </w:rPr>
                  </w:pPr>
                  <w:r>
                    <w:rPr>
                      <w:rFonts w:hint="eastAsia"/>
                      <w:color w:val="auto"/>
                      <w14:ligatures w14:val="standardContextual"/>
                    </w:rPr>
                    <w:t>0.5</w:t>
                  </w:r>
                </w:p>
              </w:tc>
              <w:tc>
                <w:tcPr>
                  <w:tcW w:w="1025" w:type="dxa"/>
                  <w:vMerge w:val="restart"/>
                  <w:vAlign w:val="center"/>
                </w:tcPr>
                <w:p w14:paraId="7441C340">
                  <w:pPr>
                    <w:widowControl w:val="0"/>
                    <w:overflowPunct w:val="0"/>
                    <w:autoSpaceDE w:val="0"/>
                    <w:autoSpaceDN w:val="0"/>
                    <w:snapToGrid w:val="0"/>
                    <w:jc w:val="center"/>
                    <w:rPr>
                      <w:color w:val="auto"/>
                      <w14:ligatures w14:val="standardContextual"/>
                    </w:rPr>
                  </w:pPr>
                  <w:r>
                    <w:rPr>
                      <w:rFonts w:hint="eastAsia"/>
                      <w:color w:val="auto"/>
                      <w14:ligatures w14:val="standardContextual"/>
                    </w:rPr>
                    <w:t>收集后于危废间，定期委托有资质的单位处置</w:t>
                  </w:r>
                </w:p>
              </w:tc>
            </w:tr>
            <w:tr w14:paraId="142C12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167" w:type="dxa"/>
                  <w:vAlign w:val="center"/>
                </w:tcPr>
                <w:p w14:paraId="1F0E219D">
                  <w:pPr>
                    <w:widowControl w:val="0"/>
                    <w:overflowPunct w:val="0"/>
                    <w:autoSpaceDE w:val="0"/>
                    <w:autoSpaceDN w:val="0"/>
                    <w:snapToGrid w:val="0"/>
                    <w:jc w:val="center"/>
                    <w:rPr>
                      <w:color w:val="auto"/>
                      <w14:ligatures w14:val="standardContextual"/>
                    </w:rPr>
                  </w:pPr>
                  <w:r>
                    <w:rPr>
                      <w:rFonts w:hint="eastAsia"/>
                      <w:color w:val="auto"/>
                      <w14:ligatures w14:val="standardContextual"/>
                    </w:rPr>
                    <w:t>废油桶</w:t>
                  </w:r>
                </w:p>
              </w:tc>
              <w:tc>
                <w:tcPr>
                  <w:tcW w:w="900" w:type="dxa"/>
                  <w:vMerge w:val="continue"/>
                  <w:vAlign w:val="center"/>
                </w:tcPr>
                <w:p w14:paraId="7C2C42D2">
                  <w:pPr>
                    <w:widowControl w:val="0"/>
                    <w:overflowPunct w:val="0"/>
                    <w:autoSpaceDE w:val="0"/>
                    <w:autoSpaceDN w:val="0"/>
                    <w:snapToGrid w:val="0"/>
                    <w:jc w:val="center"/>
                    <w:rPr>
                      <w:color w:val="auto"/>
                      <w14:ligatures w14:val="standardContextual"/>
                    </w:rPr>
                  </w:pPr>
                </w:p>
              </w:tc>
              <w:tc>
                <w:tcPr>
                  <w:tcW w:w="1971" w:type="dxa"/>
                  <w:vAlign w:val="center"/>
                </w:tcPr>
                <w:p w14:paraId="490C7ABC">
                  <w:pPr>
                    <w:widowControl w:val="0"/>
                    <w:overflowPunct w:val="0"/>
                    <w:autoSpaceDE w:val="0"/>
                    <w:autoSpaceDN w:val="0"/>
                    <w:snapToGrid w:val="0"/>
                    <w:jc w:val="center"/>
                    <w:rPr>
                      <w:color w:val="auto"/>
                      <w14:ligatures w14:val="standardContextual"/>
                    </w:rPr>
                  </w:pPr>
                  <w:r>
                    <w:rPr>
                      <w:color w:val="auto"/>
                      <w14:ligatures w14:val="standardContextual"/>
                    </w:rPr>
                    <w:t>900-249-08</w:t>
                  </w:r>
                </w:p>
              </w:tc>
              <w:tc>
                <w:tcPr>
                  <w:tcW w:w="835" w:type="dxa"/>
                  <w:vAlign w:val="center"/>
                </w:tcPr>
                <w:p w14:paraId="7ECD4F4A">
                  <w:pPr>
                    <w:widowControl w:val="0"/>
                    <w:overflowPunct w:val="0"/>
                    <w:autoSpaceDE w:val="0"/>
                    <w:autoSpaceDN w:val="0"/>
                    <w:snapToGrid w:val="0"/>
                    <w:jc w:val="center"/>
                    <w:rPr>
                      <w:color w:val="auto"/>
                      <w14:ligatures w14:val="standardContextual"/>
                    </w:rPr>
                  </w:pPr>
                  <w:r>
                    <w:rPr>
                      <w:color w:val="auto"/>
                      <w14:ligatures w14:val="standardContextual"/>
                    </w:rPr>
                    <w:t>固态</w:t>
                  </w:r>
                </w:p>
              </w:tc>
              <w:tc>
                <w:tcPr>
                  <w:tcW w:w="902" w:type="dxa"/>
                  <w:vAlign w:val="center"/>
                </w:tcPr>
                <w:p w14:paraId="2567D7A6">
                  <w:pPr>
                    <w:widowControl w:val="0"/>
                    <w:overflowPunct w:val="0"/>
                    <w:autoSpaceDE w:val="0"/>
                    <w:autoSpaceDN w:val="0"/>
                    <w:snapToGrid w:val="0"/>
                    <w:jc w:val="center"/>
                    <w:rPr>
                      <w:color w:val="auto"/>
                      <w14:ligatures w14:val="standardContextual"/>
                    </w:rPr>
                  </w:pPr>
                  <w:r>
                    <w:rPr>
                      <w:rFonts w:hint="eastAsia"/>
                      <w:color w:val="auto"/>
                      <w14:ligatures w14:val="standardContextual"/>
                    </w:rPr>
                    <w:t>0.1</w:t>
                  </w:r>
                </w:p>
              </w:tc>
              <w:tc>
                <w:tcPr>
                  <w:tcW w:w="1143" w:type="dxa"/>
                  <w:vAlign w:val="center"/>
                </w:tcPr>
                <w:p w14:paraId="1BC8C842">
                  <w:pPr>
                    <w:widowControl w:val="0"/>
                    <w:overflowPunct w:val="0"/>
                    <w:autoSpaceDE w:val="0"/>
                    <w:autoSpaceDN w:val="0"/>
                    <w:snapToGrid w:val="0"/>
                    <w:jc w:val="center"/>
                    <w:rPr>
                      <w:color w:val="auto"/>
                      <w14:ligatures w14:val="standardContextual"/>
                    </w:rPr>
                  </w:pPr>
                  <w:r>
                    <w:rPr>
                      <w:rFonts w:hint="eastAsia"/>
                      <w:color w:val="auto"/>
                      <w14:ligatures w14:val="standardContextual"/>
                    </w:rPr>
                    <w:t>0.1</w:t>
                  </w:r>
                </w:p>
              </w:tc>
              <w:tc>
                <w:tcPr>
                  <w:tcW w:w="1025" w:type="dxa"/>
                  <w:vMerge w:val="continue"/>
                  <w:vAlign w:val="center"/>
                </w:tcPr>
                <w:p w14:paraId="00B7545D">
                  <w:pPr>
                    <w:widowControl w:val="0"/>
                    <w:overflowPunct w:val="0"/>
                    <w:autoSpaceDE w:val="0"/>
                    <w:autoSpaceDN w:val="0"/>
                    <w:snapToGrid w:val="0"/>
                    <w:jc w:val="center"/>
                    <w:rPr>
                      <w:color w:val="auto"/>
                      <w14:ligatures w14:val="standardContextual"/>
                    </w:rPr>
                  </w:pPr>
                </w:p>
              </w:tc>
            </w:tr>
            <w:tr w14:paraId="3CFEFE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167" w:type="dxa"/>
                  <w:vAlign w:val="center"/>
                </w:tcPr>
                <w:p w14:paraId="2EEF59AD">
                  <w:pPr>
                    <w:widowControl w:val="0"/>
                    <w:overflowPunct w:val="0"/>
                    <w:autoSpaceDE w:val="0"/>
                    <w:autoSpaceDN w:val="0"/>
                    <w:snapToGrid w:val="0"/>
                    <w:jc w:val="center"/>
                    <w:rPr>
                      <w:color w:val="auto"/>
                      <w14:ligatures w14:val="standardContextual"/>
                    </w:rPr>
                  </w:pPr>
                  <w:r>
                    <w:rPr>
                      <w:rFonts w:hint="eastAsia"/>
                      <w:color w:val="auto"/>
                      <w14:ligatures w14:val="standardContextual"/>
                    </w:rPr>
                    <w:t>废含油抹布和手套</w:t>
                  </w:r>
                </w:p>
              </w:tc>
              <w:tc>
                <w:tcPr>
                  <w:tcW w:w="900" w:type="dxa"/>
                  <w:vMerge w:val="continue"/>
                  <w:vAlign w:val="center"/>
                </w:tcPr>
                <w:p w14:paraId="2F4FFD91">
                  <w:pPr>
                    <w:widowControl w:val="0"/>
                    <w:overflowPunct w:val="0"/>
                    <w:autoSpaceDE w:val="0"/>
                    <w:autoSpaceDN w:val="0"/>
                    <w:snapToGrid w:val="0"/>
                    <w:jc w:val="center"/>
                    <w:rPr>
                      <w:color w:val="auto"/>
                      <w14:ligatures w14:val="standardContextual"/>
                    </w:rPr>
                  </w:pPr>
                </w:p>
              </w:tc>
              <w:tc>
                <w:tcPr>
                  <w:tcW w:w="1971" w:type="dxa"/>
                  <w:vAlign w:val="center"/>
                </w:tcPr>
                <w:p w14:paraId="2ABF749A">
                  <w:pPr>
                    <w:widowControl w:val="0"/>
                    <w:overflowPunct w:val="0"/>
                    <w:autoSpaceDE w:val="0"/>
                    <w:autoSpaceDN w:val="0"/>
                    <w:snapToGrid w:val="0"/>
                    <w:jc w:val="center"/>
                    <w:rPr>
                      <w:color w:val="auto"/>
                      <w14:ligatures w14:val="standardContextual"/>
                    </w:rPr>
                  </w:pPr>
                  <w:r>
                    <w:rPr>
                      <w:color w:val="auto"/>
                      <w14:ligatures w14:val="standardContextual"/>
                    </w:rPr>
                    <w:t>900-041-49</w:t>
                  </w:r>
                </w:p>
              </w:tc>
              <w:tc>
                <w:tcPr>
                  <w:tcW w:w="835" w:type="dxa"/>
                  <w:vAlign w:val="center"/>
                </w:tcPr>
                <w:p w14:paraId="0DE8F205">
                  <w:pPr>
                    <w:widowControl w:val="0"/>
                    <w:overflowPunct w:val="0"/>
                    <w:autoSpaceDE w:val="0"/>
                    <w:autoSpaceDN w:val="0"/>
                    <w:snapToGrid w:val="0"/>
                    <w:jc w:val="center"/>
                    <w:rPr>
                      <w:color w:val="auto"/>
                      <w14:ligatures w14:val="standardContextual"/>
                    </w:rPr>
                  </w:pPr>
                  <w:r>
                    <w:rPr>
                      <w:color w:val="auto"/>
                      <w14:ligatures w14:val="standardContextual"/>
                    </w:rPr>
                    <w:t>固态</w:t>
                  </w:r>
                </w:p>
              </w:tc>
              <w:tc>
                <w:tcPr>
                  <w:tcW w:w="902" w:type="dxa"/>
                  <w:vAlign w:val="center"/>
                </w:tcPr>
                <w:p w14:paraId="3C995487">
                  <w:pPr>
                    <w:widowControl w:val="0"/>
                    <w:overflowPunct w:val="0"/>
                    <w:autoSpaceDE w:val="0"/>
                    <w:autoSpaceDN w:val="0"/>
                    <w:snapToGrid w:val="0"/>
                    <w:jc w:val="center"/>
                    <w:rPr>
                      <w:color w:val="auto"/>
                      <w14:ligatures w14:val="standardContextual"/>
                    </w:rPr>
                  </w:pPr>
                  <w:r>
                    <w:rPr>
                      <w:rFonts w:hint="eastAsia"/>
                      <w:color w:val="auto"/>
                      <w14:ligatures w14:val="standardContextual"/>
                    </w:rPr>
                    <w:t>0.01</w:t>
                  </w:r>
                </w:p>
              </w:tc>
              <w:tc>
                <w:tcPr>
                  <w:tcW w:w="1143" w:type="dxa"/>
                  <w:vAlign w:val="center"/>
                </w:tcPr>
                <w:p w14:paraId="614C870C">
                  <w:pPr>
                    <w:widowControl w:val="0"/>
                    <w:overflowPunct w:val="0"/>
                    <w:autoSpaceDE w:val="0"/>
                    <w:autoSpaceDN w:val="0"/>
                    <w:snapToGrid w:val="0"/>
                    <w:jc w:val="center"/>
                    <w:rPr>
                      <w:color w:val="auto"/>
                      <w14:ligatures w14:val="standardContextual"/>
                    </w:rPr>
                  </w:pPr>
                  <w:r>
                    <w:rPr>
                      <w:rFonts w:hint="eastAsia"/>
                      <w:color w:val="auto"/>
                      <w14:ligatures w14:val="standardContextual"/>
                    </w:rPr>
                    <w:t>0.01</w:t>
                  </w:r>
                </w:p>
              </w:tc>
              <w:tc>
                <w:tcPr>
                  <w:tcW w:w="1025" w:type="dxa"/>
                  <w:vMerge w:val="continue"/>
                  <w:vAlign w:val="center"/>
                </w:tcPr>
                <w:p w14:paraId="4FE5C68D">
                  <w:pPr>
                    <w:widowControl w:val="0"/>
                    <w:overflowPunct w:val="0"/>
                    <w:autoSpaceDE w:val="0"/>
                    <w:autoSpaceDN w:val="0"/>
                    <w:snapToGrid w:val="0"/>
                    <w:jc w:val="center"/>
                    <w:rPr>
                      <w:color w:val="auto"/>
                      <w14:ligatures w14:val="standardContextual"/>
                    </w:rPr>
                  </w:pPr>
                </w:p>
              </w:tc>
            </w:tr>
            <w:tr w14:paraId="4857A5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167" w:type="dxa"/>
                  <w:vAlign w:val="center"/>
                </w:tcPr>
                <w:p w14:paraId="79D76A72">
                  <w:pPr>
                    <w:widowControl w:val="0"/>
                    <w:overflowPunct w:val="0"/>
                    <w:autoSpaceDE w:val="0"/>
                    <w:autoSpaceDN w:val="0"/>
                    <w:snapToGrid w:val="0"/>
                    <w:jc w:val="center"/>
                    <w:rPr>
                      <w:color w:val="auto"/>
                      <w14:ligatures w14:val="standardContextual"/>
                    </w:rPr>
                  </w:pPr>
                  <w:r>
                    <w:rPr>
                      <w:rFonts w:hint="eastAsia"/>
                      <w:color w:val="auto"/>
                      <w14:ligatures w14:val="standardContextual"/>
                    </w:rPr>
                    <w:t>生活垃圾</w:t>
                  </w:r>
                </w:p>
              </w:tc>
              <w:tc>
                <w:tcPr>
                  <w:tcW w:w="900" w:type="dxa"/>
                  <w:vAlign w:val="center"/>
                </w:tcPr>
                <w:p w14:paraId="581B8CF0">
                  <w:pPr>
                    <w:widowControl w:val="0"/>
                    <w:overflowPunct w:val="0"/>
                    <w:autoSpaceDE w:val="0"/>
                    <w:autoSpaceDN w:val="0"/>
                    <w:snapToGrid w:val="0"/>
                    <w:jc w:val="center"/>
                    <w:rPr>
                      <w:color w:val="auto"/>
                      <w14:ligatures w14:val="standardContextual"/>
                    </w:rPr>
                  </w:pPr>
                  <w:r>
                    <w:rPr>
                      <w:rFonts w:hint="eastAsia"/>
                      <w:color w:val="auto"/>
                      <w14:ligatures w14:val="standardContextual"/>
                    </w:rPr>
                    <w:t>生活垃圾</w:t>
                  </w:r>
                </w:p>
              </w:tc>
              <w:tc>
                <w:tcPr>
                  <w:tcW w:w="1971" w:type="dxa"/>
                  <w:vAlign w:val="center"/>
                </w:tcPr>
                <w:p w14:paraId="33FABC9D">
                  <w:pPr>
                    <w:widowControl w:val="0"/>
                    <w:overflowPunct w:val="0"/>
                    <w:autoSpaceDE w:val="0"/>
                    <w:autoSpaceDN w:val="0"/>
                    <w:snapToGrid w:val="0"/>
                    <w:jc w:val="center"/>
                    <w:rPr>
                      <w:color w:val="auto"/>
                      <w14:ligatures w14:val="standardContextual"/>
                    </w:rPr>
                  </w:pPr>
                  <w:r>
                    <w:rPr>
                      <w:rFonts w:hint="eastAsia"/>
                      <w:color w:val="auto"/>
                      <w14:ligatures w14:val="standardContextual"/>
                    </w:rPr>
                    <w:t>/</w:t>
                  </w:r>
                </w:p>
              </w:tc>
              <w:tc>
                <w:tcPr>
                  <w:tcW w:w="835" w:type="dxa"/>
                  <w:vAlign w:val="center"/>
                </w:tcPr>
                <w:p w14:paraId="35229C51">
                  <w:pPr>
                    <w:widowControl w:val="0"/>
                    <w:overflowPunct w:val="0"/>
                    <w:autoSpaceDE w:val="0"/>
                    <w:autoSpaceDN w:val="0"/>
                    <w:snapToGrid w:val="0"/>
                    <w:jc w:val="center"/>
                    <w:rPr>
                      <w:color w:val="auto"/>
                      <w14:ligatures w14:val="standardContextual"/>
                    </w:rPr>
                  </w:pPr>
                  <w:r>
                    <w:rPr>
                      <w:color w:val="auto"/>
                      <w14:ligatures w14:val="standardContextual"/>
                    </w:rPr>
                    <w:t>固态</w:t>
                  </w:r>
                </w:p>
              </w:tc>
              <w:tc>
                <w:tcPr>
                  <w:tcW w:w="902" w:type="dxa"/>
                  <w:vAlign w:val="center"/>
                </w:tcPr>
                <w:p w14:paraId="0BD39BA2">
                  <w:pPr>
                    <w:widowControl w:val="0"/>
                    <w:overflowPunct w:val="0"/>
                    <w:autoSpaceDE w:val="0"/>
                    <w:autoSpaceDN w:val="0"/>
                    <w:snapToGrid w:val="0"/>
                    <w:jc w:val="center"/>
                    <w:rPr>
                      <w:color w:val="auto"/>
                      <w14:ligatures w14:val="standardContextual"/>
                    </w:rPr>
                  </w:pPr>
                  <w:r>
                    <w:rPr>
                      <w:rFonts w:hint="eastAsia"/>
                      <w:color w:val="auto"/>
                      <w14:ligatures w14:val="standardContextual"/>
                    </w:rPr>
                    <w:t>0.9</w:t>
                  </w:r>
                </w:p>
              </w:tc>
              <w:tc>
                <w:tcPr>
                  <w:tcW w:w="1143" w:type="dxa"/>
                  <w:vAlign w:val="center"/>
                </w:tcPr>
                <w:p w14:paraId="50063EE9">
                  <w:pPr>
                    <w:widowControl w:val="0"/>
                    <w:overflowPunct w:val="0"/>
                    <w:autoSpaceDE w:val="0"/>
                    <w:autoSpaceDN w:val="0"/>
                    <w:snapToGrid w:val="0"/>
                    <w:jc w:val="center"/>
                    <w:rPr>
                      <w:color w:val="auto"/>
                      <w14:ligatures w14:val="standardContextual"/>
                    </w:rPr>
                  </w:pPr>
                  <w:r>
                    <w:rPr>
                      <w:rFonts w:hint="eastAsia"/>
                      <w:color w:val="auto"/>
                      <w14:ligatures w14:val="standardContextual"/>
                    </w:rPr>
                    <w:t>0.9</w:t>
                  </w:r>
                </w:p>
              </w:tc>
              <w:tc>
                <w:tcPr>
                  <w:tcW w:w="1025" w:type="dxa"/>
                  <w:vAlign w:val="center"/>
                </w:tcPr>
                <w:p w14:paraId="1AA85F2B">
                  <w:pPr>
                    <w:widowControl w:val="0"/>
                    <w:overflowPunct w:val="0"/>
                    <w:autoSpaceDE w:val="0"/>
                    <w:autoSpaceDN w:val="0"/>
                    <w:snapToGrid w:val="0"/>
                    <w:jc w:val="center"/>
                    <w:rPr>
                      <w:color w:val="auto"/>
                      <w14:ligatures w14:val="standardContextual"/>
                    </w:rPr>
                  </w:pPr>
                  <w:r>
                    <w:rPr>
                      <w:rFonts w:hint="eastAsia"/>
                      <w:color w:val="auto"/>
                      <w14:ligatures w14:val="standardContextual"/>
                    </w:rPr>
                    <w:t>交由环卫部门处置</w:t>
                  </w:r>
                </w:p>
              </w:tc>
            </w:tr>
            <w:bookmarkEnd w:id="87"/>
          </w:tbl>
          <w:p w14:paraId="08D2782E">
            <w:pPr>
              <w:pStyle w:val="3"/>
              <w:ind w:firstLine="482"/>
              <w:rPr>
                <w:b/>
                <w:bCs/>
              </w:rPr>
            </w:pPr>
            <w:bookmarkStart w:id="88" w:name="_Ref175583056"/>
            <w:r>
              <w:rPr>
                <w:rFonts w:hint="eastAsia"/>
                <w:b/>
                <w:bCs/>
              </w:rPr>
              <w:t>2、固废处置、暂存影响分析</w:t>
            </w:r>
          </w:p>
          <w:p w14:paraId="0D592806">
            <w:pPr>
              <w:pStyle w:val="3"/>
              <w:ind w:firstLine="480"/>
            </w:pPr>
            <w:r>
              <w:rPr>
                <w:rFonts w:hint="eastAsia"/>
              </w:rPr>
              <w:t>1）一般固废</w:t>
            </w:r>
          </w:p>
          <w:p w14:paraId="30612135">
            <w:pPr>
              <w:pStyle w:val="48"/>
            </w:pPr>
            <w:bookmarkStart w:id="89" w:name="OLE_LINK55"/>
            <w:r>
              <w:rPr>
                <w:rFonts w:hint="eastAsia"/>
              </w:rPr>
              <w:t xml:space="preserve">表4- </w:t>
            </w:r>
            <w:r>
              <w:fldChar w:fldCharType="begin"/>
            </w:r>
            <w:r>
              <w:instrText xml:space="preserve"> </w:instrText>
            </w:r>
            <w:r>
              <w:rPr>
                <w:rFonts w:hint="eastAsia"/>
              </w:rPr>
              <w:instrText xml:space="preserve">SEQ 表4- \* ARABIC</w:instrText>
            </w:r>
            <w:r>
              <w:instrText xml:space="preserve"> </w:instrText>
            </w:r>
            <w:r>
              <w:fldChar w:fldCharType="separate"/>
            </w:r>
            <w:r>
              <w:t>16</w:t>
            </w:r>
            <w:r>
              <w:fldChar w:fldCharType="end"/>
            </w:r>
            <w:bookmarkEnd w:id="88"/>
            <w:r>
              <w:rPr>
                <w:rFonts w:hint="eastAsia"/>
              </w:rPr>
              <w:t>：</w:t>
            </w:r>
            <w:bookmarkEnd w:id="89"/>
            <w:r>
              <w:rPr>
                <w:rFonts w:hint="eastAsia"/>
              </w:rPr>
              <w:t>项目一般固废贮存场所（设施）基本情况一览表</w:t>
            </w:r>
          </w:p>
          <w:tbl>
            <w:tblPr>
              <w:tblStyle w:val="49"/>
              <w:tblW w:w="79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623"/>
              <w:gridCol w:w="1677"/>
              <w:gridCol w:w="1694"/>
              <w:gridCol w:w="1122"/>
              <w:gridCol w:w="1124"/>
              <w:gridCol w:w="718"/>
              <w:gridCol w:w="980"/>
            </w:tblGrid>
            <w:tr w14:paraId="3A98B8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3" w:type="pc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1943BC7B">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default" w:ascii="Times New Roman" w:hAnsi="Times New Roman" w:eastAsia="宋体" w:cs="Times New Roman"/>
                      <w:b/>
                      <w:i w:val="0"/>
                      <w14:ligatures w14:val="standardContextual"/>
                    </w:rPr>
                    <w:t>序号</w:t>
                  </w:r>
                </w:p>
              </w:tc>
              <w:tc>
                <w:tcPr>
                  <w:tcW w:w="1056"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56A2866F">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一般贮存场所（设施）名称</w:t>
                  </w:r>
                </w:p>
              </w:tc>
              <w:tc>
                <w:tcPr>
                  <w:tcW w:w="1067"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340C42AA">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位置</w:t>
                  </w:r>
                </w:p>
              </w:tc>
              <w:tc>
                <w:tcPr>
                  <w:tcW w:w="707"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556654A4">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占地面积</w:t>
                  </w:r>
                </w:p>
              </w:tc>
              <w:tc>
                <w:tcPr>
                  <w:tcW w:w="708"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51C9EC19">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贮存方式</w:t>
                  </w:r>
                </w:p>
              </w:tc>
              <w:tc>
                <w:tcPr>
                  <w:tcW w:w="452"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4A7350BA">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最大贮存</w:t>
                  </w:r>
                </w:p>
              </w:tc>
              <w:tc>
                <w:tcPr>
                  <w:tcW w:w="617" w:type="pct"/>
                  <w:tcBorders>
                    <w:top w:val="single" w:color="auto" w:sz="12" w:space="0"/>
                    <w:bottom w:val="single" w:color="auto" w:sz="12" w:space="0"/>
                    <w:right w:val="nil"/>
                    <w:insideH w:val="single" w:sz="12" w:space="0"/>
                    <w:insideV w:val="single" w:sz="4" w:space="0"/>
                    <w:tl2br w:val="nil"/>
                    <w:tr2bl w:val="nil"/>
                  </w:tcBorders>
                  <w:vAlign w:val="center"/>
                </w:tcPr>
                <w:p w14:paraId="44ECBAA6">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贮存</w:t>
                  </w:r>
                </w:p>
                <w:p w14:paraId="48C14C4B">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周期</w:t>
                  </w:r>
                </w:p>
              </w:tc>
            </w:tr>
            <w:tr w14:paraId="5FC513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3" w:type="pct"/>
                  <w:vAlign w:val="center"/>
                </w:tcPr>
                <w:p w14:paraId="0FF87AB6">
                  <w:pPr>
                    <w:widowControl w:val="0"/>
                    <w:overflowPunct w:val="0"/>
                    <w:autoSpaceDE w:val="0"/>
                    <w:autoSpaceDN w:val="0"/>
                    <w:snapToGrid w:val="0"/>
                    <w:jc w:val="center"/>
                    <w:rPr>
                      <w:color w:val="auto"/>
                      <w14:ligatures w14:val="standardContextual"/>
                    </w:rPr>
                  </w:pPr>
                  <w:r>
                    <w:rPr>
                      <w:rFonts w:hint="eastAsia"/>
                      <w:color w:val="auto"/>
                      <w14:ligatures w14:val="standardContextual"/>
                    </w:rPr>
                    <w:t>1</w:t>
                  </w:r>
                </w:p>
              </w:tc>
              <w:tc>
                <w:tcPr>
                  <w:tcW w:w="1056" w:type="pct"/>
                  <w:vAlign w:val="center"/>
                </w:tcPr>
                <w:p w14:paraId="4A8840BA">
                  <w:pPr>
                    <w:widowControl w:val="0"/>
                    <w:overflowPunct w:val="0"/>
                    <w:autoSpaceDE w:val="0"/>
                    <w:autoSpaceDN w:val="0"/>
                    <w:snapToGrid w:val="0"/>
                    <w:jc w:val="center"/>
                    <w:rPr>
                      <w:color w:val="auto"/>
                      <w14:ligatures w14:val="standardContextual"/>
                    </w:rPr>
                  </w:pPr>
                  <w:r>
                    <w:rPr>
                      <w:rFonts w:hint="eastAsia"/>
                      <w:color w:val="auto"/>
                      <w14:ligatures w14:val="standardContextual"/>
                    </w:rPr>
                    <w:t>产品堆料区</w:t>
                  </w:r>
                </w:p>
              </w:tc>
              <w:tc>
                <w:tcPr>
                  <w:tcW w:w="1067" w:type="pct"/>
                  <w:vAlign w:val="center"/>
                </w:tcPr>
                <w:p w14:paraId="68280AA4">
                  <w:pPr>
                    <w:widowControl w:val="0"/>
                    <w:overflowPunct w:val="0"/>
                    <w:autoSpaceDE w:val="0"/>
                    <w:autoSpaceDN w:val="0"/>
                    <w:snapToGrid w:val="0"/>
                    <w:jc w:val="center"/>
                    <w:rPr>
                      <w:color w:val="auto"/>
                      <w14:ligatures w14:val="standardContextual"/>
                    </w:rPr>
                  </w:pPr>
                  <w:r>
                    <w:rPr>
                      <w:rFonts w:hint="eastAsia"/>
                      <w:color w:val="auto"/>
                      <w14:ligatures w14:val="standardContextual"/>
                    </w:rPr>
                    <w:t>车间东侧</w:t>
                  </w:r>
                </w:p>
              </w:tc>
              <w:tc>
                <w:tcPr>
                  <w:tcW w:w="707" w:type="pct"/>
                  <w:vAlign w:val="center"/>
                </w:tcPr>
                <w:p w14:paraId="632D2512">
                  <w:pPr>
                    <w:widowControl w:val="0"/>
                    <w:overflowPunct w:val="0"/>
                    <w:autoSpaceDE w:val="0"/>
                    <w:autoSpaceDN w:val="0"/>
                    <w:snapToGrid w:val="0"/>
                    <w:jc w:val="center"/>
                    <w:rPr>
                      <w:color w:val="auto"/>
                      <w14:ligatures w14:val="standardContextual"/>
                    </w:rPr>
                  </w:pPr>
                  <w:r>
                    <w:rPr>
                      <w:rFonts w:hint="eastAsia"/>
                      <w:color w:val="auto"/>
                      <w:lang w:val="en-US" w:eastAsia="zh-CN"/>
                      <w14:ligatures w14:val="standardContextual"/>
                    </w:rPr>
                    <w:t>2500</w:t>
                  </w:r>
                  <w:r>
                    <w:rPr>
                      <w:rFonts w:hint="eastAsia"/>
                      <w:color w:val="auto"/>
                      <w14:ligatures w14:val="standardContextual"/>
                    </w:rPr>
                    <w:t>m</w:t>
                  </w:r>
                  <w:r>
                    <w:rPr>
                      <w:rFonts w:hint="eastAsia"/>
                      <w:color w:val="auto"/>
                      <w:vertAlign w:val="superscript"/>
                      <w14:ligatures w14:val="standardContextual"/>
                    </w:rPr>
                    <w:t>2</w:t>
                  </w:r>
                </w:p>
              </w:tc>
              <w:tc>
                <w:tcPr>
                  <w:tcW w:w="708" w:type="pct"/>
                  <w:vAlign w:val="center"/>
                </w:tcPr>
                <w:p w14:paraId="55F4082B">
                  <w:pPr>
                    <w:widowControl w:val="0"/>
                    <w:overflowPunct w:val="0"/>
                    <w:autoSpaceDE w:val="0"/>
                    <w:autoSpaceDN w:val="0"/>
                    <w:snapToGrid w:val="0"/>
                    <w:jc w:val="center"/>
                    <w:rPr>
                      <w:color w:val="auto"/>
                      <w14:ligatures w14:val="standardContextual"/>
                    </w:rPr>
                  </w:pPr>
                  <w:r>
                    <w:rPr>
                      <w:color w:val="auto"/>
                      <w14:ligatures w14:val="standardContextual"/>
                    </w:rPr>
                    <w:t>分类贮存</w:t>
                  </w:r>
                </w:p>
              </w:tc>
              <w:tc>
                <w:tcPr>
                  <w:tcW w:w="452" w:type="pct"/>
                  <w:vAlign w:val="center"/>
                </w:tcPr>
                <w:p w14:paraId="0DEA314A">
                  <w:pPr>
                    <w:widowControl w:val="0"/>
                    <w:overflowPunct w:val="0"/>
                    <w:autoSpaceDE w:val="0"/>
                    <w:autoSpaceDN w:val="0"/>
                    <w:snapToGrid w:val="0"/>
                    <w:jc w:val="center"/>
                    <w:rPr>
                      <w:color w:val="auto"/>
                      <w14:ligatures w14:val="standardContextual"/>
                    </w:rPr>
                  </w:pPr>
                  <w:r>
                    <w:rPr>
                      <w:rFonts w:hint="eastAsia"/>
                      <w:color w:val="auto"/>
                      <w14:ligatures w14:val="standardContextual"/>
                    </w:rPr>
                    <w:t>2000t</w:t>
                  </w:r>
                </w:p>
              </w:tc>
              <w:tc>
                <w:tcPr>
                  <w:tcW w:w="617" w:type="pct"/>
                  <w:vAlign w:val="center"/>
                </w:tcPr>
                <w:p w14:paraId="6C71AB49">
                  <w:pPr>
                    <w:widowControl w:val="0"/>
                    <w:overflowPunct w:val="0"/>
                    <w:autoSpaceDE w:val="0"/>
                    <w:autoSpaceDN w:val="0"/>
                    <w:snapToGrid w:val="0"/>
                    <w:jc w:val="center"/>
                    <w:rPr>
                      <w:color w:val="auto"/>
                      <w14:ligatures w14:val="standardContextual"/>
                    </w:rPr>
                  </w:pPr>
                  <w:r>
                    <w:rPr>
                      <w:rFonts w:hint="eastAsia"/>
                      <w:color w:val="auto"/>
                      <w14:ligatures w14:val="standardContextual"/>
                    </w:rPr>
                    <w:t>1月</w:t>
                  </w:r>
                </w:p>
              </w:tc>
            </w:tr>
          </w:tbl>
          <w:p w14:paraId="26915707">
            <w:pPr>
              <w:pStyle w:val="3"/>
              <w:ind w:firstLine="480"/>
            </w:pPr>
            <w:r>
              <w:rPr>
                <w:rFonts w:hint="eastAsia"/>
              </w:rPr>
              <w:t>一般固废间满足相应防渗漏、防雨淋、防扬尘等环境保护要求的前提下，项目营运产生的一般固体废物均能得到合理处置，对环境影响不大。</w:t>
            </w:r>
          </w:p>
          <w:p w14:paraId="30C46656">
            <w:pPr>
              <w:pStyle w:val="3"/>
              <w:ind w:firstLine="480"/>
            </w:pPr>
            <w:r>
              <w:rPr>
                <w:rFonts w:hint="eastAsia"/>
              </w:rPr>
              <w:t>2）危险废物</w:t>
            </w:r>
          </w:p>
          <w:p w14:paraId="09DE3B3C">
            <w:pPr>
              <w:pStyle w:val="3"/>
              <w:ind w:firstLine="480"/>
            </w:pPr>
            <w:r>
              <w:rPr>
                <w:rFonts w:hint="eastAsia"/>
              </w:rPr>
              <w:t>根据《建设项目危险废物环境影响评价指南》（环保部公告[2017]43 号）、《危险废物贮存污染控制标准》（GB18597-2023）中的相关要求，本项目危险废物产排汇总以及临时贮存场所如下：</w:t>
            </w:r>
          </w:p>
          <w:p w14:paraId="2D931FF9">
            <w:pPr>
              <w:pStyle w:val="48"/>
            </w:pPr>
            <w:r>
              <w:rPr>
                <w:rFonts w:hint="eastAsia"/>
              </w:rPr>
              <w:t xml:space="preserve">表4- </w:t>
            </w:r>
            <w:r>
              <w:fldChar w:fldCharType="begin"/>
            </w:r>
            <w:r>
              <w:instrText xml:space="preserve"> </w:instrText>
            </w:r>
            <w:r>
              <w:rPr>
                <w:rFonts w:hint="eastAsia"/>
              </w:rPr>
              <w:instrText xml:space="preserve">SEQ 表4- \* ARABIC</w:instrText>
            </w:r>
            <w:r>
              <w:instrText xml:space="preserve"> </w:instrText>
            </w:r>
            <w:r>
              <w:fldChar w:fldCharType="separate"/>
            </w:r>
            <w:r>
              <w:t>17</w:t>
            </w:r>
            <w:r>
              <w:fldChar w:fldCharType="end"/>
            </w:r>
            <w:r>
              <w:rPr>
                <w:rFonts w:hint="eastAsia"/>
              </w:rPr>
              <w:t>：危险废物产排情况一览表</w:t>
            </w:r>
          </w:p>
          <w:tbl>
            <w:tblPr>
              <w:tblStyle w:val="49"/>
              <w:tblW w:w="79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398"/>
              <w:gridCol w:w="738"/>
              <w:gridCol w:w="1438"/>
              <w:gridCol w:w="792"/>
              <w:gridCol w:w="948"/>
              <w:gridCol w:w="441"/>
              <w:gridCol w:w="694"/>
              <w:gridCol w:w="695"/>
              <w:gridCol w:w="701"/>
              <w:gridCol w:w="1093"/>
            </w:tblGrid>
            <w:tr w14:paraId="7A77CB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1" w:hRule="atLeast"/>
                <w:jc w:val="center"/>
              </w:trPr>
              <w:tc>
                <w:tcPr>
                  <w:tcW w:w="251" w:type="pc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003E6FA0">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14:ligatures w14:val="standardContextual"/>
                    </w:rPr>
                  </w:pPr>
                  <w:r>
                    <w:rPr>
                      <w:rFonts w:hint="default" w:ascii="Times New Roman" w:hAnsi="Times New Roman" w:eastAsia="宋体" w:cs="Times New Roman"/>
                      <w:b/>
                      <w:i w:val="0"/>
                      <w14:ligatures w14:val="standardContextual"/>
                    </w:rPr>
                    <w:t>序号</w:t>
                  </w:r>
                </w:p>
              </w:tc>
              <w:tc>
                <w:tcPr>
                  <w:tcW w:w="465"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764CEA45">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14:ligatures w14:val="standardContextual"/>
                    </w:rPr>
                  </w:pPr>
                  <w:r>
                    <w:rPr>
                      <w:rFonts w:hint="default" w:ascii="Times New Roman" w:hAnsi="Times New Roman" w:eastAsia="宋体" w:cs="Times New Roman"/>
                      <w:b/>
                      <w:i w:val="0"/>
                      <w14:ligatures w14:val="standardContextual"/>
                    </w:rPr>
                    <w:t>危废名称</w:t>
                  </w:r>
                </w:p>
              </w:tc>
              <w:tc>
                <w:tcPr>
                  <w:tcW w:w="906"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7FC44C27">
                  <w:pPr>
                    <w:keepLines w:val="0"/>
                    <w:widowControl w:val="0"/>
                    <w:suppressLineNumbers w:val="0"/>
                    <w:suppressAutoHyphens w:val="0"/>
                    <w:wordWrap w:val="0"/>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14:ligatures w14:val="standardContextual"/>
                    </w:rPr>
                  </w:pPr>
                  <w:r>
                    <w:rPr>
                      <w:rFonts w:hint="default" w:ascii="Times New Roman" w:hAnsi="Times New Roman" w:eastAsia="宋体" w:cs="Times New Roman"/>
                      <w:b/>
                      <w:i w:val="0"/>
                      <w14:ligatures w14:val="standardContextual"/>
                    </w:rPr>
                    <w:t>危废类别</w:t>
                  </w:r>
                  <w:r>
                    <w:rPr>
                      <w:rFonts w:hint="eastAsia" w:ascii="Times New Roman" w:hAnsi="Times New Roman" w:eastAsia="宋体" w:cs="Times New Roman"/>
                      <w:b/>
                      <w:i w:val="0"/>
                      <w14:ligatures w14:val="standardContextual"/>
                    </w:rPr>
                    <w:t>及</w:t>
                  </w:r>
                  <w:r>
                    <w:rPr>
                      <w:rFonts w:hint="default" w:ascii="Times New Roman" w:hAnsi="Times New Roman" w:eastAsia="宋体" w:cs="Times New Roman"/>
                      <w:b/>
                      <w:i w:val="0"/>
                      <w14:ligatures w14:val="standardContextual"/>
                    </w:rPr>
                    <w:t>代码</w:t>
                  </w:r>
                </w:p>
              </w:tc>
              <w:tc>
                <w:tcPr>
                  <w:tcW w:w="499"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28AA82C2">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14:ligatures w14:val="standardContextual"/>
                    </w:rPr>
                  </w:pPr>
                  <w:r>
                    <w:rPr>
                      <w:rFonts w:hint="default" w:ascii="Times New Roman" w:hAnsi="Times New Roman" w:eastAsia="宋体" w:cs="Times New Roman"/>
                      <w:b/>
                      <w:i w:val="0"/>
                      <w14:ligatures w14:val="standardContextual"/>
                    </w:rPr>
                    <w:t>产生量（t/a）</w:t>
                  </w:r>
                </w:p>
              </w:tc>
              <w:tc>
                <w:tcPr>
                  <w:tcW w:w="597"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3067196E">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14:ligatures w14:val="standardContextual"/>
                    </w:rPr>
                  </w:pPr>
                  <w:r>
                    <w:rPr>
                      <w:rFonts w:hint="default" w:ascii="Times New Roman" w:hAnsi="Times New Roman" w:eastAsia="宋体" w:cs="Times New Roman"/>
                      <w:b/>
                      <w:i w:val="0"/>
                      <w14:ligatures w14:val="standardContextual"/>
                    </w:rPr>
                    <w:t>产生工序及装置</w:t>
                  </w:r>
                </w:p>
              </w:tc>
              <w:tc>
                <w:tcPr>
                  <w:tcW w:w="278"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7E475957">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14:ligatures w14:val="standardContextual"/>
                    </w:rPr>
                  </w:pPr>
                  <w:r>
                    <w:rPr>
                      <w:rFonts w:hint="default" w:ascii="Times New Roman" w:hAnsi="Times New Roman" w:eastAsia="宋体" w:cs="Times New Roman"/>
                      <w:b/>
                      <w:i w:val="0"/>
                      <w14:ligatures w14:val="standardContextual"/>
                    </w:rPr>
                    <w:t>形态</w:t>
                  </w:r>
                </w:p>
              </w:tc>
              <w:tc>
                <w:tcPr>
                  <w:tcW w:w="437"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123B4A48">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14:ligatures w14:val="standardContextual"/>
                    </w:rPr>
                  </w:pPr>
                  <w:r>
                    <w:rPr>
                      <w:rFonts w:hint="default" w:ascii="Times New Roman" w:hAnsi="Times New Roman" w:eastAsia="宋体" w:cs="Times New Roman"/>
                      <w:b/>
                      <w:i w:val="0"/>
                      <w14:ligatures w14:val="standardContextual"/>
                    </w:rPr>
                    <w:t>有害成分</w:t>
                  </w:r>
                </w:p>
              </w:tc>
              <w:tc>
                <w:tcPr>
                  <w:tcW w:w="438"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079D6063">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14:ligatures w14:val="standardContextual"/>
                    </w:rPr>
                  </w:pPr>
                  <w:r>
                    <w:rPr>
                      <w:rFonts w:hint="default" w:ascii="Times New Roman" w:hAnsi="Times New Roman" w:eastAsia="宋体" w:cs="Times New Roman"/>
                      <w:b/>
                      <w:i w:val="0"/>
                      <w14:ligatures w14:val="standardContextual"/>
                    </w:rPr>
                    <w:t>产废周期</w:t>
                  </w:r>
                </w:p>
              </w:tc>
              <w:tc>
                <w:tcPr>
                  <w:tcW w:w="441"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3B875A3B">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14:ligatures w14:val="standardContextual"/>
                    </w:rPr>
                  </w:pPr>
                  <w:r>
                    <w:rPr>
                      <w:rFonts w:hint="default" w:ascii="Times New Roman" w:hAnsi="Times New Roman" w:eastAsia="宋体" w:cs="Times New Roman"/>
                      <w:b/>
                      <w:i w:val="0"/>
                      <w14:ligatures w14:val="standardContextual"/>
                    </w:rPr>
                    <w:t>危险特性</w:t>
                  </w:r>
                </w:p>
              </w:tc>
              <w:tc>
                <w:tcPr>
                  <w:tcW w:w="688" w:type="pct"/>
                  <w:tcBorders>
                    <w:top w:val="single" w:color="auto" w:sz="12" w:space="0"/>
                    <w:bottom w:val="single" w:color="auto" w:sz="12" w:space="0"/>
                    <w:right w:val="nil"/>
                    <w:insideH w:val="single" w:sz="12" w:space="0"/>
                    <w:insideV w:val="single" w:sz="4" w:space="0"/>
                    <w:tl2br w:val="nil"/>
                    <w:tr2bl w:val="nil"/>
                  </w:tcBorders>
                  <w:vAlign w:val="center"/>
                </w:tcPr>
                <w:p w14:paraId="529D5FFA">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14:ligatures w14:val="standardContextual"/>
                    </w:rPr>
                  </w:pPr>
                  <w:r>
                    <w:rPr>
                      <w:rFonts w:hint="default" w:ascii="Times New Roman" w:hAnsi="Times New Roman" w:eastAsia="宋体" w:cs="Times New Roman"/>
                      <w:b/>
                      <w:i w:val="0"/>
                      <w14:ligatures w14:val="standardContextual"/>
                    </w:rPr>
                    <w:t>污染防治措施</w:t>
                  </w:r>
                </w:p>
              </w:tc>
            </w:tr>
            <w:tr w14:paraId="0A9B42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9" w:hRule="atLeast"/>
                <w:jc w:val="center"/>
              </w:trPr>
              <w:tc>
                <w:tcPr>
                  <w:tcW w:w="251" w:type="pct"/>
                  <w:vAlign w:val="center"/>
                </w:tcPr>
                <w:p w14:paraId="2C391299">
                  <w:pPr>
                    <w:widowControl w:val="0"/>
                    <w:overflowPunct w:val="0"/>
                    <w:autoSpaceDE w:val="0"/>
                    <w:autoSpaceDN w:val="0"/>
                    <w:snapToGrid w:val="0"/>
                    <w:jc w:val="center"/>
                    <w:rPr>
                      <w:color w:val="auto"/>
                      <w14:ligatures w14:val="standardContextual"/>
                    </w:rPr>
                  </w:pPr>
                  <w:r>
                    <w:rPr>
                      <w:rFonts w:hint="eastAsia"/>
                      <w:color w:val="auto"/>
                      <w14:ligatures w14:val="standardContextual"/>
                    </w:rPr>
                    <w:t>1</w:t>
                  </w:r>
                </w:p>
              </w:tc>
              <w:tc>
                <w:tcPr>
                  <w:tcW w:w="465" w:type="pct"/>
                  <w:vAlign w:val="center"/>
                </w:tcPr>
                <w:p w14:paraId="248B50F9">
                  <w:pPr>
                    <w:widowControl w:val="0"/>
                    <w:overflowPunct w:val="0"/>
                    <w:autoSpaceDE w:val="0"/>
                    <w:autoSpaceDN w:val="0"/>
                    <w:snapToGrid w:val="0"/>
                    <w:jc w:val="center"/>
                    <w:rPr>
                      <w:color w:val="auto"/>
                      <w:kern w:val="18"/>
                      <w14:ligatures w14:val="standardContextual"/>
                    </w:rPr>
                  </w:pPr>
                  <w:r>
                    <w:rPr>
                      <w:rFonts w:hint="eastAsia"/>
                      <w:color w:val="auto"/>
                      <w14:ligatures w14:val="standardContextual"/>
                    </w:rPr>
                    <w:t>废矿物油</w:t>
                  </w:r>
                </w:p>
              </w:tc>
              <w:tc>
                <w:tcPr>
                  <w:tcW w:w="906" w:type="pct"/>
                  <w:vAlign w:val="center"/>
                </w:tcPr>
                <w:p w14:paraId="0FAE2EAF">
                  <w:pPr>
                    <w:widowControl w:val="0"/>
                    <w:wordWrap w:val="0"/>
                    <w:overflowPunct w:val="0"/>
                    <w:autoSpaceDE w:val="0"/>
                    <w:autoSpaceDN w:val="0"/>
                    <w:snapToGrid w:val="0"/>
                    <w:jc w:val="center"/>
                    <w:rPr>
                      <w:bCs/>
                      <w:color w:val="auto"/>
                      <w14:ligatures w14:val="standardContextual"/>
                    </w:rPr>
                  </w:pPr>
                  <w:r>
                    <w:rPr>
                      <w:color w:val="auto"/>
                      <w14:ligatures w14:val="standardContextual"/>
                    </w:rPr>
                    <w:t>900-214-08</w:t>
                  </w:r>
                </w:p>
              </w:tc>
              <w:tc>
                <w:tcPr>
                  <w:tcW w:w="499" w:type="pct"/>
                  <w:vAlign w:val="center"/>
                </w:tcPr>
                <w:p w14:paraId="2841BB54">
                  <w:pPr>
                    <w:widowControl w:val="0"/>
                    <w:overflowPunct w:val="0"/>
                    <w:autoSpaceDE w:val="0"/>
                    <w:autoSpaceDN w:val="0"/>
                    <w:snapToGrid w:val="0"/>
                    <w:jc w:val="center"/>
                    <w:rPr>
                      <w:bCs/>
                      <w:color w:val="auto"/>
                      <w14:ligatures w14:val="standardContextual"/>
                    </w:rPr>
                  </w:pPr>
                  <w:r>
                    <w:rPr>
                      <w:color w:val="auto"/>
                      <w14:ligatures w14:val="standardContextual"/>
                    </w:rPr>
                    <w:t>0.</w:t>
                  </w:r>
                  <w:r>
                    <w:rPr>
                      <w:rFonts w:hint="eastAsia"/>
                      <w:color w:val="auto"/>
                      <w14:ligatures w14:val="standardContextual"/>
                    </w:rPr>
                    <w:t>5</w:t>
                  </w:r>
                </w:p>
              </w:tc>
              <w:tc>
                <w:tcPr>
                  <w:tcW w:w="597" w:type="pct"/>
                  <w:vAlign w:val="center"/>
                </w:tcPr>
                <w:p w14:paraId="7CBC517D">
                  <w:pPr>
                    <w:widowControl w:val="0"/>
                    <w:overflowPunct w:val="0"/>
                    <w:autoSpaceDE w:val="0"/>
                    <w:autoSpaceDN w:val="0"/>
                    <w:snapToGrid w:val="0"/>
                    <w:jc w:val="center"/>
                    <w:rPr>
                      <w:color w:val="auto"/>
                      <w14:ligatures w14:val="standardContextual"/>
                    </w:rPr>
                  </w:pPr>
                  <w:r>
                    <w:rPr>
                      <w:rFonts w:hint="eastAsia"/>
                      <w:color w:val="auto"/>
                      <w14:ligatures w14:val="standardContextual"/>
                    </w:rPr>
                    <w:t>设备维修</w:t>
                  </w:r>
                </w:p>
              </w:tc>
              <w:tc>
                <w:tcPr>
                  <w:tcW w:w="278" w:type="pct"/>
                  <w:vAlign w:val="center"/>
                </w:tcPr>
                <w:p w14:paraId="5F8F2FA7">
                  <w:pPr>
                    <w:widowControl w:val="0"/>
                    <w:overflowPunct w:val="0"/>
                    <w:autoSpaceDE w:val="0"/>
                    <w:autoSpaceDN w:val="0"/>
                    <w:snapToGrid w:val="0"/>
                    <w:jc w:val="center"/>
                    <w:rPr>
                      <w:color w:val="auto"/>
                      <w14:ligatures w14:val="standardContextual"/>
                    </w:rPr>
                  </w:pPr>
                  <w:r>
                    <w:rPr>
                      <w:rFonts w:hint="eastAsia"/>
                      <w:color w:val="auto"/>
                      <w14:ligatures w14:val="standardContextual"/>
                    </w:rPr>
                    <w:t>液/固</w:t>
                  </w:r>
                </w:p>
              </w:tc>
              <w:tc>
                <w:tcPr>
                  <w:tcW w:w="437" w:type="pct"/>
                  <w:vAlign w:val="center"/>
                </w:tcPr>
                <w:p w14:paraId="132414A1">
                  <w:pPr>
                    <w:widowControl w:val="0"/>
                    <w:overflowPunct w:val="0"/>
                    <w:autoSpaceDE w:val="0"/>
                    <w:autoSpaceDN w:val="0"/>
                    <w:snapToGrid w:val="0"/>
                    <w:jc w:val="center"/>
                    <w:rPr>
                      <w:color w:val="auto"/>
                      <w14:ligatures w14:val="standardContextual"/>
                    </w:rPr>
                  </w:pPr>
                  <w:r>
                    <w:rPr>
                      <w:color w:val="auto"/>
                      <w14:ligatures w14:val="standardContextual"/>
                    </w:rPr>
                    <w:t>矿物油等</w:t>
                  </w:r>
                </w:p>
              </w:tc>
              <w:tc>
                <w:tcPr>
                  <w:tcW w:w="438" w:type="pct"/>
                  <w:vAlign w:val="center"/>
                </w:tcPr>
                <w:p w14:paraId="6A381ABC">
                  <w:pPr>
                    <w:widowControl w:val="0"/>
                    <w:overflowPunct w:val="0"/>
                    <w:autoSpaceDE w:val="0"/>
                    <w:autoSpaceDN w:val="0"/>
                    <w:snapToGrid w:val="0"/>
                    <w:jc w:val="center"/>
                    <w:rPr>
                      <w:color w:val="auto"/>
                      <w14:ligatures w14:val="standardContextual"/>
                    </w:rPr>
                  </w:pPr>
                  <w:r>
                    <w:rPr>
                      <w:rFonts w:hint="eastAsia"/>
                      <w:color w:val="auto"/>
                      <w14:ligatures w14:val="standardContextual"/>
                    </w:rPr>
                    <w:t>三个月</w:t>
                  </w:r>
                </w:p>
              </w:tc>
              <w:tc>
                <w:tcPr>
                  <w:tcW w:w="441" w:type="pct"/>
                  <w:vAlign w:val="center"/>
                </w:tcPr>
                <w:p w14:paraId="05668B9F">
                  <w:pPr>
                    <w:widowControl w:val="0"/>
                    <w:overflowPunct w:val="0"/>
                    <w:autoSpaceDE w:val="0"/>
                    <w:autoSpaceDN w:val="0"/>
                    <w:snapToGrid w:val="0"/>
                    <w:jc w:val="center"/>
                    <w:rPr>
                      <w:color w:val="auto"/>
                      <w14:ligatures w14:val="standardContextual"/>
                    </w:rPr>
                  </w:pPr>
                  <w:r>
                    <w:rPr>
                      <w:color w:val="auto"/>
                      <w14:ligatures w14:val="standardContextual"/>
                    </w:rPr>
                    <w:t>T、I</w:t>
                  </w:r>
                </w:p>
              </w:tc>
              <w:tc>
                <w:tcPr>
                  <w:tcW w:w="688" w:type="pct"/>
                  <w:vMerge w:val="restart"/>
                  <w:vAlign w:val="center"/>
                </w:tcPr>
                <w:p w14:paraId="4A0706C3">
                  <w:pPr>
                    <w:widowControl w:val="0"/>
                    <w:overflowPunct w:val="0"/>
                    <w:autoSpaceDE w:val="0"/>
                    <w:autoSpaceDN w:val="0"/>
                    <w:snapToGrid w:val="0"/>
                    <w:jc w:val="center"/>
                    <w:rPr>
                      <w:color w:val="auto"/>
                      <w14:ligatures w14:val="standardContextual"/>
                    </w:rPr>
                  </w:pPr>
                  <w:r>
                    <w:rPr>
                      <w:rFonts w:hint="eastAsia"/>
                      <w:color w:val="auto"/>
                      <w14:ligatures w14:val="standardContextual"/>
                    </w:rPr>
                    <w:t>分类收集暂存危废间，定期交由有资质单位处置</w:t>
                  </w:r>
                </w:p>
              </w:tc>
            </w:tr>
            <w:tr w14:paraId="6850A7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9" w:hRule="atLeast"/>
                <w:jc w:val="center"/>
              </w:trPr>
              <w:tc>
                <w:tcPr>
                  <w:tcW w:w="251" w:type="pct"/>
                  <w:vAlign w:val="center"/>
                </w:tcPr>
                <w:p w14:paraId="01636102">
                  <w:pPr>
                    <w:widowControl w:val="0"/>
                    <w:overflowPunct w:val="0"/>
                    <w:autoSpaceDE w:val="0"/>
                    <w:autoSpaceDN w:val="0"/>
                    <w:snapToGrid w:val="0"/>
                    <w:jc w:val="center"/>
                    <w:rPr>
                      <w:color w:val="auto"/>
                      <w14:ligatures w14:val="standardContextual"/>
                    </w:rPr>
                  </w:pPr>
                  <w:r>
                    <w:rPr>
                      <w:rFonts w:hint="eastAsia"/>
                      <w:color w:val="auto"/>
                      <w14:ligatures w14:val="standardContextual"/>
                    </w:rPr>
                    <w:t>2</w:t>
                  </w:r>
                </w:p>
              </w:tc>
              <w:tc>
                <w:tcPr>
                  <w:tcW w:w="465" w:type="pct"/>
                  <w:vAlign w:val="center"/>
                </w:tcPr>
                <w:p w14:paraId="5C8D3436">
                  <w:pPr>
                    <w:widowControl w:val="0"/>
                    <w:overflowPunct w:val="0"/>
                    <w:autoSpaceDE w:val="0"/>
                    <w:autoSpaceDN w:val="0"/>
                    <w:snapToGrid w:val="0"/>
                    <w:jc w:val="center"/>
                    <w:rPr>
                      <w:color w:val="auto"/>
                      <w:kern w:val="18"/>
                      <w14:ligatures w14:val="standardContextual"/>
                    </w:rPr>
                  </w:pPr>
                  <w:r>
                    <w:rPr>
                      <w:rFonts w:hint="eastAsia"/>
                      <w:color w:val="auto"/>
                      <w14:ligatures w14:val="standardContextual"/>
                    </w:rPr>
                    <w:t>废机油桶</w:t>
                  </w:r>
                </w:p>
              </w:tc>
              <w:tc>
                <w:tcPr>
                  <w:tcW w:w="906" w:type="pct"/>
                  <w:vAlign w:val="center"/>
                </w:tcPr>
                <w:p w14:paraId="3018D516">
                  <w:pPr>
                    <w:widowControl w:val="0"/>
                    <w:wordWrap w:val="0"/>
                    <w:overflowPunct w:val="0"/>
                    <w:autoSpaceDE w:val="0"/>
                    <w:autoSpaceDN w:val="0"/>
                    <w:snapToGrid w:val="0"/>
                    <w:jc w:val="center"/>
                    <w:rPr>
                      <w:bCs/>
                      <w:color w:val="auto"/>
                      <w14:ligatures w14:val="standardContextual"/>
                    </w:rPr>
                  </w:pPr>
                  <w:r>
                    <w:rPr>
                      <w:color w:val="auto"/>
                      <w14:ligatures w14:val="standardContextual"/>
                    </w:rPr>
                    <w:t>900-249-08</w:t>
                  </w:r>
                </w:p>
              </w:tc>
              <w:tc>
                <w:tcPr>
                  <w:tcW w:w="499" w:type="pct"/>
                  <w:vAlign w:val="center"/>
                </w:tcPr>
                <w:p w14:paraId="43B36749">
                  <w:pPr>
                    <w:widowControl w:val="0"/>
                    <w:overflowPunct w:val="0"/>
                    <w:autoSpaceDE w:val="0"/>
                    <w:autoSpaceDN w:val="0"/>
                    <w:snapToGrid w:val="0"/>
                    <w:jc w:val="center"/>
                    <w:rPr>
                      <w:bCs/>
                      <w:color w:val="auto"/>
                      <w14:ligatures w14:val="standardContextual"/>
                    </w:rPr>
                  </w:pPr>
                  <w:r>
                    <w:rPr>
                      <w:color w:val="auto"/>
                      <w14:ligatures w14:val="standardContextual"/>
                    </w:rPr>
                    <w:t>0.</w:t>
                  </w:r>
                  <w:r>
                    <w:rPr>
                      <w:rFonts w:hint="eastAsia"/>
                      <w:color w:val="auto"/>
                      <w14:ligatures w14:val="standardContextual"/>
                    </w:rPr>
                    <w:t>1</w:t>
                  </w:r>
                </w:p>
              </w:tc>
              <w:tc>
                <w:tcPr>
                  <w:tcW w:w="597" w:type="pct"/>
                  <w:vAlign w:val="center"/>
                </w:tcPr>
                <w:p w14:paraId="548E417F">
                  <w:pPr>
                    <w:widowControl w:val="0"/>
                    <w:overflowPunct w:val="0"/>
                    <w:autoSpaceDE w:val="0"/>
                    <w:autoSpaceDN w:val="0"/>
                    <w:snapToGrid w:val="0"/>
                    <w:jc w:val="center"/>
                    <w:rPr>
                      <w:color w:val="auto"/>
                      <w14:ligatures w14:val="standardContextual"/>
                    </w:rPr>
                  </w:pPr>
                  <w:r>
                    <w:rPr>
                      <w:rFonts w:hint="eastAsia"/>
                      <w:color w:val="auto"/>
                      <w14:ligatures w14:val="standardContextual"/>
                    </w:rPr>
                    <w:t>设备维修</w:t>
                  </w:r>
                </w:p>
              </w:tc>
              <w:tc>
                <w:tcPr>
                  <w:tcW w:w="278" w:type="pct"/>
                  <w:vAlign w:val="center"/>
                </w:tcPr>
                <w:p w14:paraId="70738724">
                  <w:pPr>
                    <w:widowControl w:val="0"/>
                    <w:overflowPunct w:val="0"/>
                    <w:autoSpaceDE w:val="0"/>
                    <w:autoSpaceDN w:val="0"/>
                    <w:snapToGrid w:val="0"/>
                    <w:jc w:val="center"/>
                    <w:rPr>
                      <w:color w:val="auto"/>
                      <w14:ligatures w14:val="standardContextual"/>
                    </w:rPr>
                  </w:pPr>
                  <w:r>
                    <w:rPr>
                      <w:rFonts w:hint="eastAsia"/>
                      <w:color w:val="auto"/>
                      <w14:ligatures w14:val="standardContextual"/>
                    </w:rPr>
                    <w:t>固态</w:t>
                  </w:r>
                </w:p>
              </w:tc>
              <w:tc>
                <w:tcPr>
                  <w:tcW w:w="437" w:type="pct"/>
                  <w:vAlign w:val="center"/>
                </w:tcPr>
                <w:p w14:paraId="1B146066">
                  <w:pPr>
                    <w:widowControl w:val="0"/>
                    <w:overflowPunct w:val="0"/>
                    <w:autoSpaceDE w:val="0"/>
                    <w:autoSpaceDN w:val="0"/>
                    <w:snapToGrid w:val="0"/>
                    <w:jc w:val="center"/>
                    <w:rPr>
                      <w:color w:val="auto"/>
                      <w14:ligatures w14:val="standardContextual"/>
                    </w:rPr>
                  </w:pPr>
                  <w:r>
                    <w:rPr>
                      <w:color w:val="auto"/>
                      <w14:ligatures w14:val="standardContextual"/>
                    </w:rPr>
                    <w:t>矿物油等</w:t>
                  </w:r>
                </w:p>
              </w:tc>
              <w:tc>
                <w:tcPr>
                  <w:tcW w:w="438" w:type="pct"/>
                  <w:vAlign w:val="center"/>
                </w:tcPr>
                <w:p w14:paraId="77C2E751">
                  <w:pPr>
                    <w:widowControl w:val="0"/>
                    <w:overflowPunct w:val="0"/>
                    <w:autoSpaceDE w:val="0"/>
                    <w:autoSpaceDN w:val="0"/>
                    <w:snapToGrid w:val="0"/>
                    <w:jc w:val="center"/>
                    <w:rPr>
                      <w:color w:val="auto"/>
                      <w14:ligatures w14:val="standardContextual"/>
                    </w:rPr>
                  </w:pPr>
                  <w:r>
                    <w:rPr>
                      <w:rFonts w:hint="eastAsia"/>
                      <w:color w:val="auto"/>
                      <w14:ligatures w14:val="standardContextual"/>
                    </w:rPr>
                    <w:t>三个月</w:t>
                  </w:r>
                </w:p>
              </w:tc>
              <w:tc>
                <w:tcPr>
                  <w:tcW w:w="441" w:type="pct"/>
                  <w:vAlign w:val="center"/>
                </w:tcPr>
                <w:p w14:paraId="0B310C75">
                  <w:pPr>
                    <w:widowControl w:val="0"/>
                    <w:overflowPunct w:val="0"/>
                    <w:autoSpaceDE w:val="0"/>
                    <w:autoSpaceDN w:val="0"/>
                    <w:snapToGrid w:val="0"/>
                    <w:jc w:val="center"/>
                    <w:rPr>
                      <w:color w:val="auto"/>
                      <w14:ligatures w14:val="standardContextual"/>
                    </w:rPr>
                  </w:pPr>
                  <w:r>
                    <w:rPr>
                      <w:color w:val="auto"/>
                      <w14:ligatures w14:val="standardContextual"/>
                    </w:rPr>
                    <w:t>T/In</w:t>
                  </w:r>
                </w:p>
              </w:tc>
              <w:tc>
                <w:tcPr>
                  <w:tcW w:w="688" w:type="pct"/>
                  <w:vMerge w:val="continue"/>
                  <w:vAlign w:val="center"/>
                </w:tcPr>
                <w:p w14:paraId="73B7AC0F">
                  <w:pPr>
                    <w:widowControl w:val="0"/>
                    <w:overflowPunct w:val="0"/>
                    <w:autoSpaceDE w:val="0"/>
                    <w:autoSpaceDN w:val="0"/>
                    <w:snapToGrid w:val="0"/>
                    <w:jc w:val="center"/>
                    <w:rPr>
                      <w:color w:val="auto"/>
                      <w14:ligatures w14:val="standardContextual"/>
                    </w:rPr>
                  </w:pPr>
                </w:p>
              </w:tc>
            </w:tr>
            <w:tr w14:paraId="3A8B4E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9" w:hRule="atLeast"/>
                <w:jc w:val="center"/>
              </w:trPr>
              <w:tc>
                <w:tcPr>
                  <w:tcW w:w="251" w:type="pct"/>
                  <w:vAlign w:val="center"/>
                </w:tcPr>
                <w:p w14:paraId="6F648DE1">
                  <w:pPr>
                    <w:widowControl w:val="0"/>
                    <w:overflowPunct w:val="0"/>
                    <w:autoSpaceDE w:val="0"/>
                    <w:autoSpaceDN w:val="0"/>
                    <w:snapToGrid w:val="0"/>
                    <w:jc w:val="center"/>
                    <w:rPr>
                      <w:color w:val="auto"/>
                      <w14:ligatures w14:val="standardContextual"/>
                    </w:rPr>
                  </w:pPr>
                  <w:r>
                    <w:rPr>
                      <w:rFonts w:hint="eastAsia"/>
                      <w:color w:val="auto"/>
                      <w14:ligatures w14:val="standardContextual"/>
                    </w:rPr>
                    <w:t>3</w:t>
                  </w:r>
                </w:p>
              </w:tc>
              <w:tc>
                <w:tcPr>
                  <w:tcW w:w="465" w:type="pct"/>
                  <w:vAlign w:val="center"/>
                </w:tcPr>
                <w:p w14:paraId="7FA3ED57">
                  <w:pPr>
                    <w:widowControl w:val="0"/>
                    <w:overflowPunct w:val="0"/>
                    <w:autoSpaceDE w:val="0"/>
                    <w:autoSpaceDN w:val="0"/>
                    <w:snapToGrid w:val="0"/>
                    <w:jc w:val="center"/>
                    <w:rPr>
                      <w:color w:val="auto"/>
                      <w14:ligatures w14:val="standardContextual"/>
                    </w:rPr>
                  </w:pPr>
                  <w:r>
                    <w:rPr>
                      <w:rFonts w:hint="eastAsia"/>
                      <w:color w:val="auto"/>
                      <w14:ligatures w14:val="standardContextual"/>
                    </w:rPr>
                    <w:t>废含油抹布和手套</w:t>
                  </w:r>
                </w:p>
              </w:tc>
              <w:tc>
                <w:tcPr>
                  <w:tcW w:w="906" w:type="pct"/>
                  <w:vAlign w:val="center"/>
                </w:tcPr>
                <w:p w14:paraId="4ED52581">
                  <w:pPr>
                    <w:widowControl w:val="0"/>
                    <w:wordWrap w:val="0"/>
                    <w:overflowPunct w:val="0"/>
                    <w:autoSpaceDE w:val="0"/>
                    <w:autoSpaceDN w:val="0"/>
                    <w:snapToGrid w:val="0"/>
                    <w:jc w:val="center"/>
                    <w:rPr>
                      <w:color w:val="auto"/>
                      <w14:ligatures w14:val="standardContextual"/>
                    </w:rPr>
                  </w:pPr>
                  <w:r>
                    <w:rPr>
                      <w:color w:val="auto"/>
                      <w14:ligatures w14:val="standardContextual"/>
                    </w:rPr>
                    <w:t>900-041-49</w:t>
                  </w:r>
                </w:p>
              </w:tc>
              <w:tc>
                <w:tcPr>
                  <w:tcW w:w="499" w:type="pct"/>
                  <w:vAlign w:val="center"/>
                </w:tcPr>
                <w:p w14:paraId="620CAC4A">
                  <w:pPr>
                    <w:widowControl w:val="0"/>
                    <w:overflowPunct w:val="0"/>
                    <w:autoSpaceDE w:val="0"/>
                    <w:autoSpaceDN w:val="0"/>
                    <w:snapToGrid w:val="0"/>
                    <w:jc w:val="center"/>
                    <w:rPr>
                      <w:color w:val="auto"/>
                      <w14:ligatures w14:val="standardContextual"/>
                    </w:rPr>
                  </w:pPr>
                  <w:r>
                    <w:rPr>
                      <w:rFonts w:hint="eastAsia"/>
                      <w:color w:val="auto"/>
                      <w14:ligatures w14:val="standardContextual"/>
                    </w:rPr>
                    <w:t>0.01</w:t>
                  </w:r>
                </w:p>
              </w:tc>
              <w:tc>
                <w:tcPr>
                  <w:tcW w:w="597" w:type="pct"/>
                  <w:vAlign w:val="center"/>
                </w:tcPr>
                <w:p w14:paraId="1B3A7857">
                  <w:pPr>
                    <w:widowControl w:val="0"/>
                    <w:overflowPunct w:val="0"/>
                    <w:autoSpaceDE w:val="0"/>
                    <w:autoSpaceDN w:val="0"/>
                    <w:snapToGrid w:val="0"/>
                    <w:jc w:val="center"/>
                    <w:rPr>
                      <w:color w:val="auto"/>
                      <w14:ligatures w14:val="standardContextual"/>
                    </w:rPr>
                  </w:pPr>
                  <w:r>
                    <w:rPr>
                      <w:rFonts w:hint="eastAsia"/>
                      <w:color w:val="auto"/>
                      <w14:ligatures w14:val="standardContextual"/>
                    </w:rPr>
                    <w:t>设备维修</w:t>
                  </w:r>
                </w:p>
              </w:tc>
              <w:tc>
                <w:tcPr>
                  <w:tcW w:w="278" w:type="pct"/>
                  <w:vAlign w:val="center"/>
                </w:tcPr>
                <w:p w14:paraId="2D2752D6">
                  <w:pPr>
                    <w:widowControl w:val="0"/>
                    <w:overflowPunct w:val="0"/>
                    <w:autoSpaceDE w:val="0"/>
                    <w:autoSpaceDN w:val="0"/>
                    <w:snapToGrid w:val="0"/>
                    <w:jc w:val="center"/>
                    <w:rPr>
                      <w:color w:val="auto"/>
                      <w14:ligatures w14:val="standardContextual"/>
                    </w:rPr>
                  </w:pPr>
                  <w:r>
                    <w:rPr>
                      <w:rFonts w:hint="eastAsia"/>
                      <w:color w:val="auto"/>
                      <w14:ligatures w14:val="standardContextual"/>
                    </w:rPr>
                    <w:t>固态</w:t>
                  </w:r>
                </w:p>
              </w:tc>
              <w:tc>
                <w:tcPr>
                  <w:tcW w:w="437" w:type="pct"/>
                  <w:vAlign w:val="center"/>
                </w:tcPr>
                <w:p w14:paraId="58A19C2E">
                  <w:pPr>
                    <w:widowControl w:val="0"/>
                    <w:overflowPunct w:val="0"/>
                    <w:autoSpaceDE w:val="0"/>
                    <w:autoSpaceDN w:val="0"/>
                    <w:snapToGrid w:val="0"/>
                    <w:jc w:val="center"/>
                    <w:rPr>
                      <w:color w:val="auto"/>
                      <w14:ligatures w14:val="standardContextual"/>
                    </w:rPr>
                  </w:pPr>
                  <w:r>
                    <w:rPr>
                      <w:color w:val="auto"/>
                      <w14:ligatures w14:val="standardContextual"/>
                    </w:rPr>
                    <w:t>矿物油等</w:t>
                  </w:r>
                </w:p>
              </w:tc>
              <w:tc>
                <w:tcPr>
                  <w:tcW w:w="438" w:type="pct"/>
                  <w:vAlign w:val="center"/>
                </w:tcPr>
                <w:p w14:paraId="4AF172A4">
                  <w:pPr>
                    <w:widowControl w:val="0"/>
                    <w:overflowPunct w:val="0"/>
                    <w:autoSpaceDE w:val="0"/>
                    <w:autoSpaceDN w:val="0"/>
                    <w:snapToGrid w:val="0"/>
                    <w:jc w:val="center"/>
                    <w:rPr>
                      <w:color w:val="auto"/>
                      <w14:ligatures w14:val="standardContextual"/>
                    </w:rPr>
                  </w:pPr>
                  <w:r>
                    <w:rPr>
                      <w:rFonts w:hint="eastAsia"/>
                      <w:color w:val="auto"/>
                      <w14:ligatures w14:val="standardContextual"/>
                    </w:rPr>
                    <w:t>三个月</w:t>
                  </w:r>
                </w:p>
              </w:tc>
              <w:tc>
                <w:tcPr>
                  <w:tcW w:w="441" w:type="pct"/>
                  <w:vAlign w:val="center"/>
                </w:tcPr>
                <w:p w14:paraId="2BC7E6EE">
                  <w:pPr>
                    <w:widowControl w:val="0"/>
                    <w:overflowPunct w:val="0"/>
                    <w:autoSpaceDE w:val="0"/>
                    <w:autoSpaceDN w:val="0"/>
                    <w:snapToGrid w:val="0"/>
                    <w:jc w:val="center"/>
                    <w:rPr>
                      <w:color w:val="auto"/>
                      <w14:ligatures w14:val="standardContextual"/>
                    </w:rPr>
                  </w:pPr>
                  <w:r>
                    <w:rPr>
                      <w:color w:val="auto"/>
                      <w14:ligatures w14:val="standardContextual"/>
                    </w:rPr>
                    <w:t>T/In</w:t>
                  </w:r>
                </w:p>
              </w:tc>
              <w:tc>
                <w:tcPr>
                  <w:tcW w:w="688" w:type="pct"/>
                  <w:vMerge w:val="continue"/>
                  <w:vAlign w:val="center"/>
                </w:tcPr>
                <w:p w14:paraId="2EF2FAC6">
                  <w:pPr>
                    <w:widowControl w:val="0"/>
                    <w:overflowPunct w:val="0"/>
                    <w:autoSpaceDE w:val="0"/>
                    <w:autoSpaceDN w:val="0"/>
                    <w:snapToGrid w:val="0"/>
                    <w:jc w:val="center"/>
                    <w:rPr>
                      <w:color w:val="auto"/>
                      <w14:ligatures w14:val="standardContextual"/>
                    </w:rPr>
                  </w:pPr>
                </w:p>
              </w:tc>
            </w:tr>
          </w:tbl>
          <w:p w14:paraId="4C542D40">
            <w:pPr>
              <w:pStyle w:val="48"/>
              <w:rPr>
                <w:color w:val="auto"/>
              </w:rPr>
            </w:pPr>
            <w:bookmarkStart w:id="90" w:name="_Ref175260243"/>
            <w:r>
              <w:rPr>
                <w:rFonts w:hint="eastAsia"/>
                <w:color w:val="auto"/>
                <w:lang w:eastAsia="zh-CN"/>
              </w:rPr>
              <w:t>表</w:t>
            </w:r>
            <w:r>
              <w:rPr>
                <w:rFonts w:hint="eastAsia"/>
                <w:color w:val="auto"/>
              </w:rPr>
              <w:t xml:space="preserve">4- </w:t>
            </w:r>
            <w:r>
              <w:rPr>
                <w:color w:val="auto"/>
              </w:rPr>
              <w:fldChar w:fldCharType="begin"/>
            </w:r>
            <w:r>
              <w:rPr>
                <w:color w:val="auto"/>
              </w:rPr>
              <w:instrText xml:space="preserve"> </w:instrText>
            </w:r>
            <w:r>
              <w:rPr>
                <w:rFonts w:hint="eastAsia"/>
                <w:color w:val="auto"/>
              </w:rPr>
              <w:instrText xml:space="preserve">SEQ 表4- \* ARABIC</w:instrText>
            </w:r>
            <w:r>
              <w:rPr>
                <w:color w:val="auto"/>
              </w:rPr>
              <w:instrText xml:space="preserve"> </w:instrText>
            </w:r>
            <w:r>
              <w:rPr>
                <w:color w:val="auto"/>
              </w:rPr>
              <w:fldChar w:fldCharType="separate"/>
            </w:r>
            <w:r>
              <w:rPr>
                <w:color w:val="auto"/>
              </w:rPr>
              <w:t>18</w:t>
            </w:r>
            <w:r>
              <w:rPr>
                <w:color w:val="auto"/>
              </w:rPr>
              <w:fldChar w:fldCharType="end"/>
            </w:r>
            <w:r>
              <w:rPr>
                <w:rFonts w:hint="eastAsia"/>
                <w:color w:val="auto"/>
              </w:rPr>
              <w:t>：项目危险废物贮存场所基本情况表</w:t>
            </w:r>
            <w:bookmarkEnd w:id="90"/>
          </w:p>
          <w:tbl>
            <w:tblPr>
              <w:tblStyle w:val="49"/>
              <w:tblW w:w="79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849"/>
              <w:gridCol w:w="1303"/>
              <w:gridCol w:w="911"/>
              <w:gridCol w:w="1164"/>
              <w:gridCol w:w="645"/>
              <w:gridCol w:w="659"/>
              <w:gridCol w:w="803"/>
              <w:gridCol w:w="762"/>
              <w:gridCol w:w="842"/>
            </w:tblGrid>
            <w:tr w14:paraId="4C241A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80" w:hRule="atLeast"/>
                <w:jc w:val="center"/>
              </w:trPr>
              <w:tc>
                <w:tcPr>
                  <w:tcW w:w="535" w:type="pc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5458D28E">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color w:val="auto"/>
                      <w14:ligatures w14:val="standardContextual"/>
                    </w:rPr>
                  </w:pPr>
                  <w:r>
                    <w:rPr>
                      <w:rFonts w:hint="default" w:ascii="Times New Roman" w:hAnsi="Times New Roman" w:eastAsia="宋体" w:cs="Times New Roman"/>
                      <w:b/>
                      <w:i w:val="0"/>
                      <w:color w:val="auto"/>
                      <w14:ligatures w14:val="standardContextual"/>
                    </w:rPr>
                    <w:t>贮存场所名称</w:t>
                  </w:r>
                </w:p>
              </w:tc>
              <w:tc>
                <w:tcPr>
                  <w:tcW w:w="821"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6E927769">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color w:val="auto"/>
                      <w14:ligatures w14:val="standardContextual"/>
                    </w:rPr>
                  </w:pPr>
                  <w:r>
                    <w:rPr>
                      <w:rFonts w:hint="default" w:ascii="Times New Roman" w:hAnsi="Times New Roman" w:eastAsia="宋体" w:cs="Times New Roman"/>
                      <w:b/>
                      <w:i w:val="0"/>
                      <w:color w:val="auto"/>
                      <w14:ligatures w14:val="standardContextual"/>
                    </w:rPr>
                    <w:t>危废名称</w:t>
                  </w:r>
                </w:p>
              </w:tc>
              <w:tc>
                <w:tcPr>
                  <w:tcW w:w="574"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03FBF195">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color w:val="auto"/>
                      <w14:ligatures w14:val="standardContextual"/>
                    </w:rPr>
                  </w:pPr>
                  <w:r>
                    <w:rPr>
                      <w:rFonts w:hint="default" w:ascii="Times New Roman" w:hAnsi="Times New Roman" w:eastAsia="宋体" w:cs="Times New Roman"/>
                      <w:b/>
                      <w:i w:val="0"/>
                      <w:color w:val="auto"/>
                      <w14:ligatures w14:val="standardContextual"/>
                    </w:rPr>
                    <w:t>危废类别</w:t>
                  </w:r>
                </w:p>
              </w:tc>
              <w:tc>
                <w:tcPr>
                  <w:tcW w:w="733"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736F8D1C">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color w:val="auto"/>
                      <w14:ligatures w14:val="standardContextual"/>
                    </w:rPr>
                  </w:pPr>
                  <w:r>
                    <w:rPr>
                      <w:rFonts w:hint="default" w:ascii="Times New Roman" w:hAnsi="Times New Roman" w:eastAsia="宋体" w:cs="Times New Roman"/>
                      <w:b/>
                      <w:i w:val="0"/>
                      <w:color w:val="auto"/>
                      <w14:ligatures w14:val="standardContextual"/>
                    </w:rPr>
                    <w:t>危废代码</w:t>
                  </w:r>
                </w:p>
              </w:tc>
              <w:tc>
                <w:tcPr>
                  <w:tcW w:w="406"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19855CEA">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color w:val="auto"/>
                      <w14:ligatures w14:val="standardContextual"/>
                    </w:rPr>
                  </w:pPr>
                  <w:r>
                    <w:rPr>
                      <w:rFonts w:hint="default" w:ascii="Times New Roman" w:hAnsi="Times New Roman" w:eastAsia="宋体" w:cs="Times New Roman"/>
                      <w:b/>
                      <w:i w:val="0"/>
                      <w:color w:val="auto"/>
                      <w14:ligatures w14:val="standardContextual"/>
                    </w:rPr>
                    <w:t>位置</w:t>
                  </w:r>
                </w:p>
              </w:tc>
              <w:tc>
                <w:tcPr>
                  <w:tcW w:w="415"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2C4A4CA8">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color w:val="auto"/>
                      <w14:ligatures w14:val="standardContextual"/>
                    </w:rPr>
                  </w:pPr>
                  <w:r>
                    <w:rPr>
                      <w:rFonts w:hint="default" w:ascii="Times New Roman" w:hAnsi="Times New Roman" w:eastAsia="宋体" w:cs="Times New Roman"/>
                      <w:b/>
                      <w:i w:val="0"/>
                      <w:color w:val="auto"/>
                      <w14:ligatures w14:val="standardContextual"/>
                    </w:rPr>
                    <w:t>面积</w:t>
                  </w:r>
                </w:p>
              </w:tc>
              <w:tc>
                <w:tcPr>
                  <w:tcW w:w="506"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396BA618">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color w:val="auto"/>
                      <w14:ligatures w14:val="standardContextual"/>
                    </w:rPr>
                  </w:pPr>
                  <w:r>
                    <w:rPr>
                      <w:rFonts w:hint="default" w:ascii="Times New Roman" w:hAnsi="Times New Roman" w:eastAsia="宋体" w:cs="Times New Roman"/>
                      <w:b/>
                      <w:i w:val="0"/>
                      <w:color w:val="auto"/>
                      <w14:ligatures w14:val="standardContextual"/>
                    </w:rPr>
                    <w:t>贮存方式及要求</w:t>
                  </w:r>
                </w:p>
              </w:tc>
              <w:tc>
                <w:tcPr>
                  <w:tcW w:w="480"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71CFB11F">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color w:val="auto"/>
                      <w14:ligatures w14:val="standardContextual"/>
                    </w:rPr>
                  </w:pPr>
                  <w:r>
                    <w:rPr>
                      <w:rFonts w:hint="default" w:ascii="Times New Roman" w:hAnsi="Times New Roman" w:eastAsia="宋体" w:cs="Times New Roman"/>
                      <w:b/>
                      <w:i w:val="0"/>
                      <w:color w:val="auto"/>
                      <w14:ligatures w14:val="standardContextual"/>
                    </w:rPr>
                    <w:t>贮存能力</w:t>
                  </w:r>
                </w:p>
              </w:tc>
              <w:tc>
                <w:tcPr>
                  <w:tcW w:w="530" w:type="pct"/>
                  <w:tcBorders>
                    <w:top w:val="single" w:color="auto" w:sz="12" w:space="0"/>
                    <w:bottom w:val="single" w:color="auto" w:sz="12" w:space="0"/>
                    <w:right w:val="nil"/>
                    <w:insideH w:val="single" w:sz="12" w:space="0"/>
                    <w:insideV w:val="single" w:sz="4" w:space="0"/>
                    <w:tl2br w:val="nil"/>
                    <w:tr2bl w:val="nil"/>
                  </w:tcBorders>
                  <w:vAlign w:val="center"/>
                </w:tcPr>
                <w:p w14:paraId="47CADA43">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color w:val="auto"/>
                      <w14:ligatures w14:val="standardContextual"/>
                    </w:rPr>
                  </w:pPr>
                  <w:r>
                    <w:rPr>
                      <w:rFonts w:hint="default" w:ascii="Times New Roman" w:hAnsi="Times New Roman" w:eastAsia="宋体" w:cs="Times New Roman"/>
                      <w:b/>
                      <w:i w:val="0"/>
                      <w:color w:val="auto"/>
                      <w14:ligatures w14:val="standardContextual"/>
                    </w:rPr>
                    <w:t>贮存周期</w:t>
                  </w:r>
                </w:p>
              </w:tc>
            </w:tr>
            <w:tr w14:paraId="6BD50E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25" w:hRule="atLeast"/>
                <w:jc w:val="center"/>
              </w:trPr>
              <w:tc>
                <w:tcPr>
                  <w:tcW w:w="535" w:type="pct"/>
                  <w:vMerge w:val="restart"/>
                  <w:vAlign w:val="center"/>
                </w:tcPr>
                <w:p w14:paraId="02F83BF4">
                  <w:pPr>
                    <w:widowControl w:val="0"/>
                    <w:overflowPunct w:val="0"/>
                    <w:autoSpaceDE w:val="0"/>
                    <w:autoSpaceDN w:val="0"/>
                    <w:snapToGrid w:val="0"/>
                    <w:jc w:val="center"/>
                    <w:rPr>
                      <w:color w:val="auto"/>
                      <w14:ligatures w14:val="standardContextual"/>
                    </w:rPr>
                  </w:pPr>
                  <w:r>
                    <w:rPr>
                      <w:rFonts w:hint="eastAsia"/>
                      <w:color w:val="auto"/>
                      <w14:ligatures w14:val="standardContextual"/>
                    </w:rPr>
                    <w:t>危废间</w:t>
                  </w:r>
                </w:p>
              </w:tc>
              <w:tc>
                <w:tcPr>
                  <w:tcW w:w="821" w:type="pct"/>
                  <w:vAlign w:val="center"/>
                </w:tcPr>
                <w:p w14:paraId="0820AED9">
                  <w:pPr>
                    <w:widowControl w:val="0"/>
                    <w:overflowPunct w:val="0"/>
                    <w:autoSpaceDE w:val="0"/>
                    <w:autoSpaceDN w:val="0"/>
                    <w:snapToGrid w:val="0"/>
                    <w:jc w:val="center"/>
                    <w:rPr>
                      <w:color w:val="auto"/>
                      <w14:ligatures w14:val="standardContextual"/>
                    </w:rPr>
                  </w:pPr>
                  <w:r>
                    <w:rPr>
                      <w:rFonts w:hint="eastAsia"/>
                      <w:color w:val="auto"/>
                      <w14:ligatures w14:val="standardContextual"/>
                    </w:rPr>
                    <w:t>废矿物油</w:t>
                  </w:r>
                </w:p>
              </w:tc>
              <w:tc>
                <w:tcPr>
                  <w:tcW w:w="574" w:type="pct"/>
                  <w:vAlign w:val="center"/>
                </w:tcPr>
                <w:p w14:paraId="68E07EF1">
                  <w:pPr>
                    <w:widowControl w:val="0"/>
                    <w:overflowPunct w:val="0"/>
                    <w:autoSpaceDE w:val="0"/>
                    <w:autoSpaceDN w:val="0"/>
                    <w:snapToGrid w:val="0"/>
                    <w:jc w:val="center"/>
                    <w:rPr>
                      <w:bCs/>
                      <w:color w:val="auto"/>
                      <w14:ligatures w14:val="standardContextual"/>
                    </w:rPr>
                  </w:pPr>
                  <w:r>
                    <w:rPr>
                      <w:color w:val="auto"/>
                      <w14:ligatures w14:val="standardContextual"/>
                    </w:rPr>
                    <w:t>HW08</w:t>
                  </w:r>
                </w:p>
              </w:tc>
              <w:tc>
                <w:tcPr>
                  <w:tcW w:w="733" w:type="pct"/>
                  <w:vAlign w:val="center"/>
                </w:tcPr>
                <w:p w14:paraId="0772D8A8">
                  <w:pPr>
                    <w:widowControl w:val="0"/>
                    <w:overflowPunct w:val="0"/>
                    <w:autoSpaceDE w:val="0"/>
                    <w:autoSpaceDN w:val="0"/>
                    <w:snapToGrid w:val="0"/>
                    <w:jc w:val="center"/>
                    <w:rPr>
                      <w:bCs/>
                      <w:color w:val="auto"/>
                      <w14:ligatures w14:val="standardContextual"/>
                    </w:rPr>
                  </w:pPr>
                  <w:r>
                    <w:rPr>
                      <w:color w:val="auto"/>
                      <w14:ligatures w14:val="standardContextual"/>
                    </w:rPr>
                    <w:t>900-214-08</w:t>
                  </w:r>
                </w:p>
              </w:tc>
              <w:tc>
                <w:tcPr>
                  <w:tcW w:w="406" w:type="pct"/>
                  <w:vMerge w:val="restart"/>
                  <w:vAlign w:val="center"/>
                </w:tcPr>
                <w:p w14:paraId="5BEE6BE9">
                  <w:pPr>
                    <w:widowControl w:val="0"/>
                    <w:overflowPunct w:val="0"/>
                    <w:autoSpaceDE w:val="0"/>
                    <w:autoSpaceDN w:val="0"/>
                    <w:snapToGrid w:val="0"/>
                    <w:jc w:val="center"/>
                    <w:rPr>
                      <w:color w:val="auto"/>
                      <w14:ligatures w14:val="standardContextual"/>
                    </w:rPr>
                  </w:pPr>
                  <w:r>
                    <w:rPr>
                      <w:rFonts w:hint="eastAsia"/>
                      <w:color w:val="auto"/>
                      <w14:ligatures w14:val="standardContextual"/>
                    </w:rPr>
                    <w:t>厂区西侧</w:t>
                  </w:r>
                </w:p>
              </w:tc>
              <w:tc>
                <w:tcPr>
                  <w:tcW w:w="415" w:type="pct"/>
                  <w:vMerge w:val="restart"/>
                  <w:vAlign w:val="center"/>
                </w:tcPr>
                <w:p w14:paraId="64AEC367">
                  <w:pPr>
                    <w:widowControl w:val="0"/>
                    <w:overflowPunct w:val="0"/>
                    <w:autoSpaceDE w:val="0"/>
                    <w:autoSpaceDN w:val="0"/>
                    <w:snapToGrid w:val="0"/>
                    <w:jc w:val="center"/>
                    <w:rPr>
                      <w:color w:val="auto"/>
                      <w14:ligatures w14:val="standardContextual"/>
                    </w:rPr>
                  </w:pPr>
                  <w:r>
                    <w:rPr>
                      <w:rFonts w:hint="eastAsia"/>
                      <w:color w:val="auto"/>
                      <w14:ligatures w14:val="standardContextual"/>
                    </w:rPr>
                    <w:t>10m</w:t>
                  </w:r>
                  <w:r>
                    <w:rPr>
                      <w:rFonts w:hint="eastAsia"/>
                      <w:color w:val="auto"/>
                      <w:vertAlign w:val="superscript"/>
                      <w14:ligatures w14:val="standardContextual"/>
                    </w:rPr>
                    <w:t>2</w:t>
                  </w:r>
                </w:p>
              </w:tc>
              <w:tc>
                <w:tcPr>
                  <w:tcW w:w="506" w:type="pct"/>
                  <w:vAlign w:val="center"/>
                </w:tcPr>
                <w:p w14:paraId="1F8B26A1">
                  <w:pPr>
                    <w:widowControl w:val="0"/>
                    <w:overflowPunct w:val="0"/>
                    <w:autoSpaceDE w:val="0"/>
                    <w:autoSpaceDN w:val="0"/>
                    <w:snapToGrid w:val="0"/>
                    <w:jc w:val="center"/>
                    <w:rPr>
                      <w:color w:val="auto"/>
                      <w14:ligatures w14:val="standardContextual"/>
                    </w:rPr>
                  </w:pPr>
                  <w:r>
                    <w:rPr>
                      <w:rFonts w:hint="eastAsia"/>
                      <w:color w:val="auto"/>
                      <w14:ligatures w14:val="standardContextual"/>
                    </w:rPr>
                    <w:t>桶装</w:t>
                  </w:r>
                </w:p>
              </w:tc>
              <w:tc>
                <w:tcPr>
                  <w:tcW w:w="480" w:type="pct"/>
                  <w:vMerge w:val="restart"/>
                  <w:vAlign w:val="center"/>
                </w:tcPr>
                <w:p w14:paraId="3855AAA8">
                  <w:pPr>
                    <w:widowControl w:val="0"/>
                    <w:overflowPunct w:val="0"/>
                    <w:autoSpaceDE w:val="0"/>
                    <w:autoSpaceDN w:val="0"/>
                    <w:snapToGrid w:val="0"/>
                    <w:jc w:val="center"/>
                    <w:rPr>
                      <w:color w:val="auto"/>
                      <w14:ligatures w14:val="standardContextual"/>
                    </w:rPr>
                  </w:pPr>
                  <w:r>
                    <w:rPr>
                      <w:rFonts w:hint="eastAsia"/>
                      <w:color w:val="auto"/>
                      <w14:ligatures w14:val="standardContextual"/>
                    </w:rPr>
                    <w:t>0.5t</w:t>
                  </w:r>
                </w:p>
              </w:tc>
              <w:tc>
                <w:tcPr>
                  <w:tcW w:w="530" w:type="pct"/>
                  <w:vAlign w:val="center"/>
                </w:tcPr>
                <w:p w14:paraId="4980C366">
                  <w:pPr>
                    <w:widowControl w:val="0"/>
                    <w:overflowPunct w:val="0"/>
                    <w:autoSpaceDE w:val="0"/>
                    <w:autoSpaceDN w:val="0"/>
                    <w:snapToGrid w:val="0"/>
                    <w:jc w:val="center"/>
                    <w:rPr>
                      <w:color w:val="auto"/>
                      <w14:ligatures w14:val="standardContextual"/>
                    </w:rPr>
                  </w:pPr>
                  <w:r>
                    <w:rPr>
                      <w:rFonts w:hint="eastAsia"/>
                      <w:color w:val="auto"/>
                      <w14:ligatures w14:val="standardContextual"/>
                    </w:rPr>
                    <w:t>半年</w:t>
                  </w:r>
                </w:p>
              </w:tc>
            </w:tr>
            <w:tr w14:paraId="468793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25" w:hRule="atLeast"/>
                <w:jc w:val="center"/>
              </w:trPr>
              <w:tc>
                <w:tcPr>
                  <w:tcW w:w="535" w:type="pct"/>
                  <w:vMerge w:val="continue"/>
                  <w:vAlign w:val="center"/>
                </w:tcPr>
                <w:p w14:paraId="2ADAD343">
                  <w:pPr>
                    <w:widowControl w:val="0"/>
                    <w:overflowPunct w:val="0"/>
                    <w:autoSpaceDE w:val="0"/>
                    <w:autoSpaceDN w:val="0"/>
                    <w:snapToGrid w:val="0"/>
                    <w:jc w:val="center"/>
                    <w:rPr>
                      <w:color w:val="auto"/>
                      <w14:ligatures w14:val="standardContextual"/>
                    </w:rPr>
                  </w:pPr>
                </w:p>
              </w:tc>
              <w:tc>
                <w:tcPr>
                  <w:tcW w:w="821" w:type="pct"/>
                  <w:vAlign w:val="center"/>
                </w:tcPr>
                <w:p w14:paraId="27E78C4E">
                  <w:pPr>
                    <w:widowControl w:val="0"/>
                    <w:overflowPunct w:val="0"/>
                    <w:autoSpaceDE w:val="0"/>
                    <w:autoSpaceDN w:val="0"/>
                    <w:snapToGrid w:val="0"/>
                    <w:jc w:val="center"/>
                    <w:rPr>
                      <w:color w:val="auto"/>
                      <w14:ligatures w14:val="standardContextual"/>
                    </w:rPr>
                  </w:pPr>
                  <w:r>
                    <w:rPr>
                      <w:rFonts w:hint="eastAsia"/>
                      <w:color w:val="auto"/>
                      <w14:ligatures w14:val="standardContextual"/>
                    </w:rPr>
                    <w:t>废机油桶</w:t>
                  </w:r>
                </w:p>
              </w:tc>
              <w:tc>
                <w:tcPr>
                  <w:tcW w:w="574" w:type="pct"/>
                  <w:vAlign w:val="center"/>
                </w:tcPr>
                <w:p w14:paraId="78FE5371">
                  <w:pPr>
                    <w:widowControl w:val="0"/>
                    <w:overflowPunct w:val="0"/>
                    <w:autoSpaceDE w:val="0"/>
                    <w:autoSpaceDN w:val="0"/>
                    <w:snapToGrid w:val="0"/>
                    <w:jc w:val="center"/>
                    <w:rPr>
                      <w:color w:val="auto"/>
                      <w14:ligatures w14:val="standardContextual"/>
                    </w:rPr>
                  </w:pPr>
                  <w:r>
                    <w:rPr>
                      <w:rFonts w:hint="eastAsia"/>
                      <w:color w:val="auto"/>
                      <w14:ligatures w14:val="standardContextual"/>
                    </w:rPr>
                    <w:t>HW08</w:t>
                  </w:r>
                </w:p>
              </w:tc>
              <w:tc>
                <w:tcPr>
                  <w:tcW w:w="733" w:type="pct"/>
                  <w:vAlign w:val="center"/>
                </w:tcPr>
                <w:p w14:paraId="4FD3FE5A">
                  <w:pPr>
                    <w:widowControl w:val="0"/>
                    <w:overflowPunct w:val="0"/>
                    <w:autoSpaceDE w:val="0"/>
                    <w:autoSpaceDN w:val="0"/>
                    <w:snapToGrid w:val="0"/>
                    <w:jc w:val="center"/>
                    <w:rPr>
                      <w:color w:val="auto"/>
                      <w14:ligatures w14:val="standardContextual"/>
                    </w:rPr>
                  </w:pPr>
                  <w:r>
                    <w:rPr>
                      <w:color w:val="auto"/>
                      <w14:ligatures w14:val="standardContextual"/>
                    </w:rPr>
                    <w:t>900-249-08</w:t>
                  </w:r>
                </w:p>
              </w:tc>
              <w:tc>
                <w:tcPr>
                  <w:tcW w:w="406" w:type="pct"/>
                  <w:vMerge w:val="continue"/>
                  <w:vAlign w:val="center"/>
                </w:tcPr>
                <w:p w14:paraId="12D1968B">
                  <w:pPr>
                    <w:widowControl w:val="0"/>
                    <w:overflowPunct w:val="0"/>
                    <w:autoSpaceDE w:val="0"/>
                    <w:autoSpaceDN w:val="0"/>
                    <w:snapToGrid w:val="0"/>
                    <w:jc w:val="center"/>
                    <w:rPr>
                      <w:color w:val="auto"/>
                      <w14:ligatures w14:val="standardContextual"/>
                    </w:rPr>
                  </w:pPr>
                </w:p>
              </w:tc>
              <w:tc>
                <w:tcPr>
                  <w:tcW w:w="415" w:type="pct"/>
                  <w:vMerge w:val="continue"/>
                  <w:vAlign w:val="center"/>
                </w:tcPr>
                <w:p w14:paraId="0D890FCA">
                  <w:pPr>
                    <w:widowControl w:val="0"/>
                    <w:overflowPunct w:val="0"/>
                    <w:autoSpaceDE w:val="0"/>
                    <w:autoSpaceDN w:val="0"/>
                    <w:snapToGrid w:val="0"/>
                    <w:jc w:val="center"/>
                    <w:rPr>
                      <w:color w:val="auto"/>
                      <w14:ligatures w14:val="standardContextual"/>
                    </w:rPr>
                  </w:pPr>
                </w:p>
              </w:tc>
              <w:tc>
                <w:tcPr>
                  <w:tcW w:w="506" w:type="pct"/>
                  <w:vAlign w:val="center"/>
                </w:tcPr>
                <w:p w14:paraId="5E2F8230">
                  <w:pPr>
                    <w:widowControl w:val="0"/>
                    <w:overflowPunct w:val="0"/>
                    <w:autoSpaceDE w:val="0"/>
                    <w:autoSpaceDN w:val="0"/>
                    <w:snapToGrid w:val="0"/>
                    <w:jc w:val="center"/>
                    <w:rPr>
                      <w:color w:val="auto"/>
                      <w14:ligatures w14:val="standardContextual"/>
                    </w:rPr>
                  </w:pPr>
                  <w:r>
                    <w:rPr>
                      <w:rFonts w:hint="eastAsia"/>
                      <w:color w:val="auto"/>
                      <w14:ligatures w14:val="standardContextual"/>
                    </w:rPr>
                    <w:t>桶装</w:t>
                  </w:r>
                </w:p>
              </w:tc>
              <w:tc>
                <w:tcPr>
                  <w:tcW w:w="480" w:type="pct"/>
                  <w:vMerge w:val="continue"/>
                  <w:vAlign w:val="center"/>
                </w:tcPr>
                <w:p w14:paraId="5FA2420E">
                  <w:pPr>
                    <w:widowControl w:val="0"/>
                    <w:overflowPunct w:val="0"/>
                    <w:autoSpaceDE w:val="0"/>
                    <w:autoSpaceDN w:val="0"/>
                    <w:snapToGrid w:val="0"/>
                    <w:jc w:val="center"/>
                    <w:rPr>
                      <w:color w:val="auto"/>
                      <w14:ligatures w14:val="standardContextual"/>
                    </w:rPr>
                  </w:pPr>
                </w:p>
              </w:tc>
              <w:tc>
                <w:tcPr>
                  <w:tcW w:w="530" w:type="pct"/>
                  <w:vAlign w:val="center"/>
                </w:tcPr>
                <w:p w14:paraId="6ECCEC06">
                  <w:pPr>
                    <w:widowControl w:val="0"/>
                    <w:overflowPunct w:val="0"/>
                    <w:autoSpaceDE w:val="0"/>
                    <w:autoSpaceDN w:val="0"/>
                    <w:snapToGrid w:val="0"/>
                    <w:jc w:val="center"/>
                    <w:rPr>
                      <w:color w:val="auto"/>
                      <w14:ligatures w14:val="standardContextual"/>
                    </w:rPr>
                  </w:pPr>
                  <w:r>
                    <w:rPr>
                      <w:rFonts w:hint="eastAsia"/>
                      <w:color w:val="auto"/>
                      <w14:ligatures w14:val="standardContextual"/>
                    </w:rPr>
                    <w:t>半年</w:t>
                  </w:r>
                </w:p>
              </w:tc>
            </w:tr>
            <w:tr w14:paraId="15A9B5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25" w:hRule="atLeast"/>
                <w:jc w:val="center"/>
              </w:trPr>
              <w:tc>
                <w:tcPr>
                  <w:tcW w:w="535" w:type="pct"/>
                  <w:vMerge w:val="continue"/>
                  <w:vAlign w:val="center"/>
                </w:tcPr>
                <w:p w14:paraId="0B0DC549">
                  <w:pPr>
                    <w:widowControl w:val="0"/>
                    <w:overflowPunct w:val="0"/>
                    <w:autoSpaceDE w:val="0"/>
                    <w:autoSpaceDN w:val="0"/>
                    <w:snapToGrid w:val="0"/>
                    <w:jc w:val="center"/>
                    <w:rPr>
                      <w:color w:val="auto"/>
                      <w14:ligatures w14:val="standardContextual"/>
                    </w:rPr>
                  </w:pPr>
                </w:p>
              </w:tc>
              <w:tc>
                <w:tcPr>
                  <w:tcW w:w="821" w:type="pct"/>
                  <w:vAlign w:val="center"/>
                </w:tcPr>
                <w:p w14:paraId="2A56439C">
                  <w:pPr>
                    <w:widowControl w:val="0"/>
                    <w:overflowPunct w:val="0"/>
                    <w:autoSpaceDE w:val="0"/>
                    <w:autoSpaceDN w:val="0"/>
                    <w:snapToGrid w:val="0"/>
                    <w:jc w:val="center"/>
                    <w:rPr>
                      <w:color w:val="auto"/>
                      <w14:ligatures w14:val="standardContextual"/>
                    </w:rPr>
                  </w:pPr>
                  <w:r>
                    <w:rPr>
                      <w:rFonts w:hint="eastAsia"/>
                      <w:color w:val="auto"/>
                      <w14:ligatures w14:val="standardContextual"/>
                    </w:rPr>
                    <w:t>废含油抹布和手套</w:t>
                  </w:r>
                </w:p>
              </w:tc>
              <w:tc>
                <w:tcPr>
                  <w:tcW w:w="574" w:type="pct"/>
                  <w:vAlign w:val="center"/>
                </w:tcPr>
                <w:p w14:paraId="4A6C7317">
                  <w:pPr>
                    <w:widowControl w:val="0"/>
                    <w:overflowPunct w:val="0"/>
                    <w:autoSpaceDE w:val="0"/>
                    <w:autoSpaceDN w:val="0"/>
                    <w:snapToGrid w:val="0"/>
                    <w:jc w:val="center"/>
                    <w:rPr>
                      <w:color w:val="auto"/>
                      <w14:ligatures w14:val="standardContextual"/>
                    </w:rPr>
                  </w:pPr>
                  <w:r>
                    <w:rPr>
                      <w:color w:val="auto"/>
                      <w14:ligatures w14:val="standardContextual"/>
                    </w:rPr>
                    <w:t>HW49</w:t>
                  </w:r>
                </w:p>
              </w:tc>
              <w:tc>
                <w:tcPr>
                  <w:tcW w:w="733" w:type="pct"/>
                  <w:vAlign w:val="center"/>
                </w:tcPr>
                <w:p w14:paraId="3D8814C5">
                  <w:pPr>
                    <w:widowControl w:val="0"/>
                    <w:overflowPunct w:val="0"/>
                    <w:autoSpaceDE w:val="0"/>
                    <w:autoSpaceDN w:val="0"/>
                    <w:snapToGrid w:val="0"/>
                    <w:jc w:val="center"/>
                    <w:rPr>
                      <w:color w:val="auto"/>
                      <w14:ligatures w14:val="standardContextual"/>
                    </w:rPr>
                  </w:pPr>
                  <w:r>
                    <w:rPr>
                      <w:color w:val="auto"/>
                      <w14:ligatures w14:val="standardContextual"/>
                    </w:rPr>
                    <w:t>900-041-49</w:t>
                  </w:r>
                </w:p>
              </w:tc>
              <w:tc>
                <w:tcPr>
                  <w:tcW w:w="406" w:type="pct"/>
                  <w:vMerge w:val="continue"/>
                  <w:vAlign w:val="center"/>
                </w:tcPr>
                <w:p w14:paraId="2891941F">
                  <w:pPr>
                    <w:widowControl w:val="0"/>
                    <w:overflowPunct w:val="0"/>
                    <w:autoSpaceDE w:val="0"/>
                    <w:autoSpaceDN w:val="0"/>
                    <w:snapToGrid w:val="0"/>
                    <w:jc w:val="center"/>
                    <w:rPr>
                      <w:color w:val="auto"/>
                      <w14:ligatures w14:val="standardContextual"/>
                    </w:rPr>
                  </w:pPr>
                </w:p>
              </w:tc>
              <w:tc>
                <w:tcPr>
                  <w:tcW w:w="415" w:type="pct"/>
                  <w:vMerge w:val="continue"/>
                  <w:vAlign w:val="center"/>
                </w:tcPr>
                <w:p w14:paraId="73EC38D5">
                  <w:pPr>
                    <w:widowControl w:val="0"/>
                    <w:overflowPunct w:val="0"/>
                    <w:autoSpaceDE w:val="0"/>
                    <w:autoSpaceDN w:val="0"/>
                    <w:snapToGrid w:val="0"/>
                    <w:jc w:val="center"/>
                    <w:rPr>
                      <w:color w:val="auto"/>
                      <w14:ligatures w14:val="standardContextual"/>
                    </w:rPr>
                  </w:pPr>
                </w:p>
              </w:tc>
              <w:tc>
                <w:tcPr>
                  <w:tcW w:w="506" w:type="pct"/>
                  <w:vAlign w:val="center"/>
                </w:tcPr>
                <w:p w14:paraId="484D3FD6">
                  <w:pPr>
                    <w:widowControl w:val="0"/>
                    <w:overflowPunct w:val="0"/>
                    <w:autoSpaceDE w:val="0"/>
                    <w:autoSpaceDN w:val="0"/>
                    <w:snapToGrid w:val="0"/>
                    <w:jc w:val="center"/>
                    <w:rPr>
                      <w:color w:val="auto"/>
                      <w14:ligatures w14:val="standardContextual"/>
                    </w:rPr>
                  </w:pPr>
                  <w:r>
                    <w:rPr>
                      <w:rFonts w:hint="eastAsia"/>
                      <w:color w:val="auto"/>
                      <w14:ligatures w14:val="standardContextual"/>
                    </w:rPr>
                    <w:t>袋装</w:t>
                  </w:r>
                </w:p>
              </w:tc>
              <w:tc>
                <w:tcPr>
                  <w:tcW w:w="480" w:type="pct"/>
                  <w:vMerge w:val="continue"/>
                  <w:vAlign w:val="center"/>
                </w:tcPr>
                <w:p w14:paraId="5696C357">
                  <w:pPr>
                    <w:widowControl w:val="0"/>
                    <w:overflowPunct w:val="0"/>
                    <w:autoSpaceDE w:val="0"/>
                    <w:autoSpaceDN w:val="0"/>
                    <w:snapToGrid w:val="0"/>
                    <w:jc w:val="center"/>
                    <w:rPr>
                      <w:color w:val="auto"/>
                      <w14:ligatures w14:val="standardContextual"/>
                    </w:rPr>
                  </w:pPr>
                </w:p>
              </w:tc>
              <w:tc>
                <w:tcPr>
                  <w:tcW w:w="530" w:type="pct"/>
                  <w:vAlign w:val="center"/>
                </w:tcPr>
                <w:p w14:paraId="70D0CF32">
                  <w:pPr>
                    <w:widowControl w:val="0"/>
                    <w:overflowPunct w:val="0"/>
                    <w:autoSpaceDE w:val="0"/>
                    <w:autoSpaceDN w:val="0"/>
                    <w:snapToGrid w:val="0"/>
                    <w:jc w:val="center"/>
                    <w:rPr>
                      <w:color w:val="auto"/>
                      <w14:ligatures w14:val="standardContextual"/>
                    </w:rPr>
                  </w:pPr>
                  <w:r>
                    <w:rPr>
                      <w:rFonts w:hint="eastAsia"/>
                      <w:color w:val="auto"/>
                      <w14:ligatures w14:val="standardContextual"/>
                    </w:rPr>
                    <w:t>半年</w:t>
                  </w:r>
                </w:p>
              </w:tc>
            </w:tr>
          </w:tbl>
          <w:p w14:paraId="24762A4B">
            <w:pPr>
              <w:pStyle w:val="3"/>
              <w:ind w:firstLine="482"/>
              <w:rPr>
                <w:b/>
                <w:bCs/>
              </w:rPr>
            </w:pPr>
            <w:r>
              <w:rPr>
                <w:rFonts w:hint="eastAsia"/>
                <w:b/>
                <w:bCs/>
                <w:color w:val="auto"/>
              </w:rPr>
              <w:t>3、固废环境管理要求</w:t>
            </w:r>
          </w:p>
          <w:p w14:paraId="64413950">
            <w:pPr>
              <w:pStyle w:val="3"/>
              <w:ind w:firstLine="480"/>
            </w:pPr>
            <w:r>
              <w:rPr>
                <w:rFonts w:hint="eastAsia"/>
              </w:rPr>
              <w:t>一般工业固废场所的建设应满足相应防渗漏、防雨淋、防扬尘等环境保护相关要求。具体为：贮存区采取防风防雨措施、严禁露天堆放；各类固废应分类收集；贮存区按照《环境保护图形标志——固体废物贮存（处置）场》(GB15562.2)的要求设置环保图形标志；指定专人进行日常管理。</w:t>
            </w:r>
          </w:p>
          <w:p w14:paraId="2B82F222">
            <w:pPr>
              <w:pStyle w:val="3"/>
              <w:ind w:firstLine="480"/>
            </w:pPr>
            <w:r>
              <w:rPr>
                <w:rFonts w:hint="eastAsia"/>
              </w:rPr>
              <w:t>根据《国家危险废物名录》规定，本项目产生的危险废物，应按要求交由有资质单位处理。交由有资质单位处理前，危险废物的存储应单独设置一处危废间，面积为10m</w:t>
            </w:r>
            <w:r>
              <w:rPr>
                <w:rFonts w:hint="eastAsia"/>
                <w:vertAlign w:val="superscript"/>
              </w:rPr>
              <w:t>2</w:t>
            </w:r>
            <w:r>
              <w:rPr>
                <w:rFonts w:hint="eastAsia"/>
              </w:rPr>
              <w:t>，定期转运。</w:t>
            </w:r>
          </w:p>
          <w:p w14:paraId="598FC3EA">
            <w:pPr>
              <w:pStyle w:val="3"/>
              <w:ind w:firstLine="480"/>
            </w:pPr>
            <w:r>
              <w:rPr>
                <w:rFonts w:hint="eastAsia"/>
              </w:rPr>
              <w:t>危废间严格按照《危险废物贮存污染控制标准》（GB18597-2023）的“危废贮存库”要求建设，主要包括但不限于：</w:t>
            </w:r>
          </w:p>
          <w:p w14:paraId="7B5BBF5F">
            <w:pPr>
              <w:pStyle w:val="3"/>
              <w:ind w:firstLine="480"/>
            </w:pPr>
            <w:r>
              <w:rPr>
                <w:rFonts w:hint="eastAsia"/>
              </w:rPr>
              <w:t>（1）贮存设施污染控制要求</w:t>
            </w:r>
          </w:p>
          <w:p w14:paraId="09C997C6">
            <w:pPr>
              <w:pStyle w:val="3"/>
              <w:ind w:firstLine="480"/>
            </w:pPr>
            <w:r>
              <w:rPr>
                <w:rFonts w:hint="eastAsia"/>
              </w:rPr>
              <w:t>1）一般规定</w:t>
            </w:r>
          </w:p>
          <w:p w14:paraId="15D04EF0">
            <w:pPr>
              <w:pStyle w:val="3"/>
              <w:ind w:firstLine="480"/>
            </w:pPr>
            <w:r>
              <w:rPr>
                <w:rFonts w:hint="eastAsia"/>
              </w:rPr>
              <w:t>①贮存设施应根据危险废物的形态、物理化学性质、包装形式和污染物迁移途径，采取必要的防风、防晒、防雨、防漏、防渗、防腐以及其他环境污染防治措施，不应露天堆放危险废物。</w:t>
            </w:r>
          </w:p>
          <w:p w14:paraId="73711604">
            <w:pPr>
              <w:pStyle w:val="3"/>
              <w:ind w:firstLine="480"/>
            </w:pPr>
            <w:r>
              <w:rPr>
                <w:rFonts w:hint="eastAsia"/>
              </w:rPr>
              <w:t>②贮存设施应根据危险废物的类别、数量、形态、物理化学性质和污染防治等要求设置必要的贮存分区，避免不相容的危险废物接触、混合。</w:t>
            </w:r>
          </w:p>
          <w:p w14:paraId="54668692">
            <w:pPr>
              <w:pStyle w:val="3"/>
              <w:ind w:firstLine="480"/>
            </w:pPr>
            <w:r>
              <w:rPr>
                <w:rFonts w:hint="eastAsia"/>
              </w:rPr>
              <w:t>③贮存设施或贮存分区内地面、墙面裙脚、堵截泄漏的围堰、接触危险废物的隔板和墙体等应采用坚固的材料建造，表面无裂缝。</w:t>
            </w:r>
          </w:p>
          <w:p w14:paraId="7C457743">
            <w:pPr>
              <w:pStyle w:val="3"/>
              <w:ind w:firstLine="480"/>
            </w:pPr>
            <w:r>
              <w:rPr>
                <w:rFonts w:hint="eastAsia"/>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vertAlign w:val="superscript"/>
              </w:rPr>
              <w:t>-7</w:t>
            </w:r>
            <w:r>
              <w:rPr>
                <w:rFonts w:hint="eastAsia"/>
              </w:rPr>
              <w:t>cm/s），或至少2mm厚高密度聚乙烯膜等人工防渗材料（渗透系数不大于10</w:t>
            </w:r>
            <w:r>
              <w:rPr>
                <w:rFonts w:hint="eastAsia"/>
                <w:vertAlign w:val="superscript"/>
              </w:rPr>
              <w:t>-10</w:t>
            </w:r>
            <w:r>
              <w:rPr>
                <w:rFonts w:hint="eastAsia"/>
              </w:rPr>
              <w:t>cm/s），或其他防渗性能等效的材料。</w:t>
            </w:r>
          </w:p>
          <w:p w14:paraId="0FFD3895">
            <w:pPr>
              <w:pStyle w:val="3"/>
              <w:ind w:firstLine="480"/>
            </w:pPr>
            <w:r>
              <w:rPr>
                <w:rFonts w:hint="eastAsia"/>
              </w:rPr>
              <w:t>⑤同一贮存设施宜采用相同的防渗、防腐工艺（包括防渗、防腐结构或材料），防渗、防腐材料应覆盖所有可能与废物及其渗滤液、渗漏液等接触的构筑物表面；采用不同防渗、防腐工艺应分别建设贮存分区。</w:t>
            </w:r>
          </w:p>
          <w:p w14:paraId="00706DB2">
            <w:pPr>
              <w:pStyle w:val="3"/>
              <w:ind w:firstLine="480"/>
            </w:pPr>
            <w:r>
              <w:rPr>
                <w:rFonts w:hint="eastAsia"/>
              </w:rPr>
              <w:t>⑥贮存设施应采取技术和管理措施防止无关人员进入。</w:t>
            </w:r>
          </w:p>
          <w:p w14:paraId="742CF6AA">
            <w:pPr>
              <w:pStyle w:val="3"/>
              <w:ind w:firstLine="480"/>
            </w:pPr>
            <w:r>
              <w:rPr>
                <w:rFonts w:hint="eastAsia"/>
              </w:rPr>
              <w:t>2）贮存库</w:t>
            </w:r>
          </w:p>
          <w:p w14:paraId="7BFFD004">
            <w:pPr>
              <w:pStyle w:val="3"/>
              <w:ind w:firstLine="480"/>
            </w:pPr>
            <w:r>
              <w:rPr>
                <w:rFonts w:hint="eastAsia"/>
              </w:rPr>
              <w:t>①贮存库内不同贮存分区之间应采取隔离措施。隔离措施可根据危险废物特性采用过道、隔板或隔墙等方式。</w:t>
            </w:r>
          </w:p>
          <w:p w14:paraId="1FDC235D">
            <w:pPr>
              <w:pStyle w:val="3"/>
              <w:ind w:firstLine="480"/>
            </w:pPr>
            <w:r>
              <w:rPr>
                <w:rFonts w:hint="eastAsia"/>
              </w:rPr>
              <w:t>②在贮存库内或通过贮存分区方式贮存液态危险废物的，应具有</w:t>
            </w:r>
            <w:r>
              <w:rPr>
                <w:rFonts w:hint="eastAsia"/>
                <w:b/>
                <w:bCs/>
              </w:rPr>
              <w:t>液体泄漏堵截设施</w:t>
            </w:r>
            <w:r>
              <w:rPr>
                <w:rFonts w:hint="eastAsia"/>
              </w:rPr>
              <w:t>，堵截设施最小容积不应低于对应贮存区域最大液态废物容器容积或液态废物总储量1/10（二者取较大者）；用于贮存可能产生渗滤液的危险废物的贮存库或贮存分区应设计</w:t>
            </w:r>
            <w:r>
              <w:rPr>
                <w:rFonts w:hint="eastAsia"/>
                <w:b/>
                <w:bCs/>
              </w:rPr>
              <w:t>渗滤液收集设施</w:t>
            </w:r>
            <w:r>
              <w:rPr>
                <w:rFonts w:hint="eastAsia"/>
              </w:rPr>
              <w:t>，收集设施容积应满足渗滤液的收集要求。</w:t>
            </w:r>
          </w:p>
          <w:p w14:paraId="5B456EA4">
            <w:pPr>
              <w:pStyle w:val="3"/>
              <w:ind w:firstLine="480"/>
            </w:pPr>
            <w:r>
              <w:rPr>
                <w:rFonts w:hint="eastAsia"/>
              </w:rPr>
              <w:t>③贮存易产生粉尘、VOCs、酸雾、有毒有害大气污染物和刺激性气味气体的危废贮存库，应设置</w:t>
            </w:r>
            <w:r>
              <w:rPr>
                <w:rFonts w:hint="eastAsia"/>
                <w:b/>
                <w:bCs/>
              </w:rPr>
              <w:t>气体收集装置和气体净化设施</w:t>
            </w:r>
            <w:r>
              <w:rPr>
                <w:rFonts w:hint="eastAsia"/>
              </w:rPr>
              <w:t>；气体净化设施的排气筒高度应符合GB16297要求。</w:t>
            </w:r>
          </w:p>
          <w:p w14:paraId="11B26AD7">
            <w:pPr>
              <w:pStyle w:val="3"/>
              <w:ind w:firstLine="480"/>
            </w:pPr>
            <w:r>
              <w:rPr>
                <w:rFonts w:hint="eastAsia"/>
              </w:rPr>
              <w:t>（2）容器和包装物污染控制要求</w:t>
            </w:r>
          </w:p>
          <w:p w14:paraId="04B964BE">
            <w:pPr>
              <w:pStyle w:val="3"/>
              <w:ind w:firstLine="480"/>
            </w:pPr>
            <w:r>
              <w:rPr>
                <w:rFonts w:hint="eastAsia"/>
              </w:rPr>
              <w:t>①容器和包装物材质、内衬应与盛装的危险废物相容。</w:t>
            </w:r>
          </w:p>
          <w:p w14:paraId="575A8E0F">
            <w:pPr>
              <w:pStyle w:val="3"/>
              <w:ind w:firstLine="480"/>
            </w:pPr>
            <w:r>
              <w:rPr>
                <w:rFonts w:hint="eastAsia"/>
              </w:rPr>
              <w:t>②针对不同类别、形态、物理化学性质的危险废物，其容器和包装物应满足相应的防渗、防漏、防腐和强度等要求。</w:t>
            </w:r>
          </w:p>
          <w:p w14:paraId="4808C8C4">
            <w:pPr>
              <w:pStyle w:val="3"/>
              <w:ind w:firstLine="480"/>
            </w:pPr>
            <w:r>
              <w:rPr>
                <w:rFonts w:hint="eastAsia"/>
              </w:rPr>
              <w:t>③硬质容器和包装物及其支护结构堆叠码放时不应有明显变形，无破损泄漏。</w:t>
            </w:r>
          </w:p>
          <w:p w14:paraId="140ACF96">
            <w:pPr>
              <w:pStyle w:val="3"/>
              <w:ind w:firstLine="480"/>
            </w:pPr>
            <w:r>
              <w:rPr>
                <w:rFonts w:hint="eastAsia"/>
              </w:rPr>
              <w:t>④柔性容器和包装物堆叠码放时应封口严密，无破损泄漏。</w:t>
            </w:r>
          </w:p>
          <w:p w14:paraId="7DCA72CC">
            <w:pPr>
              <w:pStyle w:val="3"/>
              <w:ind w:firstLine="480"/>
            </w:pPr>
            <w:r>
              <w:rPr>
                <w:rFonts w:hint="eastAsia"/>
              </w:rPr>
              <w:t>⑤使用容器盛装液态、半固态危险废物时，容器内部应留有适当的空间，以适应因温度变化等可能引发的收缩和膨胀，防止其导致容器渗漏或永久变形。</w:t>
            </w:r>
          </w:p>
          <w:p w14:paraId="5AA2FCFC">
            <w:pPr>
              <w:pStyle w:val="3"/>
              <w:ind w:firstLine="480"/>
            </w:pPr>
            <w:r>
              <w:rPr>
                <w:rFonts w:hint="eastAsia"/>
              </w:rPr>
              <w:t>⑥容器和包装物外表面应保持清洁。</w:t>
            </w:r>
          </w:p>
          <w:p w14:paraId="39D03992">
            <w:pPr>
              <w:pStyle w:val="3"/>
              <w:ind w:firstLine="480"/>
            </w:pPr>
            <w:r>
              <w:rPr>
                <w:rFonts w:hint="eastAsia"/>
              </w:rPr>
              <w:t>（3）贮存过程污染控制要求</w:t>
            </w:r>
          </w:p>
          <w:p w14:paraId="043D70B5">
            <w:pPr>
              <w:pStyle w:val="3"/>
              <w:ind w:firstLine="480"/>
            </w:pPr>
            <w:r>
              <w:rPr>
                <w:rFonts w:hint="eastAsia"/>
              </w:rPr>
              <w:t>1）一般规定</w:t>
            </w:r>
          </w:p>
          <w:p w14:paraId="44197AFD">
            <w:pPr>
              <w:pStyle w:val="3"/>
              <w:ind w:firstLine="480"/>
            </w:pPr>
            <w:r>
              <w:rPr>
                <w:rFonts w:hint="eastAsia"/>
              </w:rPr>
              <w:t>①在常温常压下不易水解、不易挥发的固态危险废物可分类堆放贮存，其他固态危险废物应装入容器或包装物内贮存。</w:t>
            </w:r>
          </w:p>
          <w:p w14:paraId="20900E55">
            <w:pPr>
              <w:pStyle w:val="3"/>
              <w:ind w:firstLine="480"/>
            </w:pPr>
            <w:r>
              <w:rPr>
                <w:rFonts w:hint="eastAsia"/>
              </w:rPr>
              <w:t>②液态危险废物应装入容器内贮存，或直接采用贮存池、贮存罐区贮存。</w:t>
            </w:r>
          </w:p>
          <w:p w14:paraId="5182A539">
            <w:pPr>
              <w:pStyle w:val="3"/>
              <w:ind w:firstLine="480"/>
            </w:pPr>
            <w:r>
              <w:rPr>
                <w:rFonts w:hint="eastAsia"/>
              </w:rPr>
              <w:t>③半固态危险废物应装入容器或包装袋内贮存，或直接采用贮存池贮存。</w:t>
            </w:r>
          </w:p>
          <w:p w14:paraId="1C096D73">
            <w:pPr>
              <w:pStyle w:val="3"/>
              <w:ind w:firstLine="480"/>
            </w:pPr>
            <w:r>
              <w:rPr>
                <w:rFonts w:hint="eastAsia"/>
              </w:rPr>
              <w:t>④具有热塑性的危险废物应装入容器或包装袋内进行贮存。</w:t>
            </w:r>
          </w:p>
          <w:p w14:paraId="30B8A447">
            <w:pPr>
              <w:pStyle w:val="3"/>
              <w:ind w:firstLine="480"/>
            </w:pPr>
            <w:r>
              <w:rPr>
                <w:rFonts w:hint="eastAsia"/>
              </w:rPr>
              <w:t>⑤易产生粉尘、VOCs、酸雾、有毒有害大气污染物和刺激性气味气体的危险废物应装入闭口容器或包装物内贮存。</w:t>
            </w:r>
          </w:p>
          <w:p w14:paraId="368306EB">
            <w:pPr>
              <w:pStyle w:val="3"/>
              <w:ind w:firstLine="480"/>
            </w:pPr>
            <w:r>
              <w:rPr>
                <w:rFonts w:hint="eastAsia"/>
              </w:rPr>
              <w:t>⑥危险废物贮存过程中易产生粉尘等无组织排放的，应采取抑尘等有效措施。</w:t>
            </w:r>
          </w:p>
          <w:p w14:paraId="5BAD3804">
            <w:pPr>
              <w:pStyle w:val="3"/>
              <w:ind w:firstLine="480"/>
            </w:pPr>
            <w:r>
              <w:rPr>
                <w:rFonts w:hint="eastAsia"/>
              </w:rPr>
              <w:t>2）贮存设施运行环境管理要求</w:t>
            </w:r>
          </w:p>
          <w:p w14:paraId="1F4AD8B5">
            <w:pPr>
              <w:pStyle w:val="3"/>
              <w:ind w:firstLine="480"/>
            </w:pPr>
            <w:r>
              <w:rPr>
                <w:rFonts w:hint="eastAsia"/>
              </w:rPr>
              <w:t>①危险废物存入贮存设施前应对危险废物类别和特性与危险废物标签等危险废物识别标志的一致性进行核验，不一致的或类别、特性不明的不应存入。</w:t>
            </w:r>
          </w:p>
          <w:p w14:paraId="156856C6">
            <w:pPr>
              <w:pStyle w:val="3"/>
              <w:ind w:firstLine="480"/>
            </w:pPr>
            <w:r>
              <w:rPr>
                <w:rFonts w:hint="eastAsia"/>
              </w:rPr>
              <w:t>②应定期检查危险废物的贮存状况，及时清理贮存设施地面，更换破损泄漏的危险废物贮存容器和包装物，保证堆存危险废物的防雨、防风、防扬尘等设施功能完好。</w:t>
            </w:r>
          </w:p>
          <w:p w14:paraId="5ED59430">
            <w:pPr>
              <w:pStyle w:val="3"/>
              <w:ind w:firstLine="480"/>
            </w:pPr>
            <w:r>
              <w:rPr>
                <w:rFonts w:hint="eastAsia"/>
              </w:rPr>
              <w:t>③作业设备及车辆等结束作业离开贮存设施时，应对其残留的危险废物进行清理，清理的废物或清洗废水应收集处理。</w:t>
            </w:r>
          </w:p>
          <w:p w14:paraId="42A2E05C">
            <w:pPr>
              <w:pStyle w:val="3"/>
              <w:ind w:firstLine="480"/>
            </w:pPr>
            <w:r>
              <w:rPr>
                <w:rFonts w:hint="eastAsia"/>
              </w:rPr>
              <w:t>④贮存设施运行期间，应按国家有关标准和规定建立危险废物管理台账并保存。</w:t>
            </w:r>
          </w:p>
          <w:p w14:paraId="7D860AFA">
            <w:pPr>
              <w:pStyle w:val="3"/>
              <w:ind w:firstLine="480"/>
            </w:pPr>
            <w:r>
              <w:rPr>
                <w:rFonts w:hint="eastAsia"/>
              </w:rPr>
              <w:t>⑤贮存设施所有者或运营者应建立贮存设施环境管理制度、管理人员岗位职责制度、设施运行操作制度、人员岗位培训制度等。</w:t>
            </w:r>
          </w:p>
          <w:p w14:paraId="1A6005B2">
            <w:pPr>
              <w:pStyle w:val="3"/>
              <w:ind w:firstLine="480"/>
            </w:pPr>
            <w:r>
              <w:rPr>
                <w:rFonts w:hint="eastAsia"/>
              </w:rPr>
              <w:t>⑥贮存设施所有者或运营者应依据国家土壤和地下水污染防治的有关规定，结合贮存设施特点建立土壤和地下水污染隐患排查制度，并定期开展隐患排查；发现隐患应及时采取措施消除隐患，并建立档案。</w:t>
            </w:r>
          </w:p>
          <w:p w14:paraId="70C72E4A">
            <w:pPr>
              <w:pStyle w:val="3"/>
              <w:ind w:firstLine="480"/>
            </w:pPr>
            <w:r>
              <w:rPr>
                <w:rFonts w:hint="eastAsia"/>
              </w:rPr>
              <w:t>⑦贮存设施所有者或运营者应建立贮存设施全部档案，包括设计、施工、验收、运行、监测和环境应急等，应按国家有关档案管理的法律法规进行整理和归档。</w:t>
            </w:r>
          </w:p>
          <w:p w14:paraId="2447C8AB">
            <w:pPr>
              <w:pStyle w:val="3"/>
              <w:ind w:firstLine="480"/>
            </w:pPr>
            <w:r>
              <w:rPr>
                <w:rFonts w:hint="eastAsia"/>
              </w:rPr>
              <w:t>（4）危险废物运输过程的环境影响分析</w:t>
            </w:r>
          </w:p>
          <w:p w14:paraId="70E9FE4B">
            <w:pPr>
              <w:pStyle w:val="3"/>
              <w:ind w:firstLine="480"/>
            </w:pPr>
            <w:r>
              <w:rPr>
                <w:rFonts w:hint="eastAsia"/>
              </w:rPr>
              <w:t>a、场内运输要求</w:t>
            </w:r>
          </w:p>
          <w:p w14:paraId="5BCD6999">
            <w:pPr>
              <w:pStyle w:val="3"/>
              <w:ind w:firstLine="480"/>
            </w:pPr>
            <w:r>
              <w:rPr>
                <w:rFonts w:hint="eastAsia"/>
              </w:rPr>
              <w:t>本评价要求建设单位危险废物场内运输转移过程（即从危废产生点到危废暂存间运输过程）按下列要求实施：</w:t>
            </w:r>
          </w:p>
          <w:p w14:paraId="7258F137">
            <w:pPr>
              <w:pStyle w:val="3"/>
              <w:ind w:firstLine="480"/>
            </w:pPr>
            <w:r>
              <w:rPr>
                <w:rFonts w:hint="eastAsia"/>
              </w:rPr>
              <w:t>①现场将危险废物运往危废暂存区时必须使用防滴漏台车，不同种类危险废物一起运输时，必须每种废弃物用单独的胶袋装好</w:t>
            </w:r>
          </w:p>
          <w:p w14:paraId="592AB4A1">
            <w:pPr>
              <w:pStyle w:val="3"/>
              <w:ind w:firstLine="480"/>
            </w:pPr>
            <w:r>
              <w:rPr>
                <w:rFonts w:hint="eastAsia"/>
              </w:rPr>
              <w:t>②危废暂存区工作人员必须将现场送过来的危险废物，分类装到相应的蝴蝶篓中，由中转站人员用叉车拉走</w:t>
            </w:r>
          </w:p>
          <w:p w14:paraId="566062D2">
            <w:pPr>
              <w:pStyle w:val="3"/>
              <w:ind w:firstLine="480"/>
            </w:pPr>
            <w:r>
              <w:rPr>
                <w:rFonts w:hint="eastAsia"/>
              </w:rPr>
              <w:t>③运输工作人员配备通讯设备、照明设施、安全防护服装及工具，并设有应急防护设施。</w:t>
            </w:r>
          </w:p>
          <w:p w14:paraId="4ABC066D">
            <w:pPr>
              <w:pStyle w:val="3"/>
              <w:ind w:firstLine="480"/>
            </w:pPr>
            <w:r>
              <w:rPr>
                <w:rFonts w:hint="eastAsia"/>
              </w:rPr>
              <w:t>④危废暂存区内必须有足够数量的灭火器与安全防护设备，暂存区人员必须经过应急救援的训练，定期参与应急演练。</w:t>
            </w:r>
          </w:p>
          <w:p w14:paraId="2A4F7245">
            <w:pPr>
              <w:pStyle w:val="3"/>
              <w:ind w:firstLine="480"/>
            </w:pPr>
            <w:r>
              <w:rPr>
                <w:rFonts w:hint="eastAsia"/>
              </w:rPr>
              <w:t>b、场外危险废物运输</w:t>
            </w:r>
          </w:p>
          <w:p w14:paraId="44DF7F68">
            <w:pPr>
              <w:pStyle w:val="3"/>
              <w:ind w:firstLine="480"/>
            </w:pPr>
            <w:r>
              <w:rPr>
                <w:rFonts w:hint="eastAsia"/>
              </w:rPr>
              <w:t>本评价要求建设单位危险废物场外运输转移过程按照《危险废物收集贮存运输技术规范》（HJ2025-2012）要求：</w:t>
            </w:r>
          </w:p>
          <w:p w14:paraId="4D27976A">
            <w:pPr>
              <w:pStyle w:val="3"/>
              <w:ind w:firstLine="480"/>
            </w:pPr>
            <w:r>
              <w:rPr>
                <w:rFonts w:hint="eastAsia"/>
              </w:rPr>
              <w:t>①委托有危险废物经营许可证的单位进行收集运输，在收集运输危险废物时，应根据危险废物经营许可证核发的有关规定建立相应的规章制度和污染防治措施，包括危险废物分析管理制度、安全管理制度、污染防治措施等；</w:t>
            </w:r>
          </w:p>
          <w:p w14:paraId="02E8A729">
            <w:pPr>
              <w:pStyle w:val="3"/>
              <w:ind w:firstLine="480"/>
            </w:pPr>
            <w:r>
              <w:rPr>
                <w:rFonts w:hint="eastAsia"/>
              </w:rPr>
              <w:t>②危险</w:t>
            </w:r>
            <w:r>
              <w:rPr>
                <w:rFonts w:hint="eastAsia"/>
                <w:lang w:eastAsia="zh-CN"/>
              </w:rPr>
              <w:t>废物</w:t>
            </w:r>
            <w:r>
              <w:rPr>
                <w:rFonts w:hint="eastAsia"/>
              </w:rPr>
              <w:t>转移过程按《危险废物转移联单管理办法》执行；</w:t>
            </w:r>
          </w:p>
          <w:p w14:paraId="326187B8">
            <w:pPr>
              <w:pStyle w:val="3"/>
              <w:ind w:firstLine="480"/>
            </w:pPr>
            <w:r>
              <w:rPr>
                <w:rFonts w:hint="eastAsia"/>
              </w:rPr>
              <w:t>③危险废物运输过程中一旦发生意外事故，运输单位及相关部门应根据风险程度采取如下措施：</w:t>
            </w:r>
          </w:p>
          <w:p w14:paraId="62A05DAF">
            <w:pPr>
              <w:pStyle w:val="3"/>
              <w:ind w:firstLine="480"/>
            </w:pPr>
            <w:r>
              <w:rPr>
                <w:rFonts w:hint="eastAsia"/>
              </w:rPr>
              <w:t>A.设立事故警戒线，启动应急预案，并按《突发环境事件信息报告办法》要求进行报告；</w:t>
            </w:r>
          </w:p>
          <w:p w14:paraId="3D36EA20">
            <w:pPr>
              <w:pStyle w:val="3"/>
              <w:ind w:firstLine="480"/>
            </w:pPr>
            <w:r>
              <w:rPr>
                <w:rFonts w:hint="eastAsia"/>
              </w:rPr>
              <w:t>B.若造成事故的危险物有剧毒性、易燃性、爆炸性或高传染性，应立即疏散人群，并请求环境保护、消防、医疗、公安等相关部门支援；</w:t>
            </w:r>
          </w:p>
          <w:p w14:paraId="7EC0A882">
            <w:pPr>
              <w:pStyle w:val="3"/>
              <w:ind w:firstLine="480"/>
            </w:pPr>
            <w:r>
              <w:rPr>
                <w:rFonts w:hint="eastAsia"/>
              </w:rPr>
              <w:t>C.对事故现场</w:t>
            </w:r>
            <w:r>
              <w:rPr>
                <w:rFonts w:hint="eastAsia"/>
                <w:lang w:eastAsia="zh-CN"/>
              </w:rPr>
              <w:t>受到</w:t>
            </w:r>
            <w:r>
              <w:rPr>
                <w:rFonts w:hint="eastAsia"/>
              </w:rPr>
              <w:t>污染的土壤和水体等环境介质应进行相应的清理和修复；</w:t>
            </w:r>
          </w:p>
          <w:p w14:paraId="400D9018">
            <w:pPr>
              <w:pStyle w:val="3"/>
              <w:ind w:firstLine="480"/>
            </w:pPr>
            <w:r>
              <w:rPr>
                <w:rFonts w:hint="eastAsia"/>
              </w:rPr>
              <w:t>D.清理过程中产生的所有危险废物均应按危险废物进行管理和处置；</w:t>
            </w:r>
          </w:p>
          <w:p w14:paraId="635DAEC6">
            <w:pPr>
              <w:pStyle w:val="3"/>
              <w:ind w:firstLine="480"/>
            </w:pPr>
            <w:r>
              <w:rPr>
                <w:rFonts w:hint="eastAsia"/>
              </w:rPr>
              <w:t>E.进入现场清理和包装危险废物的人员应受过专业培训，穿着防护服，并佩戴相应的防护用具。</w:t>
            </w:r>
          </w:p>
          <w:p w14:paraId="1C06DBC4">
            <w:pPr>
              <w:pStyle w:val="3"/>
              <w:ind w:firstLine="480"/>
            </w:pPr>
            <w:r>
              <w:rPr>
                <w:rFonts w:hint="eastAsia"/>
              </w:rPr>
              <w:t>在严格采取以上措施情况下，本项目营运期产生的各类固体废物均可得到妥善处理和处置，不会对周围环境产生二次污染，对环境影响较小。</w:t>
            </w:r>
          </w:p>
          <w:p w14:paraId="4E29AF04">
            <w:pPr>
              <w:pStyle w:val="3"/>
              <w:ind w:firstLine="482"/>
              <w:rPr>
                <w:b/>
                <w:bCs/>
              </w:rPr>
            </w:pPr>
            <w:r>
              <w:rPr>
                <w:rFonts w:hint="eastAsia"/>
                <w:b/>
                <w:bCs/>
              </w:rPr>
              <w:t>4、危险废物运输管理要求</w:t>
            </w:r>
          </w:p>
          <w:p w14:paraId="302C0ADD">
            <w:pPr>
              <w:pStyle w:val="3"/>
              <w:ind w:firstLine="480"/>
            </w:pPr>
            <w:r>
              <w:rPr>
                <w:rFonts w:hint="eastAsia"/>
              </w:rPr>
              <w:t>本评价要求建设单位危险废物运输转移过程按照《危险废物收集贮存运输技术规范》（HJ2025-2012）要求：</w:t>
            </w:r>
          </w:p>
          <w:p w14:paraId="24A99508">
            <w:pPr>
              <w:pStyle w:val="3"/>
              <w:ind w:firstLine="480"/>
            </w:pPr>
            <w:r>
              <w:rPr>
                <w:rFonts w:hint="eastAsia"/>
              </w:rPr>
              <w:t>①委托有危险废物经营许可证的单位进行收集运输，在收集运输危险废物时，应根据危险废物经营许可证核发的有关规定建立相应的规章制度和污染防治措施，包括危险废物分析管理制度、安全管理制度、污染防治措施等；</w:t>
            </w:r>
          </w:p>
          <w:p w14:paraId="18C71818">
            <w:pPr>
              <w:pStyle w:val="3"/>
              <w:ind w:firstLine="480"/>
            </w:pPr>
            <w:r>
              <w:rPr>
                <w:rFonts w:hint="eastAsia"/>
              </w:rPr>
              <w:t>②危险废物转移过程按《危险废物转移管理办法》执行；</w:t>
            </w:r>
          </w:p>
          <w:p w14:paraId="28F40F6F">
            <w:pPr>
              <w:pStyle w:val="3"/>
              <w:ind w:firstLine="480"/>
            </w:pPr>
            <w:r>
              <w:rPr>
                <w:rFonts w:hint="eastAsia"/>
              </w:rPr>
              <w:t>③危险废物运输过程中一旦发生意外事故，运输单位及相关部门应根据风险程度采取如下措施：</w:t>
            </w:r>
          </w:p>
          <w:p w14:paraId="3600F070">
            <w:pPr>
              <w:pStyle w:val="3"/>
              <w:ind w:firstLine="480"/>
            </w:pPr>
            <w:r>
              <w:rPr>
                <w:rFonts w:hint="eastAsia"/>
              </w:rPr>
              <w:t>A.设立事故警戒线，启动应急预案，并按《突发环境事件信息报告办法》（2011年4月18日</w:t>
            </w:r>
            <w:r>
              <w:rPr>
                <w:rFonts w:hint="eastAsia"/>
                <w:lang w:eastAsia="zh-CN"/>
              </w:rPr>
              <w:t>生态环境部</w:t>
            </w:r>
            <w:r>
              <w:rPr>
                <w:rFonts w:hint="eastAsia"/>
              </w:rPr>
              <w:t>令第17号公布自2011年5月1日起施行）要求进行报告；</w:t>
            </w:r>
          </w:p>
          <w:p w14:paraId="5D14CDBB">
            <w:pPr>
              <w:pStyle w:val="3"/>
              <w:ind w:firstLine="480"/>
            </w:pPr>
            <w:r>
              <w:rPr>
                <w:rFonts w:hint="eastAsia"/>
              </w:rPr>
              <w:t>B.若造成事故的危险物有剧毒性、易燃性、爆炸性或高传染性，应立即疏散人群，并请求环境保护、消防、医疗、公安等相关部门支援；</w:t>
            </w:r>
          </w:p>
          <w:p w14:paraId="02255EFF">
            <w:pPr>
              <w:pStyle w:val="3"/>
              <w:ind w:firstLine="480"/>
            </w:pPr>
            <w:r>
              <w:rPr>
                <w:rFonts w:hint="eastAsia"/>
              </w:rPr>
              <w:t>C.对事故现场受到污染的土壤和水体等环境介质应进行相应的清理和修复；</w:t>
            </w:r>
          </w:p>
          <w:p w14:paraId="6EBA0ADD">
            <w:pPr>
              <w:pStyle w:val="3"/>
              <w:ind w:firstLine="480"/>
            </w:pPr>
            <w:r>
              <w:rPr>
                <w:rFonts w:hint="eastAsia"/>
              </w:rPr>
              <w:t>D.清理过程中产生的所有危险废物均应按危险废物进行管理和处置；</w:t>
            </w:r>
          </w:p>
          <w:p w14:paraId="723FC342">
            <w:pPr>
              <w:pStyle w:val="3"/>
              <w:ind w:firstLine="480"/>
            </w:pPr>
            <w:r>
              <w:rPr>
                <w:rFonts w:hint="eastAsia"/>
              </w:rPr>
              <w:t>E.进入现场清理和包装危险废物的人员应受过专业培训，穿着防护服，并佩戴相应的防护用具。</w:t>
            </w:r>
          </w:p>
          <w:p w14:paraId="1332BF61">
            <w:pPr>
              <w:pStyle w:val="3"/>
              <w:ind w:firstLine="480"/>
            </w:pPr>
            <w:r>
              <w:rPr>
                <w:rFonts w:hint="eastAsia"/>
              </w:rPr>
              <w:t>④危险废物运输时应按腐蚀性、毒性、易燃性、反应性和感染性等危险特性对危险废物进行分类、包装并设置相应的标志及标签。</w:t>
            </w:r>
          </w:p>
          <w:p w14:paraId="1CE49E38">
            <w:pPr>
              <w:pStyle w:val="3"/>
              <w:ind w:firstLine="480"/>
            </w:pPr>
            <w:r>
              <w:rPr>
                <w:rFonts w:hint="eastAsia"/>
              </w:rPr>
              <w:t>危险废物运输过程中采取上述措施后，可有效防止危险废物运输过程中散落、泄漏，减轻对环境的影响。同时本评价建议危险废物道路运输符合《道路危险货物运输管理规定》（</w:t>
            </w:r>
            <w:r>
              <w:rPr>
                <w:rFonts w:hint="eastAsia"/>
                <w:lang w:eastAsia="zh-CN"/>
              </w:rPr>
              <w:t>交通运输部</w:t>
            </w:r>
            <w:r>
              <w:rPr>
                <w:rFonts w:hint="eastAsia"/>
              </w:rPr>
              <w:t>令</w:t>
            </w:r>
            <w:r>
              <w:rPr>
                <w:rFonts w:hint="eastAsia"/>
                <w:lang w:eastAsia="zh-CN"/>
              </w:rPr>
              <w:t>〔2005〕9号</w:t>
            </w:r>
            <w:r>
              <w:rPr>
                <w:rFonts w:hint="eastAsia"/>
              </w:rPr>
              <w:t>）、JT617以及JT618执行，运输路线尽量避开村庄、居民小区、学校等环境敏感点，减轻对其影响。</w:t>
            </w:r>
          </w:p>
          <w:p w14:paraId="3540A980">
            <w:pPr>
              <w:pStyle w:val="7"/>
            </w:pPr>
            <w:r>
              <w:rPr>
                <w:rFonts w:hint="eastAsia"/>
              </w:rPr>
              <w:t>五、地下水及土壤</w:t>
            </w:r>
          </w:p>
          <w:p w14:paraId="0CB35B82">
            <w:pPr>
              <w:pStyle w:val="3"/>
              <w:ind w:firstLine="480"/>
            </w:pPr>
            <w:r>
              <w:rPr>
                <w:rFonts w:hint="eastAsia"/>
              </w:rPr>
              <w:t>项目可能对地下水、土壤产生污染的主要途径为生产废水的</w:t>
            </w:r>
            <w:r>
              <w:rPr>
                <w:rFonts w:hint="eastAsia"/>
                <w:lang w:eastAsia="zh-CN"/>
              </w:rPr>
              <w:t>泄漏</w:t>
            </w:r>
            <w:r>
              <w:rPr>
                <w:rFonts w:hint="eastAsia"/>
              </w:rPr>
              <w:t>。</w:t>
            </w:r>
          </w:p>
          <w:p w14:paraId="57CA530E">
            <w:pPr>
              <w:pStyle w:val="3"/>
              <w:ind w:firstLine="480"/>
            </w:pPr>
            <w:r>
              <w:rPr>
                <w:rFonts w:hint="eastAsia"/>
              </w:rPr>
              <w:t>地下水防渗原则：根据地下水污染防治措施和对策，“坚持源头控制、分区防控、污染监控。应急响应、重点突出饮用水源水质安全”的原则。</w:t>
            </w:r>
          </w:p>
          <w:p w14:paraId="07E12F35">
            <w:pPr>
              <w:pStyle w:val="3"/>
              <w:ind w:firstLine="480"/>
            </w:pPr>
            <w:r>
              <w:rPr>
                <w:rFonts w:hint="eastAsia"/>
              </w:rPr>
              <w:t>1）源头控制</w:t>
            </w:r>
          </w:p>
          <w:p w14:paraId="64DCC60A">
            <w:pPr>
              <w:pStyle w:val="3"/>
              <w:ind w:firstLine="480"/>
            </w:pPr>
            <w:r>
              <w:rPr>
                <w:rFonts w:hint="eastAsia"/>
              </w:rPr>
              <w:t>①项目应根据国家现行相关规范加强环境管理，采取防治和降低污染物跑冒、漏、滴、漏的措施。正常生产过程中应加强巡检及时处理污染物跑、冒漏、滴、漏。同时应加强对防渗工程检查，若发现防渗密封材料老化或损坏，应及时维修更换。</w:t>
            </w:r>
          </w:p>
          <w:p w14:paraId="04A659E8">
            <w:pPr>
              <w:pStyle w:val="3"/>
              <w:ind w:firstLine="480"/>
            </w:pPr>
            <w:r>
              <w:rPr>
                <w:rFonts w:hint="eastAsia"/>
              </w:rPr>
              <w:t>②)对工艺、设备、污水储存及处理构筑物采取控制措施，</w:t>
            </w:r>
            <w:r>
              <w:rPr>
                <w:rFonts w:hint="eastAsia"/>
                <w:lang w:eastAsia="zh-CN"/>
              </w:rPr>
              <w:t>防止</w:t>
            </w:r>
            <w:r>
              <w:rPr>
                <w:rFonts w:hint="eastAsia"/>
              </w:rPr>
              <w:t>污染物跑冒、漏、滴、漏，将污染物泄漏的环境污染事故降至最低限度。</w:t>
            </w:r>
          </w:p>
          <w:p w14:paraId="7CD3DED0">
            <w:pPr>
              <w:pStyle w:val="3"/>
              <w:ind w:firstLine="480"/>
            </w:pPr>
            <w:r>
              <w:rPr>
                <w:rFonts w:hint="eastAsia"/>
              </w:rPr>
              <w:t>2）分区防治措施</w:t>
            </w:r>
          </w:p>
          <w:p w14:paraId="2495AA2E">
            <w:pPr>
              <w:pStyle w:val="3"/>
              <w:ind w:firstLine="480"/>
            </w:pPr>
            <w:r>
              <w:rPr>
                <w:rFonts w:hint="eastAsia"/>
              </w:rPr>
              <w:t>本项目危废间属于重点防渗区，需要进行重点防渗。</w:t>
            </w:r>
          </w:p>
          <w:p w14:paraId="15533AEC">
            <w:pPr>
              <w:pStyle w:val="3"/>
              <w:ind w:firstLine="480"/>
            </w:pPr>
            <w:r>
              <w:rPr>
                <w:rFonts w:hint="eastAsia"/>
              </w:rPr>
              <w:t>本项目生产车间、产品堆料区、沉淀池、化粪池属于一般污染防治区，需进行一般防渗。</w:t>
            </w:r>
          </w:p>
          <w:p w14:paraId="35082C21">
            <w:pPr>
              <w:pStyle w:val="3"/>
              <w:ind w:firstLine="480"/>
            </w:pPr>
            <w:r>
              <w:rPr>
                <w:rFonts w:hint="eastAsia"/>
              </w:rPr>
              <w:t>会议室、办公室、值班室、厂区道路属于简单污染防治区，做好地面硬化。</w:t>
            </w:r>
          </w:p>
          <w:p w14:paraId="387FAF47">
            <w:pPr>
              <w:pStyle w:val="48"/>
            </w:pPr>
          </w:p>
          <w:p w14:paraId="1948FC15">
            <w:pPr>
              <w:pStyle w:val="48"/>
            </w:pPr>
            <w:r>
              <w:rPr>
                <w:rFonts w:hint="eastAsia"/>
              </w:rPr>
              <w:t xml:space="preserve">表4- </w:t>
            </w:r>
            <w:r>
              <w:fldChar w:fldCharType="begin"/>
            </w:r>
            <w:r>
              <w:instrText xml:space="preserve"> </w:instrText>
            </w:r>
            <w:r>
              <w:rPr>
                <w:rFonts w:hint="eastAsia"/>
              </w:rPr>
              <w:instrText xml:space="preserve">SEQ 表4- \* ARABIC</w:instrText>
            </w:r>
            <w:r>
              <w:instrText xml:space="preserve"> </w:instrText>
            </w:r>
            <w:r>
              <w:fldChar w:fldCharType="separate"/>
            </w:r>
            <w:r>
              <w:t>19</w:t>
            </w:r>
            <w:r>
              <w:fldChar w:fldCharType="end"/>
            </w:r>
            <w:r>
              <w:rPr>
                <w:rFonts w:hint="eastAsia"/>
              </w:rPr>
              <w:t>：项目厂区划分及防渗等级一览表</w:t>
            </w:r>
          </w:p>
          <w:tbl>
            <w:tblPr>
              <w:tblStyle w:val="49"/>
              <w:tblW w:w="79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334"/>
              <w:gridCol w:w="1333"/>
              <w:gridCol w:w="5271"/>
            </w:tblGrid>
            <w:tr w14:paraId="3B7BB9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334" w:type="dxa"/>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60AB1B97">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14:ligatures w14:val="standardContextual"/>
                    </w:rPr>
                  </w:pPr>
                  <w:r>
                    <w:rPr>
                      <w:rFonts w:hint="eastAsia" w:ascii="Times New Roman" w:hAnsi="Times New Roman" w:eastAsia="宋体" w:cs="Times New Roman"/>
                      <w:b/>
                      <w:i w:val="0"/>
                      <w:lang w:bidi="ar"/>
                      <w14:ligatures w14:val="standardContextual"/>
                    </w:rPr>
                    <w:t>防治分区</w:t>
                  </w:r>
                </w:p>
              </w:tc>
              <w:tc>
                <w:tcPr>
                  <w:tcW w:w="1333"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1F4E6904">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14:ligatures w14:val="standardContextual"/>
                    </w:rPr>
                  </w:pPr>
                  <w:r>
                    <w:rPr>
                      <w:rFonts w:hint="eastAsia" w:ascii="Times New Roman" w:hAnsi="Times New Roman" w:eastAsia="宋体" w:cs="Times New Roman"/>
                      <w:b/>
                      <w:i w:val="0"/>
                      <w:lang w:bidi="ar"/>
                      <w14:ligatures w14:val="standardContextual"/>
                    </w:rPr>
                    <w:t>工作区</w:t>
                  </w:r>
                </w:p>
              </w:tc>
              <w:tc>
                <w:tcPr>
                  <w:tcW w:w="5271" w:type="dxa"/>
                  <w:tcBorders>
                    <w:top w:val="single" w:color="auto" w:sz="12" w:space="0"/>
                    <w:bottom w:val="single" w:color="auto" w:sz="12" w:space="0"/>
                    <w:right w:val="nil"/>
                    <w:insideH w:val="single" w:sz="12" w:space="0"/>
                    <w:insideV w:val="single" w:sz="4" w:space="0"/>
                    <w:tl2br w:val="nil"/>
                    <w:tr2bl w:val="nil"/>
                  </w:tcBorders>
                  <w:vAlign w:val="center"/>
                </w:tcPr>
                <w:p w14:paraId="1E1F8D48">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14:ligatures w14:val="standardContextual"/>
                    </w:rPr>
                  </w:pPr>
                  <w:r>
                    <w:rPr>
                      <w:rFonts w:hint="eastAsia" w:ascii="Times New Roman" w:hAnsi="Times New Roman" w:eastAsia="宋体" w:cs="Times New Roman"/>
                      <w:b/>
                      <w:i w:val="0"/>
                      <w:lang w:bidi="ar"/>
                      <w14:ligatures w14:val="standardContextual"/>
                    </w:rPr>
                    <w:t>防渗技术要求</w:t>
                  </w:r>
                </w:p>
              </w:tc>
            </w:tr>
            <w:tr w14:paraId="6FB49B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334" w:type="dxa"/>
                  <w:vAlign w:val="center"/>
                </w:tcPr>
                <w:p w14:paraId="1498B0D6">
                  <w:pPr>
                    <w:widowControl w:val="0"/>
                    <w:overflowPunct w:val="0"/>
                    <w:autoSpaceDE w:val="0"/>
                    <w:autoSpaceDN w:val="0"/>
                    <w:snapToGrid w:val="0"/>
                    <w:jc w:val="center"/>
                    <w:rPr>
                      <w14:ligatures w14:val="standardContextual"/>
                    </w:rPr>
                  </w:pPr>
                  <w:r>
                    <w:rPr>
                      <w:rFonts w:hint="eastAsia"/>
                      <w:lang w:bidi="ar"/>
                      <w14:ligatures w14:val="standardContextual"/>
                    </w:rPr>
                    <w:t>重点防渗区</w:t>
                  </w:r>
                </w:p>
              </w:tc>
              <w:tc>
                <w:tcPr>
                  <w:tcW w:w="1333" w:type="dxa"/>
                  <w:vAlign w:val="center"/>
                </w:tcPr>
                <w:p w14:paraId="40C4BF42">
                  <w:pPr>
                    <w:widowControl w:val="0"/>
                    <w:overflowPunct w:val="0"/>
                    <w:autoSpaceDE w:val="0"/>
                    <w:autoSpaceDN w:val="0"/>
                    <w:snapToGrid w:val="0"/>
                    <w:jc w:val="center"/>
                    <w:rPr>
                      <w14:ligatures w14:val="standardContextual"/>
                    </w:rPr>
                  </w:pPr>
                  <w:r>
                    <w:rPr>
                      <w:rFonts w:hint="eastAsia"/>
                      <w:lang w:bidi="ar"/>
                      <w14:ligatures w14:val="standardContextual"/>
                    </w:rPr>
                    <w:t>危废间</w:t>
                  </w:r>
                </w:p>
              </w:tc>
              <w:tc>
                <w:tcPr>
                  <w:tcW w:w="5271" w:type="dxa"/>
                  <w:vAlign w:val="center"/>
                </w:tcPr>
                <w:p w14:paraId="56EA25AF">
                  <w:pPr>
                    <w:widowControl w:val="0"/>
                    <w:overflowPunct w:val="0"/>
                    <w:autoSpaceDE w:val="0"/>
                    <w:autoSpaceDN w:val="0"/>
                    <w:snapToGrid w:val="0"/>
                    <w:jc w:val="center"/>
                    <w:rPr>
                      <w14:ligatures w14:val="standardContextual"/>
                    </w:rPr>
                  </w:pPr>
                  <w:r>
                    <w:rPr>
                      <w:lang w:bidi="ar"/>
                      <w14:ligatures w14:val="standardContextual"/>
                    </w:rPr>
                    <w:t>等效黏土防渗层厚≥6.0m，要求渗透系数≤1.0×10</w:t>
                  </w:r>
                  <w:r>
                    <w:rPr>
                      <w:vertAlign w:val="superscript"/>
                      <w:lang w:bidi="ar"/>
                      <w14:ligatures w14:val="standardContextual"/>
                    </w:rPr>
                    <w:t>-7</w:t>
                  </w:r>
                  <w:r>
                    <w:rPr>
                      <w:lang w:bidi="ar"/>
                      <w14:ligatures w14:val="standardContextual"/>
                    </w:rPr>
                    <w:t>cm/s，或者参考GB18598执行；</w:t>
                  </w:r>
                </w:p>
              </w:tc>
            </w:tr>
            <w:tr w14:paraId="3112E0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334" w:type="dxa"/>
                  <w:vAlign w:val="center"/>
                </w:tcPr>
                <w:p w14:paraId="7EB280DC">
                  <w:pPr>
                    <w:widowControl w:val="0"/>
                    <w:overflowPunct w:val="0"/>
                    <w:autoSpaceDE w:val="0"/>
                    <w:autoSpaceDN w:val="0"/>
                    <w:snapToGrid w:val="0"/>
                    <w:jc w:val="center"/>
                    <w:rPr>
                      <w14:ligatures w14:val="standardContextual"/>
                    </w:rPr>
                  </w:pPr>
                  <w:r>
                    <w:rPr>
                      <w:rFonts w:hint="eastAsia"/>
                      <w:lang w:bidi="ar"/>
                      <w14:ligatures w14:val="standardContextual"/>
                    </w:rPr>
                    <w:t>一般防渗区</w:t>
                  </w:r>
                </w:p>
              </w:tc>
              <w:tc>
                <w:tcPr>
                  <w:tcW w:w="1333" w:type="dxa"/>
                  <w:vAlign w:val="center"/>
                </w:tcPr>
                <w:p w14:paraId="21068504">
                  <w:pPr>
                    <w:widowControl w:val="0"/>
                    <w:overflowPunct w:val="0"/>
                    <w:autoSpaceDE w:val="0"/>
                    <w:autoSpaceDN w:val="0"/>
                    <w:snapToGrid w:val="0"/>
                    <w:jc w:val="center"/>
                    <w:rPr>
                      <w14:ligatures w14:val="standardContextual"/>
                    </w:rPr>
                  </w:pPr>
                  <w:r>
                    <w:rPr>
                      <w:rFonts w:hint="eastAsia"/>
                      <w14:ligatures w14:val="standardContextual"/>
                    </w:rPr>
                    <w:t>生产车间、产品堆料区、沉淀池、化粪池</w:t>
                  </w:r>
                </w:p>
              </w:tc>
              <w:tc>
                <w:tcPr>
                  <w:tcW w:w="5271" w:type="dxa"/>
                  <w:vAlign w:val="center"/>
                </w:tcPr>
                <w:p w14:paraId="12299F21">
                  <w:pPr>
                    <w:widowControl w:val="0"/>
                    <w:overflowPunct w:val="0"/>
                    <w:autoSpaceDE w:val="0"/>
                    <w:autoSpaceDN w:val="0"/>
                    <w:snapToGrid w:val="0"/>
                    <w:jc w:val="center"/>
                    <w:rPr>
                      <w:lang w:bidi="ar"/>
                      <w14:ligatures w14:val="standardContextual"/>
                    </w:rPr>
                  </w:pPr>
                  <w:r>
                    <w:rPr>
                      <w:rFonts w:hint="eastAsia"/>
                      <w:lang w:bidi="ar"/>
                      <w14:ligatures w14:val="standardContextual"/>
                    </w:rPr>
                    <w:t>采取水泥硬化并进行防渗处理，等效黏土防渗层厚</w:t>
                  </w:r>
                  <w:r>
                    <w:rPr>
                      <w:lang w:bidi="ar"/>
                      <w14:ligatures w14:val="standardContextual"/>
                    </w:rPr>
                    <w:t>≥1.5m</w:t>
                  </w:r>
                  <w:r>
                    <w:rPr>
                      <w:rFonts w:hint="eastAsia"/>
                      <w:lang w:bidi="ar"/>
                      <w14:ligatures w14:val="standardContextual"/>
                    </w:rPr>
                    <w:t>，渗透系数</w:t>
                  </w:r>
                  <w:r>
                    <w:rPr>
                      <w:lang w:bidi="ar"/>
                      <w14:ligatures w14:val="standardContextual"/>
                    </w:rPr>
                    <w:t>≤1.0×10</w:t>
                  </w:r>
                  <w:r>
                    <w:rPr>
                      <w:vertAlign w:val="superscript"/>
                      <w:lang w:bidi="ar"/>
                      <w14:ligatures w14:val="standardContextual"/>
                    </w:rPr>
                    <w:t>-7</w:t>
                  </w:r>
                  <w:r>
                    <w:rPr>
                      <w:lang w:bidi="ar"/>
                      <w14:ligatures w14:val="standardContextual"/>
                    </w:rPr>
                    <w:t>cm/s</w:t>
                  </w:r>
                  <w:r>
                    <w:rPr>
                      <w:rFonts w:hint="eastAsia"/>
                      <w:lang w:bidi="ar"/>
                      <w14:ligatures w14:val="standardContextual"/>
                    </w:rPr>
                    <w:t>，或参照GB16889</w:t>
                  </w:r>
                </w:p>
                <w:p w14:paraId="61CA8310">
                  <w:pPr>
                    <w:widowControl w:val="0"/>
                    <w:overflowPunct w:val="0"/>
                    <w:autoSpaceDE w:val="0"/>
                    <w:autoSpaceDN w:val="0"/>
                    <w:snapToGrid w:val="0"/>
                    <w:jc w:val="center"/>
                    <w:rPr>
                      <w14:ligatures w14:val="standardContextual"/>
                    </w:rPr>
                  </w:pPr>
                  <w:r>
                    <w:rPr>
                      <w:rFonts w:hint="eastAsia"/>
                      <w:lang w:bidi="ar"/>
                      <w14:ligatures w14:val="standardContextual"/>
                    </w:rPr>
                    <w:t>执行</w:t>
                  </w:r>
                </w:p>
              </w:tc>
            </w:tr>
            <w:tr w14:paraId="2B266B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334" w:type="dxa"/>
                  <w:vAlign w:val="center"/>
                </w:tcPr>
                <w:p w14:paraId="751162B2">
                  <w:pPr>
                    <w:widowControl w:val="0"/>
                    <w:overflowPunct w:val="0"/>
                    <w:autoSpaceDE w:val="0"/>
                    <w:autoSpaceDN w:val="0"/>
                    <w:snapToGrid w:val="0"/>
                    <w:jc w:val="center"/>
                    <w:rPr>
                      <w14:ligatures w14:val="standardContextual"/>
                    </w:rPr>
                  </w:pPr>
                  <w:r>
                    <w:rPr>
                      <w:rFonts w:hint="eastAsia"/>
                      <w:lang w:bidi="ar"/>
                      <w14:ligatures w14:val="standardContextual"/>
                    </w:rPr>
                    <w:t>简单防渗区</w:t>
                  </w:r>
                </w:p>
              </w:tc>
              <w:tc>
                <w:tcPr>
                  <w:tcW w:w="1333" w:type="dxa"/>
                  <w:vAlign w:val="center"/>
                </w:tcPr>
                <w:p w14:paraId="370443DF">
                  <w:pPr>
                    <w:widowControl w:val="0"/>
                    <w:overflowPunct w:val="0"/>
                    <w:autoSpaceDE w:val="0"/>
                    <w:autoSpaceDN w:val="0"/>
                    <w:snapToGrid w:val="0"/>
                    <w:jc w:val="center"/>
                    <w:rPr>
                      <w14:ligatures w14:val="standardContextual"/>
                    </w:rPr>
                  </w:pPr>
                  <w:r>
                    <w:rPr>
                      <w:rFonts w:hint="eastAsia"/>
                      <w:lang w:bidi="ar"/>
                      <w14:ligatures w14:val="standardContextual"/>
                    </w:rPr>
                    <w:t>会议室、办公室、值班室、厂区道路</w:t>
                  </w:r>
                </w:p>
              </w:tc>
              <w:tc>
                <w:tcPr>
                  <w:tcW w:w="5271" w:type="dxa"/>
                  <w:vAlign w:val="center"/>
                </w:tcPr>
                <w:p w14:paraId="39AC8992">
                  <w:pPr>
                    <w:widowControl w:val="0"/>
                    <w:overflowPunct w:val="0"/>
                    <w:autoSpaceDE w:val="0"/>
                    <w:autoSpaceDN w:val="0"/>
                    <w:snapToGrid w:val="0"/>
                    <w:jc w:val="center"/>
                    <w:rPr>
                      <w14:ligatures w14:val="standardContextual"/>
                    </w:rPr>
                  </w:pPr>
                  <w:r>
                    <w:rPr>
                      <w:rFonts w:hint="eastAsia"/>
                      <w:lang w:bidi="ar"/>
                      <w14:ligatures w14:val="standardContextual"/>
                    </w:rPr>
                    <w:t>一般地面硬化</w:t>
                  </w:r>
                </w:p>
              </w:tc>
            </w:tr>
          </w:tbl>
          <w:p w14:paraId="1591B0E7">
            <w:pPr>
              <w:pStyle w:val="3"/>
              <w:ind w:firstLine="480"/>
            </w:pPr>
            <w:r>
              <w:rPr>
                <w:rFonts w:hint="eastAsia"/>
              </w:rPr>
              <w:t>在确保防渗措施得以落实，并加强环境管理的前提下，可有效控制场地内的废水污染物下渗现象，对地下水及土壤环境的影响较小。</w:t>
            </w:r>
          </w:p>
          <w:p w14:paraId="113C4944">
            <w:pPr>
              <w:pStyle w:val="3"/>
              <w:ind w:firstLine="480"/>
            </w:pPr>
            <w:r>
              <w:rPr>
                <w:rFonts w:hint="eastAsia"/>
              </w:rPr>
              <w:t>根据HJ610-2016和HJ964-2018，本项目可不设置地下水和土壤跟踪监控点。</w:t>
            </w:r>
          </w:p>
          <w:p w14:paraId="50D363C9">
            <w:pPr>
              <w:pStyle w:val="7"/>
            </w:pPr>
            <w:r>
              <w:rPr>
                <w:rFonts w:hint="eastAsia"/>
              </w:rPr>
              <w:t>六、生态</w:t>
            </w:r>
          </w:p>
          <w:p w14:paraId="58A7E4B1">
            <w:pPr>
              <w:pStyle w:val="3"/>
              <w:ind w:firstLine="480"/>
            </w:pPr>
            <w:r>
              <w:rPr>
                <w:rFonts w:hint="eastAsia"/>
              </w:rPr>
              <w:t>本项目选址区以人工生态系统为主，项目对生态环境的影响主要体现在项目运营期。本项目用地范围内无生态环境保护目标，项目运营期，废气、废水污染物经处理后达标排放，且排放量较小，不会造成周围大气环境和地表水环境的恶化，故本项目的建设对生态环境影响较小。</w:t>
            </w:r>
          </w:p>
          <w:p w14:paraId="3BFD4FDD">
            <w:pPr>
              <w:pStyle w:val="7"/>
            </w:pPr>
            <w:bookmarkStart w:id="91" w:name="_Ref192750652"/>
            <w:r>
              <w:rPr>
                <w:rFonts w:hint="eastAsia"/>
              </w:rPr>
              <w:t>七、环境风险</w:t>
            </w:r>
            <w:bookmarkEnd w:id="91"/>
          </w:p>
          <w:p w14:paraId="7FEDAAE5">
            <w:pPr>
              <w:pStyle w:val="3"/>
              <w:ind w:firstLine="480"/>
            </w:pPr>
            <w:r>
              <w:rPr>
                <w:rFonts w:hint="eastAsia"/>
              </w:rPr>
              <w:t>环境风险评价的目的是分析和预测项目存在的潜在危险、有害因素，项目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环境风险评价的工作重点是预测事故发生引起厂界外人群的伤害、环境质量的恶化。</w:t>
            </w:r>
          </w:p>
          <w:p w14:paraId="5BC21CAF">
            <w:pPr>
              <w:pStyle w:val="3"/>
              <w:ind w:firstLine="480"/>
            </w:pPr>
            <w:r>
              <w:rPr>
                <w:rFonts w:hint="eastAsia"/>
              </w:rPr>
              <w:t>根据《建设项目环境风险评价技术导则》（HJ169-2018），并结合本项目实际运营情况，确定本项目环境风险评价应把事故引起厂界外人群的伤害、环境质量恶化的预测和防护作为评价工作重点。</w:t>
            </w:r>
          </w:p>
          <w:p w14:paraId="40D34B67">
            <w:pPr>
              <w:pStyle w:val="3"/>
              <w:ind w:firstLine="482"/>
              <w:rPr>
                <w:b/>
                <w:bCs/>
              </w:rPr>
            </w:pPr>
            <w:r>
              <w:rPr>
                <w:rFonts w:hint="eastAsia"/>
                <w:b/>
                <w:bCs/>
              </w:rPr>
              <w:t>1、风险调查</w:t>
            </w:r>
          </w:p>
          <w:p w14:paraId="0500827E">
            <w:pPr>
              <w:pStyle w:val="3"/>
              <w:ind w:firstLine="480"/>
            </w:pPr>
            <w:r>
              <w:rPr>
                <w:rFonts w:hint="eastAsia"/>
              </w:rPr>
              <w:t>本次环境风险源调查：危险物质数量和分布情况的风险调查指本项目所涉及的危险物质及其贮存场所。</w:t>
            </w:r>
          </w:p>
          <w:p w14:paraId="7F9AC79A">
            <w:pPr>
              <w:pStyle w:val="3"/>
              <w:ind w:firstLine="480"/>
            </w:pPr>
            <w:r>
              <w:rPr>
                <w:rFonts w:hint="eastAsia"/>
              </w:rPr>
              <w:t>根据《建设项目环境风险评价技术导则》（HJ169-2018）附录 B“突发环境事件风险物质及临界量清单”以及《企业突发环境事件风险分析方法》（HJ941-2018）内容，本项目</w:t>
            </w:r>
            <w:bookmarkStart w:id="92" w:name="OLE_LINK277"/>
            <w:r>
              <w:rPr>
                <w:rFonts w:hint="eastAsia"/>
              </w:rPr>
              <w:t>风险物质主要为危险废物。</w:t>
            </w:r>
            <w:bookmarkEnd w:id="92"/>
          </w:p>
          <w:p w14:paraId="6FE8691C">
            <w:pPr>
              <w:pStyle w:val="3"/>
              <w:ind w:firstLine="482"/>
              <w:rPr>
                <w:b/>
                <w:bCs/>
              </w:rPr>
            </w:pPr>
            <w:r>
              <w:rPr>
                <w:rFonts w:hint="eastAsia"/>
                <w:b/>
                <w:bCs/>
              </w:rPr>
              <w:t>2、环境风险潜势初判</w:t>
            </w:r>
          </w:p>
          <w:p w14:paraId="42155547">
            <w:pPr>
              <w:pStyle w:val="3"/>
              <w:ind w:firstLine="480"/>
            </w:pPr>
            <w:r>
              <w:rPr>
                <w:rFonts w:hint="eastAsia"/>
              </w:rPr>
              <w:t>依据《建设项目环境风险评价技术导则》（HJ 168-2018）中规定，根据企业生产、使用、存储过程中涉及的有毒有害、易燃易爆物质，参见风险导则附录 B 确定危险物质的临界量。定量分析危险物质数量与临界量的比值（Q）和所属行业及生产工艺特点（M），按附录C对危险物质及工艺系统危险性（P）等级进行判断。</w:t>
            </w:r>
          </w:p>
          <w:p w14:paraId="4775533E">
            <w:pPr>
              <w:pStyle w:val="3"/>
              <w:ind w:firstLine="480"/>
            </w:pPr>
            <w:r>
              <w:rPr>
                <w:rFonts w:hint="eastAsia"/>
              </w:rPr>
              <w:t>危险物质数量与临界量比值（Q）：</w:t>
            </w:r>
          </w:p>
          <w:p w14:paraId="7B07522D">
            <w:pPr>
              <w:pStyle w:val="3"/>
              <w:ind w:firstLine="480"/>
            </w:pPr>
            <w:r>
              <w:rPr>
                <w:rFonts w:hint="eastAsia"/>
              </w:rPr>
              <w:t>危险物质包括风险导则附录B中的全部风险物质。判断企业生产原料、产品、中间产品、副产品、催化剂、辅助生产物料、燃料、“三废”污染物等是否涉及风险物质（混合或稀释的风险物质按其组分比例折算成纯物质），计算所涉及的每种危险物质在厂界内的最大存在总量与其在附录 B 中对应临界量的比值Q。在不同厂区的同一种物质，按其在厂界内的最大存在总量计算。对于长输管线项目，按照两个截断阀室之间管段危险物质最大</w:t>
            </w:r>
            <w:r>
              <w:rPr>
                <w:rFonts w:hint="eastAsia"/>
                <w:lang w:eastAsia="zh-CN"/>
              </w:rPr>
              <w:t>存放</w:t>
            </w:r>
            <w:r>
              <w:rPr>
                <w:rFonts w:hint="eastAsia"/>
              </w:rPr>
              <w:t>总量计算：</w:t>
            </w:r>
          </w:p>
          <w:p w14:paraId="62E894B0">
            <w:pPr>
              <w:pStyle w:val="3"/>
              <w:ind w:firstLine="480"/>
            </w:pPr>
            <w:r>
              <w:rPr>
                <w:rFonts w:hint="eastAsia"/>
              </w:rPr>
              <w:t>①当企业只涉及一种风险物质时，该物质的数量与其临界量比值，即为Q：</w:t>
            </w:r>
          </w:p>
          <w:p w14:paraId="0F9D0606">
            <w:pPr>
              <w:pStyle w:val="3"/>
              <w:ind w:firstLine="480"/>
            </w:pPr>
            <w:r>
              <w:rPr>
                <w:rFonts w:hint="eastAsia"/>
              </w:rPr>
              <w:t>②当存在多种危险物质时，则按式（C.1）计算物质总量与其临界量比值（Q）：</w:t>
            </w:r>
          </w:p>
          <w:p w14:paraId="15FCBEBE">
            <w:pPr>
              <w:pStyle w:val="50"/>
            </w:pPr>
            <w:r>
              <w:rPr>
                <w:lang w:bidi="ar"/>
              </w:rPr>
              <w:drawing>
                <wp:inline distT="0" distB="0" distL="114300" distR="114300">
                  <wp:extent cx="2466975" cy="542925"/>
                  <wp:effectExtent l="0" t="0" r="9525" b="9525"/>
                  <wp:docPr id="42"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4" descr="IMG_256"/>
                          <pic:cNvPicPr>
                            <a:picLocks noChangeAspect="1"/>
                          </pic:cNvPicPr>
                        </pic:nvPicPr>
                        <pic:blipFill>
                          <a:blip r:embed="rId24"/>
                          <a:stretch>
                            <a:fillRect/>
                          </a:stretch>
                        </pic:blipFill>
                        <pic:spPr>
                          <a:xfrm>
                            <a:off x="0" y="0"/>
                            <a:ext cx="2466975" cy="542925"/>
                          </a:xfrm>
                          <a:prstGeom prst="rect">
                            <a:avLst/>
                          </a:prstGeom>
                          <a:noFill/>
                          <a:ln w="9525">
                            <a:noFill/>
                          </a:ln>
                        </pic:spPr>
                      </pic:pic>
                    </a:graphicData>
                  </a:graphic>
                </wp:inline>
              </w:drawing>
            </w:r>
          </w:p>
          <w:p w14:paraId="1C2E3918">
            <w:pPr>
              <w:pStyle w:val="3"/>
              <w:ind w:firstLine="480"/>
            </w:pPr>
            <w:r>
              <w:rPr>
                <w:rFonts w:hint="eastAsia"/>
              </w:rPr>
              <w:t>式中：q</w:t>
            </w:r>
            <w:r>
              <w:rPr>
                <w:rFonts w:hint="eastAsia"/>
                <w:vertAlign w:val="subscript"/>
              </w:rPr>
              <w:t>1</w:t>
            </w:r>
            <w:r>
              <w:rPr>
                <w:rFonts w:hint="eastAsia"/>
              </w:rPr>
              <w:t>，q</w:t>
            </w:r>
            <w:r>
              <w:rPr>
                <w:rFonts w:hint="eastAsia"/>
                <w:vertAlign w:val="subscript"/>
              </w:rPr>
              <w:t>2</w:t>
            </w:r>
            <w:r>
              <w:rPr>
                <w:rFonts w:hint="eastAsia"/>
              </w:rPr>
              <w:t>，...，q</w:t>
            </w:r>
            <w:r>
              <w:rPr>
                <w:rFonts w:hint="eastAsia"/>
                <w:vertAlign w:val="subscript"/>
              </w:rPr>
              <w:t>n</w:t>
            </w:r>
            <w:r>
              <w:rPr>
                <w:rFonts w:hint="eastAsia"/>
              </w:rPr>
              <w:t>——每种危险物质的最大存在总量，t；</w:t>
            </w:r>
          </w:p>
          <w:p w14:paraId="34511ECB">
            <w:pPr>
              <w:pStyle w:val="3"/>
              <w:ind w:firstLine="480"/>
            </w:pPr>
            <w:r>
              <w:rPr>
                <w:rFonts w:hint="eastAsia"/>
              </w:rPr>
              <w:t>Q</w:t>
            </w:r>
            <w:r>
              <w:rPr>
                <w:rFonts w:hint="eastAsia"/>
                <w:vertAlign w:val="subscript"/>
              </w:rPr>
              <w:t>1</w:t>
            </w:r>
            <w:r>
              <w:rPr>
                <w:rFonts w:hint="eastAsia"/>
              </w:rPr>
              <w:t>，Q</w:t>
            </w:r>
            <w:r>
              <w:rPr>
                <w:rFonts w:hint="eastAsia"/>
                <w:vertAlign w:val="subscript"/>
              </w:rPr>
              <w:t>2</w:t>
            </w:r>
            <w:r>
              <w:rPr>
                <w:rFonts w:hint="eastAsia"/>
              </w:rPr>
              <w:t>，...，Q</w:t>
            </w:r>
            <w:r>
              <w:rPr>
                <w:rFonts w:hint="eastAsia"/>
                <w:vertAlign w:val="subscript"/>
              </w:rPr>
              <w:t>n</w:t>
            </w:r>
            <w:r>
              <w:rPr>
                <w:rFonts w:hint="eastAsia"/>
              </w:rPr>
              <w:t>——每种危险物质的临界量，t。</w:t>
            </w:r>
          </w:p>
          <w:p w14:paraId="271719C1">
            <w:pPr>
              <w:pStyle w:val="3"/>
              <w:ind w:firstLine="480"/>
            </w:pPr>
            <w:r>
              <w:rPr>
                <w:rFonts w:hint="eastAsia"/>
              </w:rPr>
              <w:t>当Q＜1时，该项目环境风险潜势为Ⅰ；</w:t>
            </w:r>
          </w:p>
          <w:p w14:paraId="3C43C9F2">
            <w:pPr>
              <w:pStyle w:val="3"/>
              <w:ind w:firstLine="480"/>
            </w:pPr>
            <w:r>
              <w:rPr>
                <w:rFonts w:hint="eastAsia"/>
              </w:rPr>
              <w:t>当Q≥1时，将Q值划分为：①1≤Q＜10；②10≤Q＜100；③Q≥100。</w:t>
            </w:r>
          </w:p>
          <w:p w14:paraId="0FA711AC">
            <w:pPr>
              <w:pStyle w:val="3"/>
              <w:ind w:firstLine="480"/>
            </w:pPr>
            <w:r>
              <w:rPr>
                <w:rFonts w:hint="eastAsia"/>
              </w:rPr>
              <w:t>针对企业的生产原料、燃料、辅助生产原料等，对照《建设项目环境风险评价技术导则》（HJ168-2018）中附录B筛选环境风险物质，本项目不涉及风险物质。</w:t>
            </w:r>
          </w:p>
          <w:p w14:paraId="175DB546">
            <w:pPr>
              <w:pStyle w:val="48"/>
            </w:pPr>
            <w:bookmarkStart w:id="93" w:name="_Ref184219022"/>
            <w:r>
              <w:rPr>
                <w:rFonts w:hint="eastAsia"/>
              </w:rPr>
              <w:t xml:space="preserve">表4- </w:t>
            </w:r>
            <w:r>
              <w:t>21</w:t>
            </w:r>
            <w:r>
              <w:rPr>
                <w:rFonts w:hint="eastAsia"/>
              </w:rPr>
              <w:t>：建设项目Q值确定表</w:t>
            </w:r>
            <w:bookmarkEnd w:id="93"/>
          </w:p>
          <w:tbl>
            <w:tblPr>
              <w:tblStyle w:val="4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643"/>
              <w:gridCol w:w="1441"/>
              <w:gridCol w:w="1471"/>
              <w:gridCol w:w="1534"/>
              <w:gridCol w:w="1968"/>
            </w:tblGrid>
            <w:tr w14:paraId="6A8BB0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67" w:hRule="atLeast"/>
                <w:jc w:val="center"/>
              </w:trPr>
              <w:tc>
                <w:tcPr>
                  <w:tcW w:w="1020" w:type="pc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01000458">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lang w:bidi="ar"/>
                      <w14:ligatures w14:val="standardContextual"/>
                    </w:rPr>
                    <w:t>物质名称</w:t>
                  </w:r>
                </w:p>
              </w:tc>
              <w:tc>
                <w:tcPr>
                  <w:tcW w:w="894"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78B34323">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lang w:bidi="ar"/>
                      <w14:ligatures w14:val="standardContextual"/>
                    </w:rPr>
                    <w:t>最大存在总量qn/t</w:t>
                  </w:r>
                </w:p>
              </w:tc>
              <w:tc>
                <w:tcPr>
                  <w:tcW w:w="913"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10238523">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lang w:bidi="ar"/>
                      <w14:ligatures w14:val="standardContextual"/>
                    </w:rPr>
                    <w:t>临界量Qn/t</w:t>
                  </w:r>
                </w:p>
              </w:tc>
              <w:tc>
                <w:tcPr>
                  <w:tcW w:w="952"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3DB752A0">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lang w:bidi="ar"/>
                      <w14:ligatures w14:val="standardContextual"/>
                    </w:rPr>
                    <w:t>该种危险物质Q值</w:t>
                  </w:r>
                </w:p>
              </w:tc>
              <w:tc>
                <w:tcPr>
                  <w:tcW w:w="1221" w:type="pct"/>
                  <w:tcBorders>
                    <w:top w:val="single" w:color="auto" w:sz="12" w:space="0"/>
                    <w:bottom w:val="single" w:color="auto" w:sz="12" w:space="0"/>
                    <w:right w:val="nil"/>
                    <w:insideH w:val="single" w:sz="12" w:space="0"/>
                    <w:insideV w:val="single" w:sz="4" w:space="0"/>
                    <w:tl2br w:val="nil"/>
                    <w:tr2bl w:val="nil"/>
                  </w:tcBorders>
                  <w:vAlign w:val="center"/>
                </w:tcPr>
                <w:p w14:paraId="3CE9A5D5">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lang w:bidi="ar"/>
                      <w14:ligatures w14:val="standardContextual"/>
                    </w:rPr>
                    <w:t>合计</w:t>
                  </w:r>
                </w:p>
              </w:tc>
            </w:tr>
            <w:tr w14:paraId="58DA2F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77" w:hRule="atLeast"/>
                <w:jc w:val="center"/>
              </w:trPr>
              <w:tc>
                <w:tcPr>
                  <w:tcW w:w="1020" w:type="pct"/>
                  <w:vAlign w:val="center"/>
                </w:tcPr>
                <w:p w14:paraId="3F80B33B">
                  <w:pPr>
                    <w:widowControl w:val="0"/>
                    <w:overflowPunct w:val="0"/>
                    <w:autoSpaceDE w:val="0"/>
                    <w:autoSpaceDN w:val="0"/>
                    <w:snapToGrid w:val="0"/>
                    <w:jc w:val="center"/>
                    <w:rPr>
                      <w:color w:val="auto"/>
                      <w14:ligatures w14:val="standardContextual"/>
                    </w:rPr>
                  </w:pPr>
                  <w:bookmarkStart w:id="94" w:name="_Hlk192169491"/>
                  <w:r>
                    <w:rPr>
                      <w:rFonts w:hint="eastAsia"/>
                      <w:color w:val="auto"/>
                      <w14:ligatures w14:val="standardContextual"/>
                    </w:rPr>
                    <w:t>废矿物油</w:t>
                  </w:r>
                </w:p>
              </w:tc>
              <w:tc>
                <w:tcPr>
                  <w:tcW w:w="894" w:type="pct"/>
                  <w:vAlign w:val="center"/>
                </w:tcPr>
                <w:p w14:paraId="4768C11D">
                  <w:pPr>
                    <w:widowControl w:val="0"/>
                    <w:overflowPunct w:val="0"/>
                    <w:autoSpaceDE w:val="0"/>
                    <w:autoSpaceDN w:val="0"/>
                    <w:snapToGrid w:val="0"/>
                    <w:jc w:val="center"/>
                    <w:rPr>
                      <w:color w:val="auto"/>
                      <w:lang w:bidi="ar"/>
                      <w14:ligatures w14:val="standardContextual"/>
                    </w:rPr>
                  </w:pPr>
                  <w:r>
                    <w:rPr>
                      <w:rFonts w:hint="eastAsia"/>
                      <w:color w:val="auto"/>
                      <w:lang w:bidi="ar"/>
                      <w14:ligatures w14:val="standardContextual"/>
                    </w:rPr>
                    <w:t>0.5</w:t>
                  </w:r>
                </w:p>
              </w:tc>
              <w:tc>
                <w:tcPr>
                  <w:tcW w:w="913" w:type="pct"/>
                  <w:vAlign w:val="center"/>
                </w:tcPr>
                <w:p w14:paraId="18C557D8">
                  <w:pPr>
                    <w:widowControl w:val="0"/>
                    <w:overflowPunct w:val="0"/>
                    <w:autoSpaceDE w:val="0"/>
                    <w:autoSpaceDN w:val="0"/>
                    <w:snapToGrid w:val="0"/>
                    <w:jc w:val="center"/>
                    <w:rPr>
                      <w:color w:val="auto"/>
                      <w:lang w:bidi="ar"/>
                      <w14:ligatures w14:val="standardContextual"/>
                    </w:rPr>
                  </w:pPr>
                  <w:r>
                    <w:rPr>
                      <w:rFonts w:hint="eastAsia"/>
                      <w:color w:val="auto"/>
                      <w:lang w:bidi="ar"/>
                      <w14:ligatures w14:val="standardContextual"/>
                    </w:rPr>
                    <w:t>50</w:t>
                  </w:r>
                </w:p>
              </w:tc>
              <w:tc>
                <w:tcPr>
                  <w:tcW w:w="952" w:type="pct"/>
                  <w:vAlign w:val="top"/>
                </w:tcPr>
                <w:p w14:paraId="65C7B8EE">
                  <w:pPr>
                    <w:widowControl w:val="0"/>
                    <w:overflowPunct w:val="0"/>
                    <w:autoSpaceDE w:val="0"/>
                    <w:autoSpaceDN w:val="0"/>
                    <w:snapToGrid w:val="0"/>
                    <w:jc w:val="center"/>
                    <w:rPr>
                      <w:color w:val="auto"/>
                      <w14:ligatures w14:val="standardContextual"/>
                    </w:rPr>
                  </w:pPr>
                  <w:r>
                    <w:rPr>
                      <w:color w:val="auto"/>
                      <w14:ligatures w14:val="standardContextual"/>
                    </w:rPr>
                    <w:t>0.0</w:t>
                  </w:r>
                  <w:r>
                    <w:rPr>
                      <w:rFonts w:hint="eastAsia"/>
                      <w:color w:val="auto"/>
                      <w14:ligatures w14:val="standardContextual"/>
                    </w:rPr>
                    <w:t>1</w:t>
                  </w:r>
                </w:p>
              </w:tc>
              <w:tc>
                <w:tcPr>
                  <w:tcW w:w="1221" w:type="pct"/>
                  <w:vAlign w:val="center"/>
                </w:tcPr>
                <w:p w14:paraId="3A0E7CE5">
                  <w:pPr>
                    <w:widowControl w:val="0"/>
                    <w:overflowPunct w:val="0"/>
                    <w:autoSpaceDE w:val="0"/>
                    <w:autoSpaceDN w:val="0"/>
                    <w:snapToGrid w:val="0"/>
                    <w:jc w:val="center"/>
                    <w:rPr>
                      <w:color w:val="auto"/>
                      <w:lang w:bidi="ar"/>
                      <w14:ligatures w14:val="standardContextual"/>
                    </w:rPr>
                  </w:pPr>
                  <w:r>
                    <w:rPr>
                      <w:color w:val="auto"/>
                      <w14:ligatures w14:val="standardContextual"/>
                    </w:rPr>
                    <w:t>0.0</w:t>
                  </w:r>
                  <w:r>
                    <w:rPr>
                      <w:rFonts w:hint="eastAsia"/>
                      <w:color w:val="auto"/>
                      <w14:ligatures w14:val="standardContextual"/>
                    </w:rPr>
                    <w:t>1</w:t>
                  </w:r>
                </w:p>
              </w:tc>
            </w:tr>
            <w:bookmarkEnd w:id="94"/>
          </w:tbl>
          <w:p w14:paraId="1A7F2F6E">
            <w:pPr>
              <w:pStyle w:val="3"/>
              <w:ind w:firstLine="480"/>
            </w:pPr>
            <w:r>
              <w:rPr>
                <w:rFonts w:hint="eastAsia"/>
              </w:rPr>
              <w:t>由上表可知，本项目Q值＜1，本项目环境风险潜势划分为Ⅰ级，环境风险评价仅做简单分析即可。</w:t>
            </w:r>
          </w:p>
          <w:p w14:paraId="1C4B4C68">
            <w:pPr>
              <w:pStyle w:val="3"/>
              <w:ind w:firstLine="482"/>
              <w:rPr>
                <w:b/>
                <w:bCs/>
              </w:rPr>
            </w:pPr>
            <w:r>
              <w:rPr>
                <w:rFonts w:hint="eastAsia"/>
                <w:b/>
                <w:bCs/>
              </w:rPr>
              <w:t>3、可能影响途径</w:t>
            </w:r>
          </w:p>
          <w:p w14:paraId="0FBEE32A">
            <w:pPr>
              <w:pStyle w:val="3"/>
              <w:ind w:firstLine="480"/>
            </w:pPr>
            <w:r>
              <w:rPr>
                <w:rFonts w:hint="eastAsia"/>
              </w:rPr>
              <w:t>风险事故根据有毒有害物质的发生起因，分为火灾、爆炸和</w:t>
            </w:r>
            <w:r>
              <w:rPr>
                <w:rFonts w:hint="eastAsia"/>
                <w:lang w:eastAsia="zh-CN"/>
              </w:rPr>
              <w:t>泄漏</w:t>
            </w:r>
            <w:r>
              <w:rPr>
                <w:rFonts w:hint="eastAsia"/>
              </w:rPr>
              <w:t>三种类型。本项目不考虑自然灾害如地震、洪水、台风等引起的事故风险。具体表现为以下几种：轻物质发生火灾，产生的火灾及火灾伴生/次生物质会有渗入地下土壤的风险，造成水体、土壤污染；废气处理设施、废水处理设施故障排放对大气环境、地表水环境、地下水环境造成污染。</w:t>
            </w:r>
          </w:p>
          <w:p w14:paraId="291D6A45">
            <w:pPr>
              <w:pStyle w:val="48"/>
            </w:pPr>
            <w:bookmarkStart w:id="95" w:name="_Ref176905772"/>
            <w:r>
              <w:rPr>
                <w:rFonts w:hint="eastAsia"/>
              </w:rPr>
              <w:t xml:space="preserve">表4- </w:t>
            </w:r>
            <w:r>
              <w:fldChar w:fldCharType="begin"/>
            </w:r>
            <w:r>
              <w:instrText xml:space="preserve"> </w:instrText>
            </w:r>
            <w:r>
              <w:rPr>
                <w:rFonts w:hint="eastAsia"/>
              </w:rPr>
              <w:instrText xml:space="preserve">SEQ 表4- \* ARABIC</w:instrText>
            </w:r>
            <w:r>
              <w:instrText xml:space="preserve"> </w:instrText>
            </w:r>
            <w:r>
              <w:fldChar w:fldCharType="separate"/>
            </w:r>
            <w:r>
              <w:t>20</w:t>
            </w:r>
            <w:r>
              <w:fldChar w:fldCharType="end"/>
            </w:r>
            <w:r>
              <w:rPr>
                <w:rFonts w:hint="eastAsia"/>
              </w:rPr>
              <w:t>：风险影响途径识别表</w:t>
            </w:r>
            <w:bookmarkEnd w:id="95"/>
          </w:p>
          <w:tbl>
            <w:tblPr>
              <w:tblStyle w:val="4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367"/>
              <w:gridCol w:w="1226"/>
              <w:gridCol w:w="1023"/>
              <w:gridCol w:w="819"/>
              <w:gridCol w:w="1440"/>
              <w:gridCol w:w="1512"/>
              <w:gridCol w:w="768"/>
              <w:gridCol w:w="902"/>
            </w:tblGrid>
            <w:tr w14:paraId="51857F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67" w:type="dxa"/>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6882B2C1">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序号</w:t>
                  </w:r>
                </w:p>
              </w:tc>
              <w:tc>
                <w:tcPr>
                  <w:tcW w:w="1226"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79108035">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危险单元</w:t>
                  </w:r>
                </w:p>
              </w:tc>
              <w:tc>
                <w:tcPr>
                  <w:tcW w:w="1023"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09137941">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风险源</w:t>
                  </w:r>
                </w:p>
              </w:tc>
              <w:tc>
                <w:tcPr>
                  <w:tcW w:w="819"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4B1F59CD">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主要危险物质</w:t>
                  </w:r>
                </w:p>
              </w:tc>
              <w:tc>
                <w:tcPr>
                  <w:tcW w:w="1440"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0CC4E73D">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环境风险类型</w:t>
                  </w:r>
                </w:p>
              </w:tc>
              <w:tc>
                <w:tcPr>
                  <w:tcW w:w="1512"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78E7D9DC">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影响途径</w:t>
                  </w:r>
                </w:p>
              </w:tc>
              <w:tc>
                <w:tcPr>
                  <w:tcW w:w="768"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719DD0CB">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伴生/次生污染物</w:t>
                  </w:r>
                </w:p>
              </w:tc>
              <w:tc>
                <w:tcPr>
                  <w:tcW w:w="902" w:type="dxa"/>
                  <w:tcBorders>
                    <w:top w:val="single" w:color="auto" w:sz="12" w:space="0"/>
                    <w:bottom w:val="single" w:color="auto" w:sz="12" w:space="0"/>
                    <w:right w:val="nil"/>
                    <w:insideH w:val="single" w:sz="12" w:space="0"/>
                    <w:insideV w:val="single" w:sz="4" w:space="0"/>
                    <w:tl2br w:val="nil"/>
                    <w:tr2bl w:val="nil"/>
                  </w:tcBorders>
                  <w:vAlign w:val="center"/>
                </w:tcPr>
                <w:p w14:paraId="4E5FEFF6">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可能影响的环境敏感目标</w:t>
                  </w:r>
                </w:p>
              </w:tc>
            </w:tr>
            <w:tr w14:paraId="0F3576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67" w:type="dxa"/>
                  <w:vAlign w:val="center"/>
                </w:tcPr>
                <w:p w14:paraId="09817709">
                  <w:pPr>
                    <w:widowControl w:val="0"/>
                    <w:overflowPunct w:val="0"/>
                    <w:autoSpaceDE w:val="0"/>
                    <w:autoSpaceDN w:val="0"/>
                    <w:snapToGrid w:val="0"/>
                    <w:jc w:val="center"/>
                    <w:rPr>
                      <w14:ligatures w14:val="standardContextual"/>
                    </w:rPr>
                  </w:pPr>
                  <w:r>
                    <w:rPr>
                      <w:rFonts w:hint="eastAsia"/>
                      <w14:ligatures w14:val="standardContextual"/>
                    </w:rPr>
                    <w:t>1</w:t>
                  </w:r>
                </w:p>
              </w:tc>
              <w:tc>
                <w:tcPr>
                  <w:tcW w:w="1226" w:type="dxa"/>
                  <w:vAlign w:val="center"/>
                </w:tcPr>
                <w:p w14:paraId="46C048CB">
                  <w:pPr>
                    <w:widowControl w:val="0"/>
                    <w:overflowPunct w:val="0"/>
                    <w:autoSpaceDE w:val="0"/>
                    <w:autoSpaceDN w:val="0"/>
                    <w:snapToGrid w:val="0"/>
                    <w:jc w:val="center"/>
                    <w:rPr>
                      <w14:ligatures w14:val="standardContextual"/>
                    </w:rPr>
                  </w:pPr>
                  <w:r>
                    <w:rPr>
                      <w:rFonts w:hint="eastAsia"/>
                      <w14:ligatures w14:val="standardContextual"/>
                    </w:rPr>
                    <w:t>生产车间</w:t>
                  </w:r>
                </w:p>
              </w:tc>
              <w:tc>
                <w:tcPr>
                  <w:tcW w:w="1023" w:type="dxa"/>
                  <w:vAlign w:val="center"/>
                </w:tcPr>
                <w:p w14:paraId="59B57A3F">
                  <w:pPr>
                    <w:widowControl w:val="0"/>
                    <w:overflowPunct w:val="0"/>
                    <w:autoSpaceDE w:val="0"/>
                    <w:autoSpaceDN w:val="0"/>
                    <w:snapToGrid w:val="0"/>
                    <w:jc w:val="center"/>
                    <w:rPr>
                      <w14:ligatures w14:val="standardContextual"/>
                    </w:rPr>
                  </w:pPr>
                  <w:r>
                    <w:rPr>
                      <w:rFonts w:hint="eastAsia"/>
                      <w14:ligatures w14:val="standardContextual"/>
                    </w:rPr>
                    <w:t>轻物质</w:t>
                  </w:r>
                </w:p>
              </w:tc>
              <w:tc>
                <w:tcPr>
                  <w:tcW w:w="819" w:type="dxa"/>
                  <w:vAlign w:val="center"/>
                </w:tcPr>
                <w:p w14:paraId="221FAF4F">
                  <w:pPr>
                    <w:widowControl w:val="0"/>
                    <w:overflowPunct w:val="0"/>
                    <w:autoSpaceDE w:val="0"/>
                    <w:autoSpaceDN w:val="0"/>
                    <w:snapToGrid w:val="0"/>
                    <w:jc w:val="center"/>
                    <w:rPr>
                      <w14:ligatures w14:val="standardContextual"/>
                    </w:rPr>
                  </w:pPr>
                  <w:r>
                    <w:rPr>
                      <w:rFonts w:hint="eastAsia"/>
                      <w14:ligatures w14:val="standardContextual"/>
                    </w:rPr>
                    <w:t>轻物质</w:t>
                  </w:r>
                </w:p>
              </w:tc>
              <w:tc>
                <w:tcPr>
                  <w:tcW w:w="1440" w:type="dxa"/>
                  <w:vAlign w:val="center"/>
                </w:tcPr>
                <w:p w14:paraId="34953D2C">
                  <w:pPr>
                    <w:widowControl w:val="0"/>
                    <w:overflowPunct w:val="0"/>
                    <w:autoSpaceDE w:val="0"/>
                    <w:autoSpaceDN w:val="0"/>
                    <w:snapToGrid w:val="0"/>
                    <w:jc w:val="center"/>
                    <w:rPr>
                      <w14:ligatures w14:val="standardContextual"/>
                    </w:rPr>
                  </w:pPr>
                  <w:r>
                    <w:rPr>
                      <w:rFonts w:hint="eastAsia"/>
                      <w14:ligatures w14:val="standardContextual"/>
                    </w:rPr>
                    <w:t>火灾</w:t>
                  </w:r>
                </w:p>
              </w:tc>
              <w:tc>
                <w:tcPr>
                  <w:tcW w:w="1512" w:type="dxa"/>
                  <w:vAlign w:val="center"/>
                </w:tcPr>
                <w:p w14:paraId="5C5881CC">
                  <w:pPr>
                    <w:widowControl w:val="0"/>
                    <w:overflowPunct w:val="0"/>
                    <w:autoSpaceDE w:val="0"/>
                    <w:autoSpaceDN w:val="0"/>
                    <w:snapToGrid w:val="0"/>
                    <w:jc w:val="center"/>
                    <w:rPr>
                      <w14:ligatures w14:val="standardContextual"/>
                    </w:rPr>
                  </w:pPr>
                  <w:r>
                    <w:rPr>
                      <w:rFonts w:hint="eastAsia"/>
                      <w14:ligatures w14:val="standardContextual"/>
                    </w:rPr>
                    <w:t>发生火灾，产生的废气影响大气环境</w:t>
                  </w:r>
                </w:p>
              </w:tc>
              <w:tc>
                <w:tcPr>
                  <w:tcW w:w="768" w:type="dxa"/>
                  <w:vAlign w:val="center"/>
                </w:tcPr>
                <w:p w14:paraId="4A784D85">
                  <w:pPr>
                    <w:widowControl w:val="0"/>
                    <w:overflowPunct w:val="0"/>
                    <w:autoSpaceDE w:val="0"/>
                    <w:autoSpaceDN w:val="0"/>
                    <w:snapToGrid w:val="0"/>
                    <w:jc w:val="center"/>
                    <w:rPr>
                      <w14:ligatures w14:val="standardContextual"/>
                    </w:rPr>
                  </w:pPr>
                  <w:r>
                    <w:rPr>
                      <w:rFonts w:hint="eastAsia"/>
                      <w14:ligatures w14:val="standardContextual"/>
                    </w:rPr>
                    <w:t>CO</w:t>
                  </w:r>
                  <w:bookmarkStart w:id="96" w:name="OLE_LINK134"/>
                  <w:r>
                    <w:rPr>
                      <w:rFonts w:hint="eastAsia"/>
                      <w14:ligatures w14:val="standardContextual"/>
                    </w:rPr>
                    <w:t>、</w:t>
                  </w:r>
                  <w:bookmarkStart w:id="97" w:name="OLE_LINK281"/>
                  <w:r>
                    <w:rPr>
                      <w:rFonts w:hint="eastAsia"/>
                      <w14:ligatures w14:val="standardContextual"/>
                    </w:rPr>
                    <w:t>NOx</w:t>
                  </w:r>
                  <w:bookmarkEnd w:id="96"/>
                  <w:bookmarkEnd w:id="97"/>
                </w:p>
              </w:tc>
              <w:tc>
                <w:tcPr>
                  <w:tcW w:w="902" w:type="dxa"/>
                  <w:vAlign w:val="center"/>
                </w:tcPr>
                <w:p w14:paraId="0442BC10">
                  <w:pPr>
                    <w:widowControl w:val="0"/>
                    <w:overflowPunct w:val="0"/>
                    <w:autoSpaceDE w:val="0"/>
                    <w:autoSpaceDN w:val="0"/>
                    <w:snapToGrid w:val="0"/>
                    <w:jc w:val="center"/>
                    <w:rPr>
                      <w14:ligatures w14:val="standardContextual"/>
                    </w:rPr>
                  </w:pPr>
                  <w:r>
                    <w:rPr>
                      <w:rFonts w:hint="eastAsia"/>
                      <w14:ligatures w14:val="standardContextual"/>
                    </w:rPr>
                    <w:t>大气环境</w:t>
                  </w:r>
                </w:p>
              </w:tc>
            </w:tr>
            <w:tr w14:paraId="5779D7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67" w:type="dxa"/>
                  <w:vAlign w:val="center"/>
                </w:tcPr>
                <w:p w14:paraId="10FC9CB8">
                  <w:pPr>
                    <w:widowControl w:val="0"/>
                    <w:overflowPunct w:val="0"/>
                    <w:autoSpaceDE w:val="0"/>
                    <w:autoSpaceDN w:val="0"/>
                    <w:snapToGrid w:val="0"/>
                    <w:jc w:val="center"/>
                    <w:rPr>
                      <w14:ligatures w14:val="standardContextual"/>
                    </w:rPr>
                  </w:pPr>
                  <w:r>
                    <w:rPr>
                      <w:rFonts w:hint="eastAsia"/>
                      <w14:ligatures w14:val="standardContextual"/>
                    </w:rPr>
                    <w:t>2</w:t>
                  </w:r>
                </w:p>
              </w:tc>
              <w:tc>
                <w:tcPr>
                  <w:tcW w:w="1226" w:type="dxa"/>
                  <w:vAlign w:val="center"/>
                </w:tcPr>
                <w:p w14:paraId="4614F398">
                  <w:pPr>
                    <w:widowControl w:val="0"/>
                    <w:overflowPunct w:val="0"/>
                    <w:autoSpaceDE w:val="0"/>
                    <w:autoSpaceDN w:val="0"/>
                    <w:snapToGrid w:val="0"/>
                    <w:jc w:val="center"/>
                    <w:rPr>
                      <w14:ligatures w14:val="standardContextual"/>
                    </w:rPr>
                  </w:pPr>
                  <w:r>
                    <w:rPr>
                      <w:rFonts w:hint="eastAsia"/>
                      <w14:ligatures w14:val="standardContextual"/>
                    </w:rPr>
                    <w:t>生产车间</w:t>
                  </w:r>
                </w:p>
              </w:tc>
              <w:tc>
                <w:tcPr>
                  <w:tcW w:w="1023" w:type="dxa"/>
                  <w:vAlign w:val="center"/>
                </w:tcPr>
                <w:p w14:paraId="2CD1E344">
                  <w:pPr>
                    <w:widowControl w:val="0"/>
                    <w:overflowPunct w:val="0"/>
                    <w:autoSpaceDE w:val="0"/>
                    <w:autoSpaceDN w:val="0"/>
                    <w:snapToGrid w:val="0"/>
                    <w:jc w:val="center"/>
                    <w:rPr>
                      <w14:ligatures w14:val="standardContextual"/>
                    </w:rPr>
                  </w:pPr>
                  <w:r>
                    <w:rPr>
                      <w:rFonts w:hint="eastAsia"/>
                      <w14:ligatures w14:val="standardContextual"/>
                    </w:rPr>
                    <w:t>废气处理设施</w:t>
                  </w:r>
                </w:p>
              </w:tc>
              <w:tc>
                <w:tcPr>
                  <w:tcW w:w="819" w:type="dxa"/>
                  <w:vAlign w:val="center"/>
                </w:tcPr>
                <w:p w14:paraId="0B086167">
                  <w:pPr>
                    <w:widowControl w:val="0"/>
                    <w:overflowPunct w:val="0"/>
                    <w:autoSpaceDE w:val="0"/>
                    <w:autoSpaceDN w:val="0"/>
                    <w:snapToGrid w:val="0"/>
                    <w:jc w:val="center"/>
                    <w:rPr>
                      <w14:ligatures w14:val="standardContextual"/>
                    </w:rPr>
                  </w:pPr>
                  <w:r>
                    <w:rPr>
                      <w:rFonts w:hint="eastAsia"/>
                      <w14:ligatures w14:val="standardContextual"/>
                    </w:rPr>
                    <w:t>颗粒物</w:t>
                  </w:r>
                </w:p>
              </w:tc>
              <w:tc>
                <w:tcPr>
                  <w:tcW w:w="1440" w:type="dxa"/>
                  <w:vAlign w:val="center"/>
                </w:tcPr>
                <w:p w14:paraId="5B8D5AA6">
                  <w:pPr>
                    <w:widowControl w:val="0"/>
                    <w:overflowPunct w:val="0"/>
                    <w:autoSpaceDE w:val="0"/>
                    <w:autoSpaceDN w:val="0"/>
                    <w:snapToGrid w:val="0"/>
                    <w:jc w:val="center"/>
                    <w:rPr>
                      <w14:ligatures w14:val="standardContextual"/>
                    </w:rPr>
                  </w:pPr>
                  <w:r>
                    <w:rPr>
                      <w:rFonts w:hint="eastAsia"/>
                      <w14:ligatures w14:val="standardContextual"/>
                    </w:rPr>
                    <w:t>故障排放</w:t>
                  </w:r>
                </w:p>
              </w:tc>
              <w:tc>
                <w:tcPr>
                  <w:tcW w:w="1512" w:type="dxa"/>
                  <w:vAlign w:val="center"/>
                </w:tcPr>
                <w:p w14:paraId="58DB6EEA">
                  <w:pPr>
                    <w:widowControl w:val="0"/>
                    <w:overflowPunct w:val="0"/>
                    <w:autoSpaceDE w:val="0"/>
                    <w:autoSpaceDN w:val="0"/>
                    <w:snapToGrid w:val="0"/>
                    <w:jc w:val="center"/>
                    <w:rPr>
                      <w14:ligatures w14:val="standardContextual"/>
                    </w:rPr>
                  </w:pPr>
                  <w:r>
                    <w:rPr>
                      <w:rFonts w:hint="eastAsia"/>
                      <w14:ligatures w14:val="standardContextual"/>
                    </w:rPr>
                    <w:t>产生的废气影响大气环境及周围人群</w:t>
                  </w:r>
                </w:p>
              </w:tc>
              <w:tc>
                <w:tcPr>
                  <w:tcW w:w="768" w:type="dxa"/>
                  <w:vAlign w:val="center"/>
                </w:tcPr>
                <w:p w14:paraId="753AF453">
                  <w:pPr>
                    <w:widowControl w:val="0"/>
                    <w:overflowPunct w:val="0"/>
                    <w:autoSpaceDE w:val="0"/>
                    <w:autoSpaceDN w:val="0"/>
                    <w:snapToGrid w:val="0"/>
                    <w:jc w:val="center"/>
                    <w:rPr>
                      <w14:ligatures w14:val="standardContextual"/>
                    </w:rPr>
                  </w:pPr>
                  <w:r>
                    <w:rPr>
                      <w:rFonts w:hint="eastAsia"/>
                      <w14:ligatures w14:val="standardContextual"/>
                    </w:rPr>
                    <w:t>/</w:t>
                  </w:r>
                </w:p>
              </w:tc>
              <w:tc>
                <w:tcPr>
                  <w:tcW w:w="902" w:type="dxa"/>
                  <w:vAlign w:val="center"/>
                </w:tcPr>
                <w:p w14:paraId="71BC14E0">
                  <w:pPr>
                    <w:widowControl w:val="0"/>
                    <w:overflowPunct w:val="0"/>
                    <w:autoSpaceDE w:val="0"/>
                    <w:autoSpaceDN w:val="0"/>
                    <w:snapToGrid w:val="0"/>
                    <w:jc w:val="center"/>
                    <w:rPr>
                      <w14:ligatures w14:val="standardContextual"/>
                    </w:rPr>
                  </w:pPr>
                  <w:r>
                    <w:rPr>
                      <w:rFonts w:hint="eastAsia"/>
                      <w14:ligatures w14:val="standardContextual"/>
                    </w:rPr>
                    <w:t>大气环境、人群健康</w:t>
                  </w:r>
                </w:p>
              </w:tc>
            </w:tr>
          </w:tbl>
          <w:p w14:paraId="02C7B07D">
            <w:pPr>
              <w:pStyle w:val="3"/>
              <w:ind w:firstLine="482"/>
              <w:rPr>
                <w:b/>
                <w:bCs/>
              </w:rPr>
            </w:pPr>
            <w:r>
              <w:rPr>
                <w:rFonts w:hint="eastAsia"/>
                <w:b/>
                <w:bCs/>
              </w:rPr>
              <w:t>4、环境风险防范措施</w:t>
            </w:r>
          </w:p>
          <w:p w14:paraId="41CA5871">
            <w:pPr>
              <w:pStyle w:val="3"/>
              <w:ind w:firstLine="480"/>
            </w:pPr>
            <w:bookmarkStart w:id="98" w:name="I、原料、产品贮存火灾风险防范措施"/>
            <w:r>
              <w:rPr>
                <w:rFonts w:hint="eastAsia"/>
              </w:rPr>
              <w:t>I、</w:t>
            </w:r>
            <w:bookmarkEnd w:id="98"/>
            <w:r>
              <w:rPr>
                <w:rFonts w:hint="eastAsia"/>
              </w:rPr>
              <w:t>轻物质遇明火引发的火灾产生的伴生/次生事故风险</w:t>
            </w:r>
          </w:p>
          <w:p w14:paraId="0AAFC744">
            <w:pPr>
              <w:pStyle w:val="3"/>
              <w:ind w:firstLine="480"/>
            </w:pPr>
            <w:r>
              <w:rPr>
                <w:rFonts w:hint="eastAsia"/>
              </w:rPr>
              <w:t>生产车间存储的轻物质（主要成分包括废塑料、废木材）遇明火引发的火灾产生的伴生/次生有毒有害气体污染物排放，造成大气污染。火灾消防尾水一同通过雨水管网流入区域地表水体，造成区域地表水体的污染。</w:t>
            </w:r>
          </w:p>
          <w:p w14:paraId="147C2883">
            <w:pPr>
              <w:pStyle w:val="3"/>
              <w:ind w:firstLine="480"/>
            </w:pPr>
            <w:r>
              <w:rPr>
                <w:rFonts w:hint="eastAsia"/>
              </w:rPr>
              <w:t>厂区内轻物质集中分区暂存，暂存区禁止明火，设置灭火设施，建设单位杜绝消防废水进入自然水体环境。</w:t>
            </w:r>
          </w:p>
          <w:p w14:paraId="7A2AF4E4">
            <w:pPr>
              <w:pStyle w:val="3"/>
              <w:ind w:firstLine="480"/>
            </w:pPr>
            <w:r>
              <w:rPr>
                <w:rFonts w:hint="eastAsia"/>
              </w:rPr>
              <w:t>II、废气事故排放</w:t>
            </w:r>
          </w:p>
          <w:p w14:paraId="5D01BDB8">
            <w:pPr>
              <w:pStyle w:val="3"/>
              <w:ind w:firstLine="480"/>
            </w:pPr>
            <w:r>
              <w:rPr>
                <w:rFonts w:hint="eastAsia"/>
              </w:rPr>
              <w:t>废气处理过程处理设施发生设备故障会造成废气无组织排放，短时间内可能造成环境空气质量超标，甚至对人体健康造成危害。</w:t>
            </w:r>
          </w:p>
          <w:p w14:paraId="26D83574">
            <w:pPr>
              <w:pStyle w:val="3"/>
              <w:ind w:firstLine="480"/>
            </w:pPr>
            <w:bookmarkStart w:id="99" w:name="OLE_LINK1"/>
            <w:r>
              <w:rPr>
                <w:rFonts w:hint="eastAsia"/>
              </w:rPr>
              <w:t>建设方应采取措施杜绝此类环境风险发生，若发生环保设备故障，建设方应立即停止生产，寻找原因，原因不查明严禁开工生产，同时应及时上报环保局备案，避免污染物经大气扩散对周边敏感目标空气环境造成不良影响。</w:t>
            </w:r>
            <w:bookmarkEnd w:id="99"/>
          </w:p>
          <w:p w14:paraId="4F877569">
            <w:pPr>
              <w:pStyle w:val="3"/>
              <w:ind w:firstLine="480"/>
            </w:pPr>
            <w:r>
              <w:rPr>
                <w:rFonts w:hint="eastAsia"/>
              </w:rPr>
              <w:t>同时建设单位应严格落实本评价提出的废气防治措施，企业对废气处理系统进行定期与不定期检查，及时维修或更换不良部件，保证废气治理设施正常运行，确保废气处理达标排放。</w:t>
            </w:r>
            <w:bookmarkStart w:id="100" w:name="VII突发事故应急预案"/>
          </w:p>
          <w:p w14:paraId="18A55C6D">
            <w:pPr>
              <w:pStyle w:val="3"/>
              <w:ind w:firstLine="480"/>
            </w:pPr>
            <w:r>
              <w:rPr>
                <w:rFonts w:hint="eastAsia"/>
              </w:rPr>
              <w:t>III突发事故应急预案</w:t>
            </w:r>
            <w:bookmarkEnd w:id="100"/>
          </w:p>
          <w:p w14:paraId="1AD777B3">
            <w:pPr>
              <w:pStyle w:val="3"/>
              <w:ind w:firstLine="480"/>
            </w:pPr>
            <w:r>
              <w:rPr>
                <w:rFonts w:hint="eastAsia"/>
              </w:rPr>
              <w:t>按要求编制应急预案，其组织机构包含突发环境污染事故工作组（指挥部）、指挥部由总指挥（公司总经理）、副总指挥（分管生产的副总经理、分管环保的副总经理）、其他成员（调度处处长、环保处处长、安全处处长、保卫处处长和公司办主任）。并根据应急预案的要求配备基本的应急物资，如消火栓、灭火器、消防水池、防毒面具、应急药品、警示牌等。明确紧急情况下企业应按事发地人民政府环保部门要求，配合开展工作。明确应急监测方案，包括污染现场、实验室应急监测方法、仪器、药剂。突发环境事件发生时企业环境监测机构要立即开展应急监测，在政府部门到达后，则配合政府部门相关机构进行监测。</w:t>
            </w:r>
          </w:p>
          <w:p w14:paraId="5717C70C">
            <w:pPr>
              <w:pStyle w:val="3"/>
              <w:ind w:firstLine="482"/>
            </w:pPr>
            <w:r>
              <w:rPr>
                <w:rFonts w:hint="eastAsia"/>
                <w:b/>
                <w:bCs/>
              </w:rPr>
              <w:t>5、环境风险结论</w:t>
            </w:r>
          </w:p>
          <w:p w14:paraId="463BF9F7">
            <w:pPr>
              <w:pStyle w:val="3"/>
              <w:ind w:firstLine="480"/>
            </w:pPr>
            <w:r>
              <w:rPr>
                <w:rFonts w:hint="eastAsia"/>
              </w:rPr>
              <w:t>通过风险防范措施的设立和应急预案的建立，可以较为</w:t>
            </w:r>
            <w:r>
              <w:rPr>
                <w:rFonts w:hint="eastAsia"/>
                <w:lang w:eastAsia="zh-CN"/>
              </w:rPr>
              <w:t>有效地</w:t>
            </w:r>
            <w:r>
              <w:rPr>
                <w:rFonts w:hint="eastAsia"/>
              </w:rPr>
              <w:t>最大限度</w:t>
            </w:r>
            <w:r>
              <w:rPr>
                <w:rFonts w:hint="eastAsia"/>
                <w:lang w:eastAsia="zh-CN"/>
              </w:rPr>
              <w:t>防止</w:t>
            </w:r>
            <w:r>
              <w:rPr>
                <w:rFonts w:hint="eastAsia"/>
              </w:rPr>
              <w:t>风险事故的发生和有效处置，并结合企业在运营过程中不断制定和完善的风险防范措施和应急预案，在此情况下，建设单位环境风险可以有效防控，对环境的不利影响可以得到有效的控制，项目风险水平在可接受的范围内。</w:t>
            </w:r>
          </w:p>
          <w:p w14:paraId="05F15412">
            <w:pPr>
              <w:pStyle w:val="7"/>
            </w:pPr>
            <w:r>
              <w:rPr>
                <w:rFonts w:hint="eastAsia"/>
              </w:rPr>
              <w:t>八、环境管理</w:t>
            </w:r>
          </w:p>
          <w:p w14:paraId="1632FA21">
            <w:pPr>
              <w:pStyle w:val="3"/>
              <w:ind w:firstLine="480"/>
            </w:pPr>
            <w:r>
              <w:rPr>
                <w:rFonts w:hint="eastAsia"/>
              </w:rPr>
              <w:t>环境管理和污染源监测是建设单位内部污染源监督管理的重要组成部分。在企业中建立健全的环保机构，加强环保管理工作，开展厂内环境监测、监督，并把环保工作纳入生产管理，有助于控制和减少污染物的排放、促进资源的合理</w:t>
            </w:r>
            <w:r>
              <w:rPr>
                <w:rFonts w:hint="eastAsia"/>
                <w:lang w:eastAsia="zh-CN"/>
              </w:rPr>
              <w:t>利用</w:t>
            </w:r>
            <w:r>
              <w:rPr>
                <w:rFonts w:hint="eastAsia"/>
              </w:rPr>
              <w:t>，对减轻环境污染、保护环境有着重要意义。</w:t>
            </w:r>
          </w:p>
          <w:p w14:paraId="3CB27152">
            <w:pPr>
              <w:pStyle w:val="3"/>
              <w:ind w:firstLine="480"/>
            </w:pPr>
            <w:r>
              <w:rPr>
                <w:rFonts w:hint="eastAsia"/>
              </w:rPr>
              <w:t>（1）环境管理</w:t>
            </w:r>
          </w:p>
          <w:p w14:paraId="24B22C82">
            <w:pPr>
              <w:pStyle w:val="3"/>
              <w:ind w:firstLine="480"/>
            </w:pPr>
            <w:r>
              <w:rPr>
                <w:rFonts w:hint="eastAsia"/>
              </w:rPr>
              <w:t>1）环境管理目的</w:t>
            </w:r>
          </w:p>
          <w:p w14:paraId="62624945">
            <w:pPr>
              <w:pStyle w:val="3"/>
              <w:ind w:firstLine="480"/>
            </w:pPr>
            <w:r>
              <w:rPr>
                <w:rFonts w:hint="eastAsia"/>
              </w:rPr>
              <w:t>根据《中华人民共和国环境保护法》（2015年1月1日施行），环境管理目的是：“为保护和改善环境，防治污染和其他公害，保障公众健康，推进生态文明建设，促进经济社会可持续发展”。</w:t>
            </w:r>
          </w:p>
          <w:p w14:paraId="6FA1D84C">
            <w:pPr>
              <w:pStyle w:val="3"/>
              <w:ind w:firstLine="480"/>
            </w:pPr>
            <w:r>
              <w:rPr>
                <w:rFonts w:hint="eastAsia"/>
              </w:rPr>
              <w:t>2）环境管理要求</w:t>
            </w:r>
          </w:p>
          <w:p w14:paraId="2EF3BB98">
            <w:pPr>
              <w:pStyle w:val="3"/>
              <w:ind w:firstLine="480"/>
            </w:pPr>
            <w:r>
              <w:rPr>
                <w:rFonts w:hint="eastAsia"/>
              </w:rPr>
              <w:t>①建设单位需设专门的环境管理部门，安排专门环保人员，负责项目运行过程中环境管理、环境监控等工作，并受项目所在地主管部门、生态环境部门的监督和指导。</w:t>
            </w:r>
          </w:p>
          <w:p w14:paraId="577083EB">
            <w:pPr>
              <w:pStyle w:val="3"/>
              <w:ind w:firstLine="480"/>
            </w:pPr>
            <w:r>
              <w:rPr>
                <w:rFonts w:hint="eastAsia"/>
              </w:rPr>
              <w:t>②安排专人定期对环保设施进行检查、维修、保养等工作，确保环保设施长期、稳定、达标运行。</w:t>
            </w:r>
          </w:p>
          <w:p w14:paraId="1281B613">
            <w:pPr>
              <w:pStyle w:val="3"/>
              <w:ind w:firstLine="480"/>
            </w:pPr>
            <w:r>
              <w:rPr>
                <w:rFonts w:hint="eastAsia"/>
              </w:rPr>
              <w:t>③定期对员工进行环境保护教育、培训，增强员工的环保意识。</w:t>
            </w:r>
          </w:p>
          <w:p w14:paraId="1532B95E">
            <w:pPr>
              <w:pStyle w:val="3"/>
              <w:ind w:firstLine="480"/>
            </w:pPr>
            <w:r>
              <w:rPr>
                <w:rFonts w:hint="eastAsia"/>
              </w:rPr>
              <w:t>（2）严格落实排污许可证制度</w:t>
            </w:r>
          </w:p>
          <w:p w14:paraId="55FE030B">
            <w:pPr>
              <w:pStyle w:val="3"/>
              <w:ind w:firstLine="480"/>
            </w:pPr>
            <w:r>
              <w:rPr>
                <w:rFonts w:hint="eastAsia"/>
              </w:rPr>
              <w:t>1）落实按证排污责任</w:t>
            </w:r>
          </w:p>
          <w:p w14:paraId="0CC7AA2C">
            <w:pPr>
              <w:pStyle w:val="3"/>
              <w:ind w:firstLine="480"/>
            </w:pPr>
            <w:r>
              <w:rPr>
                <w:rFonts w:hint="eastAsia"/>
              </w:rPr>
              <w:t>建设单位必须按期持证排污、按证排污，不得无证排污，及时申领排污许可证，对申请材料的真实性、准确性和完整性承担法律责任，承诺按照排污许可证的规定排污并严格执行；落实污染物排放控制措施和其他各项环境管理要求，确保污染物排放种类、浓度和排放量等达到许可要求；明确单位负责人和相关人员环境保护责任，不断提高污染治理和环境管理水平，自觉接受监督检查。</w:t>
            </w:r>
          </w:p>
          <w:p w14:paraId="62D8000C">
            <w:pPr>
              <w:pStyle w:val="3"/>
              <w:ind w:firstLine="480"/>
            </w:pPr>
            <w:r>
              <w:rPr>
                <w:rFonts w:hint="eastAsia"/>
              </w:rPr>
              <w:t>2）实行自行监测和定期报告制度</w:t>
            </w:r>
          </w:p>
          <w:p w14:paraId="1386B0B1">
            <w:pPr>
              <w:pStyle w:val="3"/>
              <w:ind w:firstLine="480"/>
            </w:pPr>
            <w:r>
              <w:rPr>
                <w:rFonts w:hint="eastAsia"/>
              </w:rPr>
              <w:t>依法开展自行监测，安装或使用监测设备应符合国家有关环境监测、计量认证规定和技术规范，保障数据合法有效，保证设备正常运行，妥善保存原始记录，建立准确完整的环境管理台账。如实向生态环境部门报告排污许可证执行情况，依法向社会公开污染物排放数据并对数据真实性负责。排放情况与排污许可证要求不符的，应及时向生态环境部门报告。</w:t>
            </w:r>
          </w:p>
          <w:p w14:paraId="31353218">
            <w:pPr>
              <w:pStyle w:val="3"/>
              <w:ind w:firstLine="480"/>
            </w:pPr>
            <w:r>
              <w:rPr>
                <w:rFonts w:hint="eastAsia"/>
              </w:rPr>
              <w:t>（3）排污许可证管理</w:t>
            </w:r>
          </w:p>
          <w:p w14:paraId="60CF9A9C">
            <w:pPr>
              <w:pStyle w:val="3"/>
              <w:ind w:firstLine="480"/>
            </w:pPr>
            <w:r>
              <w:rPr>
                <w:rFonts w:hint="eastAsia"/>
              </w:rPr>
              <w:t>依据关于印发《关于发布排污许可证承诺书样本、排污许可证申请表和排污许可证格式的通知》的通知（环规财</w:t>
            </w:r>
            <w:r>
              <w:rPr>
                <w:rFonts w:hint="eastAsia"/>
                <w:lang w:eastAsia="zh-CN"/>
              </w:rPr>
              <w:t>〔2018〕80号</w:t>
            </w:r>
            <w:r>
              <w:rPr>
                <w:rFonts w:hint="eastAsia"/>
              </w:rPr>
              <w:t>），排污许可证管理要求如下：</w:t>
            </w:r>
          </w:p>
          <w:p w14:paraId="176B2EFD">
            <w:pPr>
              <w:pStyle w:val="3"/>
              <w:ind w:firstLine="480"/>
            </w:pPr>
            <w:r>
              <w:rPr>
                <w:rFonts w:hint="eastAsia"/>
              </w:rPr>
              <w:t>1）排污许可证的变更</w:t>
            </w:r>
          </w:p>
          <w:p w14:paraId="05F64AFF">
            <w:pPr>
              <w:pStyle w:val="3"/>
              <w:ind w:firstLine="480"/>
            </w:pPr>
            <w:r>
              <w:rPr>
                <w:rFonts w:hint="eastAsia"/>
              </w:rPr>
              <w:t>①在排污许可证有效期内，建设单位发生以下事项变化的，应当在规定时间内向原核发机关提出变更排污许可证的申请：排污单位名称、注册地址、法定代表人或者实际负责人等正本中载明的基本信息发生变更之日起二十日内。</w:t>
            </w:r>
          </w:p>
          <w:p w14:paraId="54A7DD1F">
            <w:pPr>
              <w:pStyle w:val="3"/>
              <w:ind w:firstLine="480"/>
            </w:pPr>
            <w:r>
              <w:rPr>
                <w:rFonts w:hint="eastAsia"/>
              </w:rPr>
              <w:t>②排污单位在原场址内实施新改扩建项目应当开展环境影响评价的，在通过环境影响评价审批或者备案后，产生实际排污行为之前二十日内。</w:t>
            </w:r>
          </w:p>
          <w:p w14:paraId="46DAC8DA">
            <w:pPr>
              <w:pStyle w:val="3"/>
              <w:ind w:firstLine="480"/>
            </w:pPr>
            <w:r>
              <w:rPr>
                <w:rFonts w:hint="eastAsia"/>
              </w:rPr>
              <w:t>③国家或地方实施新污染物排放标准的，核发机关应主动通知排污单位进行变更，排污单位在接到通知后二十日内申请变更。</w:t>
            </w:r>
          </w:p>
          <w:p w14:paraId="52581DD3">
            <w:pPr>
              <w:pStyle w:val="3"/>
              <w:ind w:firstLine="480"/>
            </w:pPr>
            <w:r>
              <w:rPr>
                <w:rFonts w:hint="eastAsia"/>
              </w:rPr>
              <w:t>④政府相关文件或与其他企业达成协议，进行区域替代实现减量排放的，应在文件或协议规定时限内提出变更申请。</w:t>
            </w:r>
          </w:p>
          <w:p w14:paraId="197CFE32">
            <w:pPr>
              <w:pStyle w:val="3"/>
              <w:ind w:firstLine="480"/>
            </w:pPr>
            <w:r>
              <w:rPr>
                <w:rFonts w:hint="eastAsia"/>
              </w:rPr>
              <w:t>⑤需要进行变更的其他情形。</w:t>
            </w:r>
          </w:p>
          <w:p w14:paraId="6B309622">
            <w:pPr>
              <w:pStyle w:val="3"/>
              <w:ind w:firstLine="480"/>
            </w:pPr>
            <w:r>
              <w:rPr>
                <w:rFonts w:hint="eastAsia"/>
              </w:rPr>
              <w:t>2）排污许可证的补办</w:t>
            </w:r>
          </w:p>
          <w:p w14:paraId="41FC8B9D">
            <w:pPr>
              <w:pStyle w:val="3"/>
              <w:ind w:firstLine="480"/>
            </w:pPr>
            <w:r>
              <w:rPr>
                <w:rFonts w:hint="eastAsia"/>
              </w:rPr>
              <w:t>排污许可证发生遗失、损毁的，建设单位应当在三十日内向原核发机关申请补领排污许可证，遗失排污许可证的还应同时提交遗失声明，损毁排污许可证的还应同时交回被损毁的许可证。核发机关应当在收到补领申请后十日内补发排污许可证，并及时在国家排污许可证管理信息平台上进行公告。</w:t>
            </w:r>
          </w:p>
          <w:p w14:paraId="1084EA38">
            <w:pPr>
              <w:pStyle w:val="3"/>
              <w:ind w:firstLine="480"/>
            </w:pPr>
            <w:r>
              <w:rPr>
                <w:rFonts w:hint="eastAsia"/>
              </w:rPr>
              <w:t>3）其他相关要求</w:t>
            </w:r>
          </w:p>
          <w:p w14:paraId="561A1433">
            <w:pPr>
              <w:pStyle w:val="3"/>
              <w:ind w:firstLine="480"/>
            </w:pPr>
            <w:r>
              <w:rPr>
                <w:rFonts w:hint="eastAsia"/>
              </w:rPr>
              <w:t>①排污口位置和数量、排放方式、排放去向、排放污染物种类、排放浓度和排放量、执行的排放标准等符合排污许可证的规定，不得私设暗管或以其他方式逃避监管。</w:t>
            </w:r>
          </w:p>
          <w:p w14:paraId="4185C8A9">
            <w:pPr>
              <w:pStyle w:val="3"/>
              <w:ind w:firstLine="480"/>
            </w:pPr>
            <w:r>
              <w:rPr>
                <w:rFonts w:hint="eastAsia"/>
              </w:rPr>
              <w:t>②落实重污染天气应急管控措施、遵守法律规定的最新环境保护要求等。按排污许可证规定的监测点位、监测因子、监测频次和相关监测技术规范开展自行监测并公开。</w:t>
            </w:r>
          </w:p>
          <w:p w14:paraId="446FD6F5">
            <w:pPr>
              <w:pStyle w:val="3"/>
              <w:ind w:firstLine="480"/>
            </w:pPr>
            <w:r>
              <w:rPr>
                <w:rFonts w:hint="eastAsia"/>
              </w:rPr>
              <w:t>③按规范进行台账记录，主要内容包括生产信息、燃料、原辅材料使用情况、污染防治设施运行记录、监测数据等。</w:t>
            </w:r>
          </w:p>
          <w:p w14:paraId="11964D7F">
            <w:pPr>
              <w:pStyle w:val="3"/>
              <w:ind w:firstLine="480"/>
            </w:pPr>
            <w:r>
              <w:rPr>
                <w:rFonts w:hint="eastAsia"/>
              </w:rPr>
              <w:t>④按排污许可证规定，定期在国家排污许可证管理信息平台填报信息，编制排污许可证执行报告，及时报送有核发权的生态环境主管部门并公开，执行报告主要内容包括生产信息、污染防治设施运行情况、污染物按证排放情况等。</w:t>
            </w:r>
          </w:p>
          <w:p w14:paraId="4E27C878">
            <w:pPr>
              <w:pStyle w:val="3"/>
              <w:ind w:firstLine="480"/>
            </w:pPr>
            <w:r>
              <w:rPr>
                <w:rFonts w:hint="eastAsia"/>
              </w:rPr>
              <w:t>⑤法律法规规定的其他义务。</w:t>
            </w:r>
          </w:p>
          <w:p w14:paraId="67427A6F">
            <w:pPr>
              <w:pStyle w:val="3"/>
              <w:ind w:firstLine="480"/>
            </w:pPr>
            <w:r>
              <w:rPr>
                <w:rFonts w:hint="eastAsia"/>
              </w:rPr>
              <w:t>4）根据《关于做好环境影响评价制度与排污许可制衔接相关工作的通知》（环办环评[2017]84号），本项目与排污许可制度衔接工作如下：</w:t>
            </w:r>
          </w:p>
          <w:p w14:paraId="7C5FE22A">
            <w:pPr>
              <w:pStyle w:val="3"/>
              <w:ind w:firstLine="480"/>
            </w:pPr>
            <w:r>
              <w:rPr>
                <w:rFonts w:hint="eastAsia"/>
              </w:rPr>
              <w:t>①在排污许可管理中，应严格按照本评价的要求核发排污许可证；</w:t>
            </w:r>
          </w:p>
          <w:p w14:paraId="05747067">
            <w:pPr>
              <w:pStyle w:val="3"/>
              <w:ind w:firstLine="480"/>
            </w:pPr>
            <w:r>
              <w:rPr>
                <w:rFonts w:hint="eastAsia"/>
              </w:rPr>
              <w:t>②在核发排污许可证时应严格核定排放口数量、位置以及每个排放口的污染物种类、允许排放浓度和允许排放量、排放方式、排放去向、自行监测计划等与污染物排放相关的主要内容；</w:t>
            </w:r>
          </w:p>
          <w:p w14:paraId="5F08DEBB">
            <w:pPr>
              <w:pStyle w:val="3"/>
              <w:ind w:firstLine="480"/>
            </w:pPr>
            <w:r>
              <w:rPr>
                <w:rFonts w:hint="eastAsia"/>
              </w:rPr>
              <w:t>③项目在发生实际排污行为之前，排污单位应当按照国家环境保护相关法律法规申请排污许可证，不得无证排污或不按证排污。</w:t>
            </w:r>
          </w:p>
          <w:p w14:paraId="7255986D">
            <w:pPr>
              <w:pStyle w:val="7"/>
            </w:pPr>
            <w:r>
              <w:rPr>
                <w:rFonts w:hint="eastAsia"/>
              </w:rPr>
              <w:t>九、排污口规范化措施</w:t>
            </w:r>
          </w:p>
          <w:p w14:paraId="58C58E66">
            <w:pPr>
              <w:pStyle w:val="3"/>
              <w:ind w:firstLine="480"/>
            </w:pPr>
            <w:r>
              <w:rPr>
                <w:rFonts w:hint="eastAsia"/>
              </w:rPr>
              <w:t>废水排放口、固定噪声源、固体废物贮存和烟囱（排气筒）必须按照《江西省排污口设置与规范化整治管理办法》进行建设，应符合“一明显、二合理、三便于”的要求，即环保标志明显，排污口设置合理，便于采集样品、便于监测计量、便于公众参与和监督管理。同时要求按照《环境保护图形标志实施细则（试行）》（环监[1996]463号）的规定，设置与排污口相应的图形标志牌。</w:t>
            </w:r>
          </w:p>
          <w:p w14:paraId="2DF4C230">
            <w:pPr>
              <w:pStyle w:val="3"/>
              <w:ind w:firstLine="480"/>
            </w:pPr>
            <w:r>
              <w:rPr>
                <w:rFonts w:hint="eastAsia"/>
              </w:rPr>
              <w:t>（1）烟囱（排气筒）设置取样口，并具备采样监测条件，废水排放口设置取样口，附近竖立图形标志牌。</w:t>
            </w:r>
          </w:p>
          <w:p w14:paraId="21CA6AD4">
            <w:pPr>
              <w:pStyle w:val="3"/>
              <w:ind w:firstLine="480"/>
            </w:pPr>
            <w:r>
              <w:rPr>
                <w:rFonts w:hint="eastAsia"/>
              </w:rPr>
              <w:t>（2）排污口管理。建设单位应在各个排污口处竖立标志牌，并如实填写《中华人民共和国规范化排污口标记登记证》，由生态环境部门签发。生态环境部门和建设单位可分别按以下内容建立排污口管理的专门档案：排污口性质和编号；位置；排放主要污染物种类、数量、浓度；排放去向；达标情况；治理设施运行情况及整改意见。</w:t>
            </w:r>
          </w:p>
          <w:p w14:paraId="6D71141D">
            <w:pPr>
              <w:pStyle w:val="3"/>
              <w:ind w:firstLine="480"/>
            </w:pPr>
            <w:r>
              <w:rPr>
                <w:rFonts w:hint="eastAsia"/>
              </w:rPr>
              <w:t>（3）环境保护图形标志</w:t>
            </w:r>
          </w:p>
          <w:p w14:paraId="261D9938">
            <w:pPr>
              <w:pStyle w:val="3"/>
              <w:ind w:firstLine="480"/>
            </w:pPr>
            <w:r>
              <w:rPr>
                <w:rFonts w:hint="eastAsia"/>
              </w:rPr>
              <w:t>在厂区的废水排放口、废气排放源、固体废物贮存处置场应设置环境保护图形标志，图形符号分为提示图形和警告图形符号两种，分别按GB15562.1-1995、GB15562.2-1995及修改单执行。环境保护图形标志的形状及颜色及环境保护图形符号如下：</w:t>
            </w:r>
          </w:p>
          <w:p w14:paraId="588BB669">
            <w:pPr>
              <w:pStyle w:val="48"/>
            </w:pPr>
            <w:r>
              <w:rPr>
                <w:rFonts w:hint="eastAsia"/>
              </w:rPr>
              <w:t xml:space="preserve">表4- </w:t>
            </w:r>
            <w:r>
              <w:fldChar w:fldCharType="begin"/>
            </w:r>
            <w:r>
              <w:instrText xml:space="preserve"> </w:instrText>
            </w:r>
            <w:r>
              <w:rPr>
                <w:rFonts w:hint="eastAsia"/>
              </w:rPr>
              <w:instrText xml:space="preserve">SEQ 表4- \* ARABIC</w:instrText>
            </w:r>
            <w:r>
              <w:instrText xml:space="preserve"> </w:instrText>
            </w:r>
            <w:r>
              <w:fldChar w:fldCharType="separate"/>
            </w:r>
            <w:r>
              <w:t>21</w:t>
            </w:r>
            <w:r>
              <w:fldChar w:fldCharType="end"/>
            </w:r>
            <w:r>
              <w:rPr>
                <w:rFonts w:hint="eastAsia"/>
              </w:rPr>
              <w:t>：环境保护图形标志的形状及颜色表</w:t>
            </w:r>
          </w:p>
          <w:tbl>
            <w:tblPr>
              <w:tblStyle w:val="49"/>
              <w:tblW w:w="79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2221"/>
              <w:gridCol w:w="1905"/>
              <w:gridCol w:w="1906"/>
              <w:gridCol w:w="1906"/>
            </w:tblGrid>
            <w:tr w14:paraId="68E517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59" w:hRule="atLeast"/>
                <w:jc w:val="center"/>
              </w:trPr>
              <w:tc>
                <w:tcPr>
                  <w:tcW w:w="2388" w:type="dxa"/>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02E1B569">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lang w:bidi="ar"/>
                      <w14:ligatures w14:val="standardContextual"/>
                    </w:rPr>
                    <w:t>标志名称</w:t>
                  </w:r>
                </w:p>
              </w:tc>
              <w:tc>
                <w:tcPr>
                  <w:tcW w:w="2043"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27F939C3">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lang w:bidi="ar"/>
                      <w14:ligatures w14:val="standardContextual"/>
                    </w:rPr>
                    <w:t>形状</w:t>
                  </w:r>
                </w:p>
              </w:tc>
              <w:tc>
                <w:tcPr>
                  <w:tcW w:w="2044"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1F29C5A9">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lang w:bidi="ar"/>
                      <w14:ligatures w14:val="standardContextual"/>
                    </w:rPr>
                    <w:t>背景颜色</w:t>
                  </w:r>
                </w:p>
              </w:tc>
              <w:tc>
                <w:tcPr>
                  <w:tcW w:w="2044" w:type="dxa"/>
                  <w:tcBorders>
                    <w:top w:val="single" w:color="auto" w:sz="12" w:space="0"/>
                    <w:bottom w:val="single" w:color="auto" w:sz="12" w:space="0"/>
                    <w:right w:val="nil"/>
                    <w:insideH w:val="single" w:sz="12" w:space="0"/>
                    <w:insideV w:val="single" w:sz="4" w:space="0"/>
                    <w:tl2br w:val="nil"/>
                    <w:tr2bl w:val="nil"/>
                  </w:tcBorders>
                  <w:vAlign w:val="center"/>
                </w:tcPr>
                <w:p w14:paraId="2090AA61">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lang w:bidi="ar"/>
                      <w14:ligatures w14:val="standardContextual"/>
                    </w:rPr>
                    <w:t>图形颜色</w:t>
                  </w:r>
                </w:p>
              </w:tc>
            </w:tr>
            <w:tr w14:paraId="313773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59" w:hRule="atLeast"/>
                <w:jc w:val="center"/>
              </w:trPr>
              <w:tc>
                <w:tcPr>
                  <w:tcW w:w="2388" w:type="dxa"/>
                  <w:vAlign w:val="center"/>
                </w:tcPr>
                <w:p w14:paraId="37CC98F5">
                  <w:pPr>
                    <w:widowControl w:val="0"/>
                    <w:overflowPunct w:val="0"/>
                    <w:autoSpaceDE w:val="0"/>
                    <w:autoSpaceDN w:val="0"/>
                    <w:snapToGrid w:val="0"/>
                    <w:jc w:val="center"/>
                    <w:rPr>
                      <w14:ligatures w14:val="standardContextual"/>
                    </w:rPr>
                  </w:pPr>
                  <w:r>
                    <w:rPr>
                      <w:rFonts w:hint="eastAsia"/>
                      <w:lang w:bidi="ar"/>
                      <w14:ligatures w14:val="standardContextual"/>
                    </w:rPr>
                    <w:t>警告标志</w:t>
                  </w:r>
                </w:p>
              </w:tc>
              <w:tc>
                <w:tcPr>
                  <w:tcW w:w="2043" w:type="dxa"/>
                  <w:vAlign w:val="center"/>
                </w:tcPr>
                <w:p w14:paraId="3F14CD0A">
                  <w:pPr>
                    <w:widowControl w:val="0"/>
                    <w:overflowPunct w:val="0"/>
                    <w:autoSpaceDE w:val="0"/>
                    <w:autoSpaceDN w:val="0"/>
                    <w:snapToGrid w:val="0"/>
                    <w:jc w:val="center"/>
                    <w:rPr>
                      <w14:ligatures w14:val="standardContextual"/>
                    </w:rPr>
                  </w:pPr>
                  <w:r>
                    <w:rPr>
                      <w:rFonts w:hint="eastAsia"/>
                      <w:lang w:bidi="ar"/>
                      <w14:ligatures w14:val="standardContextual"/>
                    </w:rPr>
                    <w:t>三角形边框</w:t>
                  </w:r>
                </w:p>
              </w:tc>
              <w:tc>
                <w:tcPr>
                  <w:tcW w:w="2044" w:type="dxa"/>
                  <w:vAlign w:val="center"/>
                </w:tcPr>
                <w:p w14:paraId="1C0AD0E7">
                  <w:pPr>
                    <w:widowControl w:val="0"/>
                    <w:overflowPunct w:val="0"/>
                    <w:autoSpaceDE w:val="0"/>
                    <w:autoSpaceDN w:val="0"/>
                    <w:snapToGrid w:val="0"/>
                    <w:jc w:val="center"/>
                    <w:rPr>
                      <w14:ligatures w14:val="standardContextual"/>
                    </w:rPr>
                  </w:pPr>
                  <w:r>
                    <w:rPr>
                      <w:rFonts w:hint="eastAsia"/>
                      <w:lang w:bidi="ar"/>
                      <w14:ligatures w14:val="standardContextual"/>
                    </w:rPr>
                    <w:t>黄色</w:t>
                  </w:r>
                </w:p>
              </w:tc>
              <w:tc>
                <w:tcPr>
                  <w:tcW w:w="2044" w:type="dxa"/>
                  <w:vAlign w:val="center"/>
                </w:tcPr>
                <w:p w14:paraId="65FCE058">
                  <w:pPr>
                    <w:widowControl w:val="0"/>
                    <w:overflowPunct w:val="0"/>
                    <w:autoSpaceDE w:val="0"/>
                    <w:autoSpaceDN w:val="0"/>
                    <w:snapToGrid w:val="0"/>
                    <w:jc w:val="center"/>
                    <w:rPr>
                      <w14:ligatures w14:val="standardContextual"/>
                    </w:rPr>
                  </w:pPr>
                  <w:r>
                    <w:rPr>
                      <w:rFonts w:hint="eastAsia"/>
                      <w:lang w:bidi="ar"/>
                      <w14:ligatures w14:val="standardContextual"/>
                    </w:rPr>
                    <w:t>黑色</w:t>
                  </w:r>
                </w:p>
              </w:tc>
            </w:tr>
            <w:tr w14:paraId="72FD98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76" w:hRule="atLeast"/>
                <w:jc w:val="center"/>
              </w:trPr>
              <w:tc>
                <w:tcPr>
                  <w:tcW w:w="2388" w:type="dxa"/>
                  <w:vAlign w:val="center"/>
                </w:tcPr>
                <w:p w14:paraId="374A4BB5">
                  <w:pPr>
                    <w:widowControl w:val="0"/>
                    <w:overflowPunct w:val="0"/>
                    <w:autoSpaceDE w:val="0"/>
                    <w:autoSpaceDN w:val="0"/>
                    <w:snapToGrid w:val="0"/>
                    <w:jc w:val="center"/>
                    <w:rPr>
                      <w14:ligatures w14:val="standardContextual"/>
                    </w:rPr>
                  </w:pPr>
                  <w:r>
                    <w:rPr>
                      <w:rFonts w:hint="eastAsia"/>
                      <w:lang w:bidi="ar"/>
                      <w14:ligatures w14:val="standardContextual"/>
                    </w:rPr>
                    <w:t>提示标志</w:t>
                  </w:r>
                </w:p>
              </w:tc>
              <w:tc>
                <w:tcPr>
                  <w:tcW w:w="2043" w:type="dxa"/>
                  <w:vAlign w:val="center"/>
                </w:tcPr>
                <w:p w14:paraId="384727BC">
                  <w:pPr>
                    <w:widowControl w:val="0"/>
                    <w:overflowPunct w:val="0"/>
                    <w:autoSpaceDE w:val="0"/>
                    <w:autoSpaceDN w:val="0"/>
                    <w:snapToGrid w:val="0"/>
                    <w:jc w:val="center"/>
                    <w:rPr>
                      <w14:ligatures w14:val="standardContextual"/>
                    </w:rPr>
                  </w:pPr>
                  <w:r>
                    <w:rPr>
                      <w:rFonts w:hint="eastAsia"/>
                      <w:lang w:bidi="ar"/>
                      <w14:ligatures w14:val="standardContextual"/>
                    </w:rPr>
                    <w:t>正方形边框</w:t>
                  </w:r>
                </w:p>
              </w:tc>
              <w:tc>
                <w:tcPr>
                  <w:tcW w:w="2044" w:type="dxa"/>
                  <w:vAlign w:val="center"/>
                </w:tcPr>
                <w:p w14:paraId="1CCC2DFE">
                  <w:pPr>
                    <w:widowControl w:val="0"/>
                    <w:overflowPunct w:val="0"/>
                    <w:autoSpaceDE w:val="0"/>
                    <w:autoSpaceDN w:val="0"/>
                    <w:snapToGrid w:val="0"/>
                    <w:jc w:val="center"/>
                    <w:rPr>
                      <w14:ligatures w14:val="standardContextual"/>
                    </w:rPr>
                  </w:pPr>
                  <w:r>
                    <w:rPr>
                      <w:rFonts w:hint="eastAsia"/>
                      <w:lang w:bidi="ar"/>
                      <w14:ligatures w14:val="standardContextual"/>
                    </w:rPr>
                    <w:t>绿色</w:t>
                  </w:r>
                </w:p>
              </w:tc>
              <w:tc>
                <w:tcPr>
                  <w:tcW w:w="2044" w:type="dxa"/>
                  <w:vAlign w:val="center"/>
                </w:tcPr>
                <w:p w14:paraId="600D22D1">
                  <w:pPr>
                    <w:widowControl w:val="0"/>
                    <w:overflowPunct w:val="0"/>
                    <w:autoSpaceDE w:val="0"/>
                    <w:autoSpaceDN w:val="0"/>
                    <w:snapToGrid w:val="0"/>
                    <w:jc w:val="center"/>
                    <w:rPr>
                      <w14:ligatures w14:val="standardContextual"/>
                    </w:rPr>
                  </w:pPr>
                  <w:r>
                    <w:rPr>
                      <w:rFonts w:hint="eastAsia"/>
                      <w:lang w:bidi="ar"/>
                      <w14:ligatures w14:val="standardContextual"/>
                    </w:rPr>
                    <w:t>白色</w:t>
                  </w:r>
                </w:p>
              </w:tc>
            </w:tr>
          </w:tbl>
          <w:p w14:paraId="05E160C5">
            <w:pPr>
              <w:pStyle w:val="48"/>
            </w:pPr>
            <w:r>
              <w:rPr>
                <w:rFonts w:hint="eastAsia"/>
              </w:rPr>
              <w:t xml:space="preserve">表4- </w:t>
            </w:r>
            <w:r>
              <w:fldChar w:fldCharType="begin"/>
            </w:r>
            <w:r>
              <w:instrText xml:space="preserve"> </w:instrText>
            </w:r>
            <w:r>
              <w:rPr>
                <w:rFonts w:hint="eastAsia"/>
              </w:rPr>
              <w:instrText xml:space="preserve">SEQ 表4- \* ARABIC</w:instrText>
            </w:r>
            <w:r>
              <w:instrText xml:space="preserve"> </w:instrText>
            </w:r>
            <w:r>
              <w:fldChar w:fldCharType="separate"/>
            </w:r>
            <w:r>
              <w:t>22</w:t>
            </w:r>
            <w:r>
              <w:fldChar w:fldCharType="end"/>
            </w:r>
            <w:r>
              <w:rPr>
                <w:rFonts w:hint="eastAsia"/>
              </w:rPr>
              <w:t>：环境保护图形符号一览表</w:t>
            </w:r>
          </w:p>
          <w:tbl>
            <w:tblPr>
              <w:tblStyle w:val="49"/>
              <w:tblW w:w="79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541"/>
              <w:gridCol w:w="1604"/>
              <w:gridCol w:w="1412"/>
              <w:gridCol w:w="1363"/>
              <w:gridCol w:w="3018"/>
            </w:tblGrid>
            <w:tr w14:paraId="6B7D14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53" w:type="dxa"/>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324A2BED">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default" w:ascii="Times New Roman" w:hAnsi="Times New Roman" w:eastAsia="宋体" w:cs="Times New Roman"/>
                      <w:b/>
                      <w:i w:val="0"/>
                      <w:lang w:bidi="ar"/>
                      <w14:ligatures w14:val="standardContextual"/>
                    </w:rPr>
                    <w:t>序号</w:t>
                  </w:r>
                </w:p>
              </w:tc>
              <w:tc>
                <w:tcPr>
                  <w:tcW w:w="1607"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6283EC13">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default" w:ascii="Times New Roman" w:hAnsi="Times New Roman" w:eastAsia="宋体" w:cs="Times New Roman"/>
                      <w:b/>
                      <w:i w:val="0"/>
                      <w:lang w:bidi="ar"/>
                      <w14:ligatures w14:val="standardContextual"/>
                    </w:rPr>
                    <w:t>提示图标符号</w:t>
                  </w:r>
                </w:p>
              </w:tc>
              <w:tc>
                <w:tcPr>
                  <w:tcW w:w="1426"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7A0491F4">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default" w:ascii="Times New Roman" w:hAnsi="Times New Roman" w:eastAsia="宋体" w:cs="Times New Roman"/>
                      <w:b/>
                      <w:i w:val="0"/>
                      <w:lang w:bidi="ar"/>
                      <w14:ligatures w14:val="standardContextual"/>
                    </w:rPr>
                    <w:t>警告图标符号</w:t>
                  </w:r>
                </w:p>
              </w:tc>
              <w:tc>
                <w:tcPr>
                  <w:tcW w:w="1421"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1C6043EA">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default" w:ascii="Times New Roman" w:hAnsi="Times New Roman" w:eastAsia="宋体" w:cs="Times New Roman"/>
                      <w:b/>
                      <w:i w:val="0"/>
                      <w:lang w:bidi="ar"/>
                      <w14:ligatures w14:val="standardContextual"/>
                    </w:rPr>
                    <w:t>名称</w:t>
                  </w:r>
                </w:p>
              </w:tc>
              <w:tc>
                <w:tcPr>
                  <w:tcW w:w="3158" w:type="dxa"/>
                  <w:tcBorders>
                    <w:top w:val="single" w:color="auto" w:sz="12" w:space="0"/>
                    <w:bottom w:val="single" w:color="auto" w:sz="12" w:space="0"/>
                    <w:right w:val="nil"/>
                    <w:insideH w:val="single" w:sz="12" w:space="0"/>
                    <w:insideV w:val="single" w:sz="4" w:space="0"/>
                    <w:tl2br w:val="nil"/>
                    <w:tr2bl w:val="nil"/>
                  </w:tcBorders>
                  <w:vAlign w:val="center"/>
                </w:tcPr>
                <w:p w14:paraId="341A2EAB">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default" w:ascii="Times New Roman" w:hAnsi="Times New Roman" w:eastAsia="宋体" w:cs="Times New Roman"/>
                      <w:b/>
                      <w:i w:val="0"/>
                      <w:lang w:bidi="ar"/>
                      <w14:ligatures w14:val="standardContextual"/>
                    </w:rPr>
                    <w:t>功能</w:t>
                  </w:r>
                </w:p>
              </w:tc>
            </w:tr>
            <w:tr w14:paraId="5EDD76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53" w:type="dxa"/>
                  <w:vAlign w:val="center"/>
                </w:tcPr>
                <w:p w14:paraId="388C913E">
                  <w:pPr>
                    <w:widowControl w:val="0"/>
                    <w:overflowPunct w:val="0"/>
                    <w:autoSpaceDE w:val="0"/>
                    <w:autoSpaceDN w:val="0"/>
                    <w:snapToGrid w:val="0"/>
                    <w:jc w:val="center"/>
                    <w:rPr>
                      <w14:ligatures w14:val="standardContextual"/>
                    </w:rPr>
                  </w:pPr>
                  <w:r>
                    <w:rPr>
                      <w:lang w:bidi="ar"/>
                      <w14:ligatures w14:val="standardContextual"/>
                    </w:rPr>
                    <w:t>1</w:t>
                  </w:r>
                </w:p>
              </w:tc>
              <w:tc>
                <w:tcPr>
                  <w:tcW w:w="1607" w:type="dxa"/>
                  <w:vAlign w:val="center"/>
                </w:tcPr>
                <w:p w14:paraId="03ACD902">
                  <w:pPr>
                    <w:widowControl w:val="0"/>
                    <w:overflowPunct w:val="0"/>
                    <w:autoSpaceDE w:val="0"/>
                    <w:autoSpaceDN w:val="0"/>
                    <w:snapToGrid w:val="0"/>
                    <w:jc w:val="center"/>
                    <w:rPr>
                      <w14:ligatures w14:val="standardContextual"/>
                    </w:rPr>
                  </w:pPr>
                  <w:r>
                    <w:rPr>
                      <w:lang w:bidi="ar"/>
                      <w14:ligatures w14:val="standardContextual"/>
                    </w:rPr>
                    <w:drawing>
                      <wp:inline distT="0" distB="0" distL="114300" distR="114300">
                        <wp:extent cx="561975" cy="571500"/>
                        <wp:effectExtent l="0" t="0" r="9525" b="0"/>
                        <wp:docPr id="41" name="图片 2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5" descr="IMG_257"/>
                                <pic:cNvPicPr>
                                  <a:picLocks noChangeAspect="1"/>
                                </pic:cNvPicPr>
                              </pic:nvPicPr>
                              <pic:blipFill>
                                <a:blip r:embed="rId25"/>
                                <a:stretch>
                                  <a:fillRect/>
                                </a:stretch>
                              </pic:blipFill>
                              <pic:spPr>
                                <a:xfrm>
                                  <a:off x="0" y="0"/>
                                  <a:ext cx="561975" cy="571500"/>
                                </a:xfrm>
                                <a:prstGeom prst="rect">
                                  <a:avLst/>
                                </a:prstGeom>
                                <a:noFill/>
                                <a:ln w="9525">
                                  <a:noFill/>
                                </a:ln>
                              </pic:spPr>
                            </pic:pic>
                          </a:graphicData>
                        </a:graphic>
                      </wp:inline>
                    </w:drawing>
                  </w:r>
                </w:p>
              </w:tc>
              <w:tc>
                <w:tcPr>
                  <w:tcW w:w="1426" w:type="dxa"/>
                  <w:vAlign w:val="center"/>
                </w:tcPr>
                <w:p w14:paraId="190DE145">
                  <w:pPr>
                    <w:widowControl w:val="0"/>
                    <w:overflowPunct w:val="0"/>
                    <w:autoSpaceDE w:val="0"/>
                    <w:autoSpaceDN w:val="0"/>
                    <w:snapToGrid w:val="0"/>
                    <w:jc w:val="center"/>
                    <w:rPr>
                      <w14:ligatures w14:val="standardContextual"/>
                    </w:rPr>
                  </w:pPr>
                  <w:r>
                    <w:rPr>
                      <w:lang w:bidi="ar"/>
                      <w14:ligatures w14:val="standardContextual"/>
                    </w:rPr>
                    <w:drawing>
                      <wp:inline distT="0" distB="0" distL="114300" distR="114300">
                        <wp:extent cx="542925" cy="533400"/>
                        <wp:effectExtent l="0" t="0" r="9525" b="0"/>
                        <wp:docPr id="37" name="图片 2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6" descr="IMG_258"/>
                                <pic:cNvPicPr>
                                  <a:picLocks noChangeAspect="1"/>
                                </pic:cNvPicPr>
                              </pic:nvPicPr>
                              <pic:blipFill>
                                <a:blip r:embed="rId26"/>
                                <a:stretch>
                                  <a:fillRect/>
                                </a:stretch>
                              </pic:blipFill>
                              <pic:spPr>
                                <a:xfrm>
                                  <a:off x="0" y="0"/>
                                  <a:ext cx="542925" cy="533400"/>
                                </a:xfrm>
                                <a:prstGeom prst="rect">
                                  <a:avLst/>
                                </a:prstGeom>
                                <a:noFill/>
                                <a:ln w="9525">
                                  <a:noFill/>
                                </a:ln>
                              </pic:spPr>
                            </pic:pic>
                          </a:graphicData>
                        </a:graphic>
                      </wp:inline>
                    </w:drawing>
                  </w:r>
                </w:p>
              </w:tc>
              <w:tc>
                <w:tcPr>
                  <w:tcW w:w="1421" w:type="dxa"/>
                  <w:vAlign w:val="center"/>
                </w:tcPr>
                <w:p w14:paraId="4487C8BE">
                  <w:pPr>
                    <w:widowControl w:val="0"/>
                    <w:overflowPunct w:val="0"/>
                    <w:autoSpaceDE w:val="0"/>
                    <w:autoSpaceDN w:val="0"/>
                    <w:snapToGrid w:val="0"/>
                    <w:jc w:val="center"/>
                    <w:rPr>
                      <w14:ligatures w14:val="standardContextual"/>
                    </w:rPr>
                  </w:pPr>
                  <w:r>
                    <w:rPr>
                      <w:lang w:bidi="ar"/>
                      <w14:ligatures w14:val="standardContextual"/>
                    </w:rPr>
                    <w:t>废水排放口</w:t>
                  </w:r>
                </w:p>
              </w:tc>
              <w:tc>
                <w:tcPr>
                  <w:tcW w:w="3158" w:type="dxa"/>
                  <w:vAlign w:val="center"/>
                </w:tcPr>
                <w:p w14:paraId="282CEF1A">
                  <w:pPr>
                    <w:widowControl w:val="0"/>
                    <w:overflowPunct w:val="0"/>
                    <w:autoSpaceDE w:val="0"/>
                    <w:autoSpaceDN w:val="0"/>
                    <w:snapToGrid w:val="0"/>
                    <w:jc w:val="center"/>
                    <w:rPr>
                      <w14:ligatures w14:val="standardContextual"/>
                    </w:rPr>
                  </w:pPr>
                  <w:r>
                    <w:rPr>
                      <w:lang w:bidi="ar"/>
                      <w14:ligatures w14:val="standardContextual"/>
                    </w:rPr>
                    <w:t>表示废水向水体排放</w:t>
                  </w:r>
                </w:p>
              </w:tc>
            </w:tr>
            <w:tr w14:paraId="553FF7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53" w:type="dxa"/>
                  <w:vAlign w:val="center"/>
                </w:tcPr>
                <w:p w14:paraId="710EBC8E">
                  <w:pPr>
                    <w:widowControl w:val="0"/>
                    <w:overflowPunct w:val="0"/>
                    <w:autoSpaceDE w:val="0"/>
                    <w:autoSpaceDN w:val="0"/>
                    <w:snapToGrid w:val="0"/>
                    <w:jc w:val="center"/>
                    <w:rPr>
                      <w14:ligatures w14:val="standardContextual"/>
                    </w:rPr>
                  </w:pPr>
                  <w:r>
                    <w:rPr>
                      <w:lang w:bidi="ar"/>
                      <w14:ligatures w14:val="standardContextual"/>
                    </w:rPr>
                    <w:t>2</w:t>
                  </w:r>
                </w:p>
              </w:tc>
              <w:tc>
                <w:tcPr>
                  <w:tcW w:w="1607" w:type="dxa"/>
                  <w:vAlign w:val="center"/>
                </w:tcPr>
                <w:p w14:paraId="5D649A15">
                  <w:pPr>
                    <w:widowControl w:val="0"/>
                    <w:overflowPunct w:val="0"/>
                    <w:autoSpaceDE w:val="0"/>
                    <w:autoSpaceDN w:val="0"/>
                    <w:snapToGrid w:val="0"/>
                    <w:jc w:val="center"/>
                    <w:rPr>
                      <w14:ligatures w14:val="standardContextual"/>
                    </w:rPr>
                  </w:pPr>
                  <w:r>
                    <w:rPr>
                      <w:lang w:bidi="ar"/>
                      <w14:ligatures w14:val="standardContextual"/>
                    </w:rPr>
                    <w:drawing>
                      <wp:inline distT="0" distB="0" distL="114300" distR="114300">
                        <wp:extent cx="542925" cy="542925"/>
                        <wp:effectExtent l="0" t="0" r="9525" b="9525"/>
                        <wp:docPr id="39" name="图片 2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7" descr="IMG_259"/>
                                <pic:cNvPicPr>
                                  <a:picLocks noChangeAspect="1"/>
                                </pic:cNvPicPr>
                              </pic:nvPicPr>
                              <pic:blipFill>
                                <a:blip r:embed="rId27"/>
                                <a:stretch>
                                  <a:fillRect/>
                                </a:stretch>
                              </pic:blipFill>
                              <pic:spPr>
                                <a:xfrm>
                                  <a:off x="0" y="0"/>
                                  <a:ext cx="542925" cy="542925"/>
                                </a:xfrm>
                                <a:prstGeom prst="rect">
                                  <a:avLst/>
                                </a:prstGeom>
                                <a:noFill/>
                                <a:ln w="9525">
                                  <a:noFill/>
                                </a:ln>
                              </pic:spPr>
                            </pic:pic>
                          </a:graphicData>
                        </a:graphic>
                      </wp:inline>
                    </w:drawing>
                  </w:r>
                </w:p>
              </w:tc>
              <w:tc>
                <w:tcPr>
                  <w:tcW w:w="1426" w:type="dxa"/>
                  <w:vAlign w:val="center"/>
                </w:tcPr>
                <w:p w14:paraId="7777F343">
                  <w:pPr>
                    <w:widowControl w:val="0"/>
                    <w:overflowPunct w:val="0"/>
                    <w:autoSpaceDE w:val="0"/>
                    <w:autoSpaceDN w:val="0"/>
                    <w:snapToGrid w:val="0"/>
                    <w:jc w:val="center"/>
                    <w:rPr>
                      <w14:ligatures w14:val="standardContextual"/>
                    </w:rPr>
                  </w:pPr>
                  <w:r>
                    <w:rPr>
                      <w:lang w:bidi="ar"/>
                      <w14:ligatures w14:val="standardContextual"/>
                    </w:rPr>
                    <w:drawing>
                      <wp:inline distT="0" distB="0" distL="114300" distR="114300">
                        <wp:extent cx="571500" cy="561975"/>
                        <wp:effectExtent l="0" t="0" r="0" b="9525"/>
                        <wp:docPr id="36" name="图片 2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8" descr="IMG_260"/>
                                <pic:cNvPicPr>
                                  <a:picLocks noChangeAspect="1"/>
                                </pic:cNvPicPr>
                              </pic:nvPicPr>
                              <pic:blipFill>
                                <a:blip r:embed="rId28"/>
                                <a:stretch>
                                  <a:fillRect/>
                                </a:stretch>
                              </pic:blipFill>
                              <pic:spPr>
                                <a:xfrm>
                                  <a:off x="0" y="0"/>
                                  <a:ext cx="571500" cy="561975"/>
                                </a:xfrm>
                                <a:prstGeom prst="rect">
                                  <a:avLst/>
                                </a:prstGeom>
                                <a:noFill/>
                                <a:ln w="9525">
                                  <a:noFill/>
                                </a:ln>
                              </pic:spPr>
                            </pic:pic>
                          </a:graphicData>
                        </a:graphic>
                      </wp:inline>
                    </w:drawing>
                  </w:r>
                </w:p>
              </w:tc>
              <w:tc>
                <w:tcPr>
                  <w:tcW w:w="1421" w:type="dxa"/>
                  <w:vAlign w:val="center"/>
                </w:tcPr>
                <w:p w14:paraId="4FBC5729">
                  <w:pPr>
                    <w:widowControl w:val="0"/>
                    <w:overflowPunct w:val="0"/>
                    <w:autoSpaceDE w:val="0"/>
                    <w:autoSpaceDN w:val="0"/>
                    <w:snapToGrid w:val="0"/>
                    <w:jc w:val="center"/>
                    <w:rPr>
                      <w14:ligatures w14:val="standardContextual"/>
                    </w:rPr>
                  </w:pPr>
                  <w:r>
                    <w:rPr>
                      <w:lang w:bidi="ar"/>
                      <w14:ligatures w14:val="standardContextual"/>
                    </w:rPr>
                    <w:t>废气排放口</w:t>
                  </w:r>
                </w:p>
              </w:tc>
              <w:tc>
                <w:tcPr>
                  <w:tcW w:w="3158" w:type="dxa"/>
                  <w:vAlign w:val="center"/>
                </w:tcPr>
                <w:p w14:paraId="0768A99F">
                  <w:pPr>
                    <w:widowControl w:val="0"/>
                    <w:overflowPunct w:val="0"/>
                    <w:autoSpaceDE w:val="0"/>
                    <w:autoSpaceDN w:val="0"/>
                    <w:snapToGrid w:val="0"/>
                    <w:jc w:val="center"/>
                    <w:rPr>
                      <w14:ligatures w14:val="standardContextual"/>
                    </w:rPr>
                  </w:pPr>
                  <w:r>
                    <w:rPr>
                      <w:lang w:bidi="ar"/>
                      <w14:ligatures w14:val="standardContextual"/>
                    </w:rPr>
                    <w:t>表示废气大气排放</w:t>
                  </w:r>
                </w:p>
              </w:tc>
            </w:tr>
            <w:tr w14:paraId="4E3A4B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53" w:type="dxa"/>
                  <w:vAlign w:val="center"/>
                </w:tcPr>
                <w:p w14:paraId="1208BE4F">
                  <w:pPr>
                    <w:widowControl w:val="0"/>
                    <w:overflowPunct w:val="0"/>
                    <w:autoSpaceDE w:val="0"/>
                    <w:autoSpaceDN w:val="0"/>
                    <w:snapToGrid w:val="0"/>
                    <w:jc w:val="center"/>
                    <w:rPr>
                      <w14:ligatures w14:val="standardContextual"/>
                    </w:rPr>
                  </w:pPr>
                  <w:r>
                    <w:rPr>
                      <w:lang w:bidi="ar"/>
                      <w14:ligatures w14:val="standardContextual"/>
                    </w:rPr>
                    <w:t>3</w:t>
                  </w:r>
                </w:p>
              </w:tc>
              <w:tc>
                <w:tcPr>
                  <w:tcW w:w="1607" w:type="dxa"/>
                  <w:vAlign w:val="center"/>
                </w:tcPr>
                <w:p w14:paraId="74798741">
                  <w:pPr>
                    <w:widowControl w:val="0"/>
                    <w:overflowPunct w:val="0"/>
                    <w:autoSpaceDE w:val="0"/>
                    <w:autoSpaceDN w:val="0"/>
                    <w:snapToGrid w:val="0"/>
                    <w:jc w:val="center"/>
                    <w:rPr>
                      <w14:ligatures w14:val="standardContextual"/>
                    </w:rPr>
                  </w:pPr>
                  <w:r>
                    <w:rPr>
                      <w:lang w:bidi="ar"/>
                      <w14:ligatures w14:val="standardContextual"/>
                    </w:rPr>
                    <w:drawing>
                      <wp:inline distT="0" distB="0" distL="114300" distR="114300">
                        <wp:extent cx="542925" cy="542925"/>
                        <wp:effectExtent l="0" t="0" r="9525" b="9525"/>
                        <wp:docPr id="38" name="图片 2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9" descr="IMG_261"/>
                                <pic:cNvPicPr>
                                  <a:picLocks noChangeAspect="1"/>
                                </pic:cNvPicPr>
                              </pic:nvPicPr>
                              <pic:blipFill>
                                <a:blip r:embed="rId29"/>
                                <a:stretch>
                                  <a:fillRect/>
                                </a:stretch>
                              </pic:blipFill>
                              <pic:spPr>
                                <a:xfrm>
                                  <a:off x="0" y="0"/>
                                  <a:ext cx="542925" cy="542925"/>
                                </a:xfrm>
                                <a:prstGeom prst="rect">
                                  <a:avLst/>
                                </a:prstGeom>
                                <a:noFill/>
                                <a:ln w="9525">
                                  <a:noFill/>
                                </a:ln>
                              </pic:spPr>
                            </pic:pic>
                          </a:graphicData>
                        </a:graphic>
                      </wp:inline>
                    </w:drawing>
                  </w:r>
                </w:p>
              </w:tc>
              <w:tc>
                <w:tcPr>
                  <w:tcW w:w="1426" w:type="dxa"/>
                  <w:vAlign w:val="center"/>
                </w:tcPr>
                <w:p w14:paraId="7546CF68">
                  <w:pPr>
                    <w:widowControl w:val="0"/>
                    <w:overflowPunct w:val="0"/>
                    <w:autoSpaceDE w:val="0"/>
                    <w:autoSpaceDN w:val="0"/>
                    <w:snapToGrid w:val="0"/>
                    <w:jc w:val="center"/>
                    <w:rPr>
                      <w14:ligatures w14:val="standardContextual"/>
                    </w:rPr>
                  </w:pPr>
                  <w:r>
                    <w:rPr>
                      <w:lang w:bidi="ar"/>
                      <w14:ligatures w14:val="standardContextual"/>
                    </w:rPr>
                    <w:drawing>
                      <wp:inline distT="0" distB="0" distL="114300" distR="114300">
                        <wp:extent cx="523875" cy="485775"/>
                        <wp:effectExtent l="0" t="0" r="9525" b="9525"/>
                        <wp:docPr id="40" name="图片 30"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0" descr="IMG_262"/>
                                <pic:cNvPicPr>
                                  <a:picLocks noChangeAspect="1"/>
                                </pic:cNvPicPr>
                              </pic:nvPicPr>
                              <pic:blipFill>
                                <a:blip r:embed="rId30"/>
                                <a:stretch>
                                  <a:fillRect/>
                                </a:stretch>
                              </pic:blipFill>
                              <pic:spPr>
                                <a:xfrm>
                                  <a:off x="0" y="0"/>
                                  <a:ext cx="523875" cy="485775"/>
                                </a:xfrm>
                                <a:prstGeom prst="rect">
                                  <a:avLst/>
                                </a:prstGeom>
                                <a:noFill/>
                                <a:ln w="9525">
                                  <a:noFill/>
                                </a:ln>
                              </pic:spPr>
                            </pic:pic>
                          </a:graphicData>
                        </a:graphic>
                      </wp:inline>
                    </w:drawing>
                  </w:r>
                </w:p>
              </w:tc>
              <w:tc>
                <w:tcPr>
                  <w:tcW w:w="1421" w:type="dxa"/>
                  <w:vAlign w:val="center"/>
                </w:tcPr>
                <w:p w14:paraId="388FC04B">
                  <w:pPr>
                    <w:widowControl w:val="0"/>
                    <w:overflowPunct w:val="0"/>
                    <w:autoSpaceDE w:val="0"/>
                    <w:autoSpaceDN w:val="0"/>
                    <w:snapToGrid w:val="0"/>
                    <w:jc w:val="center"/>
                    <w:rPr>
                      <w14:ligatures w14:val="standardContextual"/>
                    </w:rPr>
                  </w:pPr>
                  <w:r>
                    <w:rPr>
                      <w:lang w:bidi="ar"/>
                      <w14:ligatures w14:val="standardContextual"/>
                    </w:rPr>
                    <w:t>一般固体废物</w:t>
                  </w:r>
                </w:p>
              </w:tc>
              <w:tc>
                <w:tcPr>
                  <w:tcW w:w="3158" w:type="dxa"/>
                  <w:vAlign w:val="center"/>
                </w:tcPr>
                <w:p w14:paraId="7DD0CC4B">
                  <w:pPr>
                    <w:widowControl w:val="0"/>
                    <w:overflowPunct w:val="0"/>
                    <w:autoSpaceDE w:val="0"/>
                    <w:autoSpaceDN w:val="0"/>
                    <w:snapToGrid w:val="0"/>
                    <w:jc w:val="center"/>
                    <w:rPr>
                      <w14:ligatures w14:val="standardContextual"/>
                    </w:rPr>
                  </w:pPr>
                  <w:r>
                    <w:rPr>
                      <w:lang w:bidi="ar"/>
                      <w14:ligatures w14:val="standardContextual"/>
                    </w:rPr>
                    <w:t>表示一般固体废物贮存、处置场</w:t>
                  </w:r>
                </w:p>
              </w:tc>
            </w:tr>
            <w:tr w14:paraId="076CDD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53" w:type="dxa"/>
                  <w:vAlign w:val="center"/>
                </w:tcPr>
                <w:p w14:paraId="2D671B0B">
                  <w:pPr>
                    <w:widowControl w:val="0"/>
                    <w:overflowPunct w:val="0"/>
                    <w:autoSpaceDE w:val="0"/>
                    <w:autoSpaceDN w:val="0"/>
                    <w:snapToGrid w:val="0"/>
                    <w:jc w:val="center"/>
                    <w:rPr>
                      <w14:ligatures w14:val="standardContextual"/>
                    </w:rPr>
                  </w:pPr>
                  <w:r>
                    <w:rPr>
                      <w:lang w:bidi="ar"/>
                      <w14:ligatures w14:val="standardContextual"/>
                    </w:rPr>
                    <w:t>4</w:t>
                  </w:r>
                </w:p>
              </w:tc>
              <w:tc>
                <w:tcPr>
                  <w:tcW w:w="1607" w:type="dxa"/>
                  <w:vAlign w:val="center"/>
                </w:tcPr>
                <w:p w14:paraId="67854192">
                  <w:pPr>
                    <w:widowControl w:val="0"/>
                    <w:overflowPunct w:val="0"/>
                    <w:autoSpaceDE w:val="0"/>
                    <w:autoSpaceDN w:val="0"/>
                    <w:snapToGrid w:val="0"/>
                    <w:jc w:val="center"/>
                    <w:rPr>
                      <w14:ligatures w14:val="standardContextual"/>
                    </w:rPr>
                  </w:pPr>
                  <w:r>
                    <w:rPr>
                      <w:lang w:bidi="ar"/>
                      <w14:ligatures w14:val="standardContextual"/>
                    </w:rPr>
                    <w:drawing>
                      <wp:inline distT="0" distB="0" distL="114300" distR="114300">
                        <wp:extent cx="504825" cy="504825"/>
                        <wp:effectExtent l="0" t="0" r="9525" b="9525"/>
                        <wp:docPr id="44" name="图片 31"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1" descr="IMG_263"/>
                                <pic:cNvPicPr>
                                  <a:picLocks noChangeAspect="1"/>
                                </pic:cNvPicPr>
                              </pic:nvPicPr>
                              <pic:blipFill>
                                <a:blip r:embed="rId31"/>
                                <a:stretch>
                                  <a:fillRect/>
                                </a:stretch>
                              </pic:blipFill>
                              <pic:spPr>
                                <a:xfrm>
                                  <a:off x="0" y="0"/>
                                  <a:ext cx="504825" cy="504825"/>
                                </a:xfrm>
                                <a:prstGeom prst="rect">
                                  <a:avLst/>
                                </a:prstGeom>
                                <a:noFill/>
                                <a:ln w="9525">
                                  <a:noFill/>
                                </a:ln>
                              </pic:spPr>
                            </pic:pic>
                          </a:graphicData>
                        </a:graphic>
                      </wp:inline>
                    </w:drawing>
                  </w:r>
                </w:p>
              </w:tc>
              <w:tc>
                <w:tcPr>
                  <w:tcW w:w="1426" w:type="dxa"/>
                  <w:vAlign w:val="center"/>
                </w:tcPr>
                <w:p w14:paraId="7E31704D">
                  <w:pPr>
                    <w:widowControl w:val="0"/>
                    <w:overflowPunct w:val="0"/>
                    <w:autoSpaceDE w:val="0"/>
                    <w:autoSpaceDN w:val="0"/>
                    <w:snapToGrid w:val="0"/>
                    <w:jc w:val="center"/>
                    <w:rPr>
                      <w14:ligatures w14:val="standardContextual"/>
                    </w:rPr>
                  </w:pPr>
                  <w:r>
                    <w:rPr>
                      <w:lang w:bidi="ar"/>
                      <w14:ligatures w14:val="standardContextual"/>
                    </w:rPr>
                    <w:drawing>
                      <wp:inline distT="0" distB="0" distL="114300" distR="114300">
                        <wp:extent cx="657225" cy="581025"/>
                        <wp:effectExtent l="0" t="0" r="9525" b="9525"/>
                        <wp:docPr id="45" name="图片 32"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2" descr="IMG_264"/>
                                <pic:cNvPicPr>
                                  <a:picLocks noChangeAspect="1"/>
                                </pic:cNvPicPr>
                              </pic:nvPicPr>
                              <pic:blipFill>
                                <a:blip r:embed="rId32"/>
                                <a:stretch>
                                  <a:fillRect/>
                                </a:stretch>
                              </pic:blipFill>
                              <pic:spPr>
                                <a:xfrm>
                                  <a:off x="0" y="0"/>
                                  <a:ext cx="657225" cy="581025"/>
                                </a:xfrm>
                                <a:prstGeom prst="rect">
                                  <a:avLst/>
                                </a:prstGeom>
                                <a:noFill/>
                                <a:ln w="9525">
                                  <a:noFill/>
                                </a:ln>
                              </pic:spPr>
                            </pic:pic>
                          </a:graphicData>
                        </a:graphic>
                      </wp:inline>
                    </w:drawing>
                  </w:r>
                </w:p>
              </w:tc>
              <w:tc>
                <w:tcPr>
                  <w:tcW w:w="1421" w:type="dxa"/>
                  <w:vAlign w:val="center"/>
                </w:tcPr>
                <w:p w14:paraId="49AE3A40">
                  <w:pPr>
                    <w:widowControl w:val="0"/>
                    <w:overflowPunct w:val="0"/>
                    <w:autoSpaceDE w:val="0"/>
                    <w:autoSpaceDN w:val="0"/>
                    <w:snapToGrid w:val="0"/>
                    <w:jc w:val="center"/>
                    <w:rPr>
                      <w14:ligatures w14:val="standardContextual"/>
                    </w:rPr>
                  </w:pPr>
                  <w:r>
                    <w:rPr>
                      <w:lang w:bidi="ar"/>
                      <w14:ligatures w14:val="standardContextual"/>
                    </w:rPr>
                    <w:t>噪声排放源</w:t>
                  </w:r>
                </w:p>
              </w:tc>
              <w:tc>
                <w:tcPr>
                  <w:tcW w:w="3158" w:type="dxa"/>
                  <w:vAlign w:val="center"/>
                </w:tcPr>
                <w:p w14:paraId="3BFD81E4">
                  <w:pPr>
                    <w:widowControl w:val="0"/>
                    <w:overflowPunct w:val="0"/>
                    <w:autoSpaceDE w:val="0"/>
                    <w:autoSpaceDN w:val="0"/>
                    <w:snapToGrid w:val="0"/>
                    <w:jc w:val="center"/>
                    <w:rPr>
                      <w14:ligatures w14:val="standardContextual"/>
                    </w:rPr>
                  </w:pPr>
                  <w:r>
                    <w:rPr>
                      <w:lang w:bidi="ar"/>
                      <w14:ligatures w14:val="standardContextual"/>
                    </w:rPr>
                    <w:t>表示噪声向环境排放</w:t>
                  </w:r>
                </w:p>
              </w:tc>
            </w:tr>
            <w:tr w14:paraId="78FBA2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553" w:type="dxa"/>
                  <w:vAlign w:val="center"/>
                </w:tcPr>
                <w:p w14:paraId="766AD6AE">
                  <w:pPr>
                    <w:widowControl w:val="0"/>
                    <w:overflowPunct w:val="0"/>
                    <w:autoSpaceDE w:val="0"/>
                    <w:autoSpaceDN w:val="0"/>
                    <w:snapToGrid w:val="0"/>
                    <w:jc w:val="center"/>
                    <w:rPr>
                      <w14:ligatures w14:val="standardContextual"/>
                    </w:rPr>
                  </w:pPr>
                  <w:r>
                    <w:rPr>
                      <w:lang w:bidi="ar"/>
                      <w14:ligatures w14:val="standardContextual"/>
                    </w:rPr>
                    <w:t>5</w:t>
                  </w:r>
                </w:p>
              </w:tc>
              <w:tc>
                <w:tcPr>
                  <w:tcW w:w="1607" w:type="dxa"/>
                  <w:vAlign w:val="center"/>
                </w:tcPr>
                <w:p w14:paraId="7BBABFCD">
                  <w:pPr>
                    <w:widowControl w:val="0"/>
                    <w:overflowPunct w:val="0"/>
                    <w:autoSpaceDE w:val="0"/>
                    <w:autoSpaceDN w:val="0"/>
                    <w:snapToGrid w:val="0"/>
                    <w:jc w:val="center"/>
                    <w:rPr>
                      <w14:ligatures w14:val="standardContextual"/>
                    </w:rPr>
                  </w:pPr>
                  <w:r>
                    <w:rPr>
                      <w14:ligatures w14:val="standardContextual"/>
                    </w:rPr>
                    <w:drawing>
                      <wp:inline distT="0" distB="0" distL="114300" distR="114300">
                        <wp:extent cx="901065" cy="568960"/>
                        <wp:effectExtent l="0" t="0" r="1333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3"/>
                                <a:stretch>
                                  <a:fillRect/>
                                </a:stretch>
                              </pic:blipFill>
                              <pic:spPr>
                                <a:xfrm>
                                  <a:off x="0" y="0"/>
                                  <a:ext cx="901065" cy="568960"/>
                                </a:xfrm>
                                <a:prstGeom prst="rect">
                                  <a:avLst/>
                                </a:prstGeom>
                                <a:noFill/>
                                <a:ln>
                                  <a:noFill/>
                                </a:ln>
                              </pic:spPr>
                            </pic:pic>
                          </a:graphicData>
                        </a:graphic>
                      </wp:inline>
                    </w:drawing>
                  </w:r>
                </w:p>
              </w:tc>
              <w:tc>
                <w:tcPr>
                  <w:tcW w:w="1426" w:type="dxa"/>
                  <w:vAlign w:val="center"/>
                </w:tcPr>
                <w:p w14:paraId="465D1F92">
                  <w:pPr>
                    <w:widowControl w:val="0"/>
                    <w:overflowPunct w:val="0"/>
                    <w:autoSpaceDE w:val="0"/>
                    <w:autoSpaceDN w:val="0"/>
                    <w:snapToGrid w:val="0"/>
                    <w:jc w:val="center"/>
                    <w:rPr>
                      <w14:ligatures w14:val="standardContextual"/>
                    </w:rPr>
                  </w:pPr>
                  <w:r>
                    <w:rPr>
                      <w14:ligatures w14:val="standardContextual"/>
                    </w:rPr>
                    <w:drawing>
                      <wp:inline distT="0" distB="0" distL="0" distR="0">
                        <wp:extent cx="658495" cy="579120"/>
                        <wp:effectExtent l="0" t="0" r="8255" b="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658800" cy="579600"/>
                                </a:xfrm>
                                <a:prstGeom prst="rect">
                                  <a:avLst/>
                                </a:prstGeom>
                                <a:noFill/>
                                <a:ln w="9525">
                                  <a:noFill/>
                                </a:ln>
                              </pic:spPr>
                            </pic:pic>
                          </a:graphicData>
                        </a:graphic>
                      </wp:inline>
                    </w:drawing>
                  </w:r>
                </w:p>
              </w:tc>
              <w:tc>
                <w:tcPr>
                  <w:tcW w:w="1421" w:type="dxa"/>
                  <w:vAlign w:val="center"/>
                </w:tcPr>
                <w:p w14:paraId="7D9106DE">
                  <w:pPr>
                    <w:widowControl w:val="0"/>
                    <w:overflowPunct w:val="0"/>
                    <w:autoSpaceDE w:val="0"/>
                    <w:autoSpaceDN w:val="0"/>
                    <w:snapToGrid w:val="0"/>
                    <w:jc w:val="center"/>
                    <w:rPr>
                      <w14:ligatures w14:val="standardContextual"/>
                    </w:rPr>
                  </w:pPr>
                  <w:r>
                    <w:rPr>
                      <w:lang w:bidi="ar"/>
                      <w14:ligatures w14:val="standardContextual"/>
                    </w:rPr>
                    <w:t>危险废物</w:t>
                  </w:r>
                </w:p>
              </w:tc>
              <w:tc>
                <w:tcPr>
                  <w:tcW w:w="3158" w:type="dxa"/>
                  <w:vAlign w:val="center"/>
                </w:tcPr>
                <w:p w14:paraId="3FC162E4">
                  <w:pPr>
                    <w:widowControl w:val="0"/>
                    <w:overflowPunct w:val="0"/>
                    <w:autoSpaceDE w:val="0"/>
                    <w:autoSpaceDN w:val="0"/>
                    <w:snapToGrid w:val="0"/>
                    <w:jc w:val="center"/>
                    <w:rPr>
                      <w14:ligatures w14:val="standardContextual"/>
                    </w:rPr>
                  </w:pPr>
                  <w:r>
                    <w:rPr>
                      <w:lang w:bidi="ar"/>
                      <w14:ligatures w14:val="standardContextual"/>
                    </w:rPr>
                    <w:t>表示危险废物贮存、处置场</w:t>
                  </w:r>
                </w:p>
              </w:tc>
            </w:tr>
          </w:tbl>
          <w:p w14:paraId="68985111">
            <w:pPr>
              <w:pStyle w:val="7"/>
            </w:pPr>
            <w:r>
              <w:rPr>
                <w:rFonts w:hint="eastAsia"/>
              </w:rPr>
              <w:t>十、环保投资</w:t>
            </w:r>
          </w:p>
          <w:p w14:paraId="366AE29A">
            <w:pPr>
              <w:pStyle w:val="3"/>
              <w:ind w:firstLine="480"/>
            </w:pPr>
            <w:r>
              <w:rPr>
                <w:rFonts w:hint="eastAsia"/>
              </w:rPr>
              <w:t>本项目实施后运营期监测计划如下：</w:t>
            </w:r>
          </w:p>
          <w:p w14:paraId="3D83F73A">
            <w:pPr>
              <w:pStyle w:val="48"/>
            </w:pPr>
            <w:r>
              <w:rPr>
                <w:rFonts w:hint="eastAsia"/>
              </w:rPr>
              <w:t xml:space="preserve">表4- </w:t>
            </w:r>
            <w:r>
              <w:fldChar w:fldCharType="begin"/>
            </w:r>
            <w:r>
              <w:instrText xml:space="preserve"> </w:instrText>
            </w:r>
            <w:r>
              <w:rPr>
                <w:rFonts w:hint="eastAsia"/>
              </w:rPr>
              <w:instrText xml:space="preserve">SEQ 表4- \* ARABIC</w:instrText>
            </w:r>
            <w:r>
              <w:instrText xml:space="preserve"> </w:instrText>
            </w:r>
            <w:r>
              <w:fldChar w:fldCharType="separate"/>
            </w:r>
            <w:r>
              <w:t>23</w:t>
            </w:r>
            <w:r>
              <w:fldChar w:fldCharType="end"/>
            </w:r>
            <w:r>
              <w:rPr>
                <w:rFonts w:hint="eastAsia"/>
              </w:rPr>
              <w:t>：环保投资一览表</w:t>
            </w:r>
          </w:p>
          <w:tbl>
            <w:tblPr>
              <w:tblStyle w:val="49"/>
              <w:tblW w:w="492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877"/>
              <w:gridCol w:w="4896"/>
              <w:gridCol w:w="1155"/>
            </w:tblGrid>
            <w:tr w14:paraId="39C0BF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184" w:type="pc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3382F170">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名称</w:t>
                  </w:r>
                </w:p>
              </w:tc>
              <w:tc>
                <w:tcPr>
                  <w:tcW w:w="3087"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404C41AE">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环保设施</w:t>
                  </w:r>
                </w:p>
              </w:tc>
              <w:tc>
                <w:tcPr>
                  <w:tcW w:w="728" w:type="pct"/>
                  <w:tcBorders>
                    <w:top w:val="single" w:color="auto" w:sz="12" w:space="0"/>
                    <w:bottom w:val="single" w:color="auto" w:sz="12" w:space="0"/>
                    <w:right w:val="nil"/>
                    <w:insideH w:val="single" w:sz="12" w:space="0"/>
                    <w:insideV w:val="single" w:sz="4" w:space="0"/>
                    <w:tl2br w:val="nil"/>
                    <w:tr2bl w:val="nil"/>
                  </w:tcBorders>
                  <w:vAlign w:val="center"/>
                </w:tcPr>
                <w:p w14:paraId="770C793F">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14:ligatures w14:val="standardContextual"/>
                    </w:rPr>
                  </w:pPr>
                  <w:r>
                    <w:rPr>
                      <w:rFonts w:hint="eastAsia" w:ascii="Times New Roman" w:hAnsi="Times New Roman" w:eastAsia="宋体" w:cs="Times New Roman"/>
                      <w:b/>
                      <w:i w:val="0"/>
                      <w14:ligatures w14:val="standardContextual"/>
                    </w:rPr>
                    <w:t>投资额</w:t>
                  </w:r>
                </w:p>
              </w:tc>
            </w:tr>
            <w:tr w14:paraId="16090E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80" w:hRule="atLeast"/>
                <w:jc w:val="center"/>
              </w:trPr>
              <w:tc>
                <w:tcPr>
                  <w:tcW w:w="1184" w:type="pct"/>
                  <w:vAlign w:val="center"/>
                </w:tcPr>
                <w:p w14:paraId="30D42D3D">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有组织废气</w:t>
                  </w:r>
                </w:p>
              </w:tc>
              <w:tc>
                <w:tcPr>
                  <w:tcW w:w="3087" w:type="pct"/>
                  <w:vAlign w:val="center"/>
                </w:tcPr>
                <w:p w14:paraId="185B3454">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集气罩+布袋除尘、15m排气筒</w:t>
                  </w:r>
                </w:p>
              </w:tc>
              <w:tc>
                <w:tcPr>
                  <w:tcW w:w="728" w:type="pct"/>
                  <w:vAlign w:val="center"/>
                </w:tcPr>
                <w:p w14:paraId="6C42D64C">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5</w:t>
                  </w:r>
                </w:p>
              </w:tc>
            </w:tr>
            <w:tr w14:paraId="262825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80" w:hRule="atLeast"/>
                <w:jc w:val="center"/>
              </w:trPr>
              <w:tc>
                <w:tcPr>
                  <w:tcW w:w="1184" w:type="pct"/>
                  <w:vAlign w:val="center"/>
                </w:tcPr>
                <w:p w14:paraId="68908CE2">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无组织废气</w:t>
                  </w:r>
                </w:p>
              </w:tc>
              <w:tc>
                <w:tcPr>
                  <w:tcW w:w="3087" w:type="pct"/>
                  <w:vAlign w:val="center"/>
                </w:tcPr>
                <w:p w14:paraId="0C79A627">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道路硬化、定期洒水、喷雾除尘、出入车辆冲洗</w:t>
                  </w:r>
                </w:p>
              </w:tc>
              <w:tc>
                <w:tcPr>
                  <w:tcW w:w="728" w:type="pct"/>
                  <w:vAlign w:val="center"/>
                </w:tcPr>
                <w:p w14:paraId="31E7D6CC">
                  <w:pPr>
                    <w:widowControl w:val="0"/>
                    <w:overflowPunct w:val="0"/>
                    <w:autoSpaceDE w:val="0"/>
                    <w:autoSpaceDN w:val="0"/>
                    <w:snapToGrid w:val="0"/>
                    <w:jc w:val="center"/>
                    <w:rPr>
                      <w:color w:val="auto"/>
                      <w:u w:val="single"/>
                      <w14:ligatures w14:val="standardContextual"/>
                    </w:rPr>
                  </w:pPr>
                  <w:r>
                    <w:rPr>
                      <w:rFonts w:hint="eastAsia"/>
                      <w:color w:val="auto"/>
                      <w:u w:val="single"/>
                      <w14:ligatures w14:val="standardContextual"/>
                    </w:rPr>
                    <w:t>5</w:t>
                  </w:r>
                </w:p>
              </w:tc>
            </w:tr>
            <w:tr w14:paraId="717D3B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184" w:type="pct"/>
                  <w:vAlign w:val="center"/>
                </w:tcPr>
                <w:p w14:paraId="4552F977">
                  <w:pPr>
                    <w:widowControl w:val="0"/>
                    <w:overflowPunct w:val="0"/>
                    <w:autoSpaceDE w:val="0"/>
                    <w:autoSpaceDN w:val="0"/>
                    <w:snapToGrid w:val="0"/>
                    <w:jc w:val="center"/>
                    <w:rPr>
                      <w14:ligatures w14:val="standardContextual"/>
                    </w:rPr>
                  </w:pPr>
                  <w:r>
                    <w:rPr>
                      <w:rFonts w:hint="eastAsia"/>
                      <w14:ligatures w14:val="standardContextual"/>
                    </w:rPr>
                    <w:t>废水</w:t>
                  </w:r>
                </w:p>
              </w:tc>
              <w:tc>
                <w:tcPr>
                  <w:tcW w:w="3087" w:type="pct"/>
                  <w:vAlign w:val="center"/>
                </w:tcPr>
                <w:p w14:paraId="79054AC5">
                  <w:pPr>
                    <w:widowControl w:val="0"/>
                    <w:overflowPunct w:val="0"/>
                    <w:autoSpaceDE w:val="0"/>
                    <w:autoSpaceDN w:val="0"/>
                    <w:snapToGrid w:val="0"/>
                    <w:jc w:val="center"/>
                    <w:rPr>
                      <w14:ligatures w14:val="standardContextual"/>
                    </w:rPr>
                  </w:pPr>
                  <w:r>
                    <w:rPr>
                      <w:rFonts w:hint="eastAsia"/>
                      <w14:ligatures w14:val="standardContextual"/>
                    </w:rPr>
                    <w:t>化粪池、沉淀池</w:t>
                  </w:r>
                </w:p>
              </w:tc>
              <w:tc>
                <w:tcPr>
                  <w:tcW w:w="728" w:type="pct"/>
                  <w:vAlign w:val="center"/>
                </w:tcPr>
                <w:p w14:paraId="488BB2EE">
                  <w:pPr>
                    <w:widowControl w:val="0"/>
                    <w:overflowPunct w:val="0"/>
                    <w:autoSpaceDE w:val="0"/>
                    <w:autoSpaceDN w:val="0"/>
                    <w:snapToGrid w:val="0"/>
                    <w:jc w:val="center"/>
                    <w:rPr>
                      <w14:ligatures w14:val="standardContextual"/>
                    </w:rPr>
                  </w:pPr>
                  <w:r>
                    <w:rPr>
                      <w:rFonts w:hint="eastAsia"/>
                      <w14:ligatures w14:val="standardContextual"/>
                    </w:rPr>
                    <w:t>5</w:t>
                  </w:r>
                </w:p>
              </w:tc>
            </w:tr>
            <w:tr w14:paraId="02AA03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184" w:type="pct"/>
                  <w:vAlign w:val="center"/>
                </w:tcPr>
                <w:p w14:paraId="44E77546">
                  <w:pPr>
                    <w:widowControl w:val="0"/>
                    <w:overflowPunct w:val="0"/>
                    <w:autoSpaceDE w:val="0"/>
                    <w:autoSpaceDN w:val="0"/>
                    <w:snapToGrid w:val="0"/>
                    <w:jc w:val="center"/>
                    <w:rPr>
                      <w14:ligatures w14:val="standardContextual"/>
                    </w:rPr>
                  </w:pPr>
                  <w:r>
                    <w:rPr>
                      <w:rFonts w:hint="eastAsia"/>
                      <w14:ligatures w14:val="standardContextual"/>
                    </w:rPr>
                    <w:t>固废</w:t>
                  </w:r>
                </w:p>
              </w:tc>
              <w:tc>
                <w:tcPr>
                  <w:tcW w:w="3087" w:type="pct"/>
                  <w:vAlign w:val="center"/>
                </w:tcPr>
                <w:p w14:paraId="1143D5A5">
                  <w:pPr>
                    <w:widowControl w:val="0"/>
                    <w:overflowPunct w:val="0"/>
                    <w:autoSpaceDE w:val="0"/>
                    <w:autoSpaceDN w:val="0"/>
                    <w:snapToGrid w:val="0"/>
                    <w:jc w:val="center"/>
                    <w:rPr>
                      <w14:ligatures w14:val="standardContextual"/>
                    </w:rPr>
                  </w:pPr>
                  <w:r>
                    <w:rPr>
                      <w:rFonts w:hint="eastAsia"/>
                      <w14:ligatures w14:val="standardContextual"/>
                    </w:rPr>
                    <w:t>危废间</w:t>
                  </w:r>
                </w:p>
              </w:tc>
              <w:tc>
                <w:tcPr>
                  <w:tcW w:w="728" w:type="pct"/>
                  <w:vAlign w:val="center"/>
                </w:tcPr>
                <w:p w14:paraId="438D911A">
                  <w:pPr>
                    <w:widowControl w:val="0"/>
                    <w:overflowPunct w:val="0"/>
                    <w:autoSpaceDE w:val="0"/>
                    <w:autoSpaceDN w:val="0"/>
                    <w:snapToGrid w:val="0"/>
                    <w:jc w:val="center"/>
                    <w:rPr>
                      <w14:ligatures w14:val="standardContextual"/>
                    </w:rPr>
                  </w:pPr>
                  <w:r>
                    <w:rPr>
                      <w:rFonts w:hint="eastAsia"/>
                      <w14:ligatures w14:val="standardContextual"/>
                    </w:rPr>
                    <w:t>2</w:t>
                  </w:r>
                </w:p>
              </w:tc>
            </w:tr>
            <w:tr w14:paraId="32A45B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184" w:type="pct"/>
                  <w:vAlign w:val="center"/>
                </w:tcPr>
                <w:p w14:paraId="0042AD6C">
                  <w:pPr>
                    <w:widowControl w:val="0"/>
                    <w:overflowPunct w:val="0"/>
                    <w:autoSpaceDE w:val="0"/>
                    <w:autoSpaceDN w:val="0"/>
                    <w:snapToGrid w:val="0"/>
                    <w:jc w:val="center"/>
                    <w:rPr>
                      <w14:ligatures w14:val="standardContextual"/>
                    </w:rPr>
                  </w:pPr>
                  <w:r>
                    <w:rPr>
                      <w:rFonts w:hint="eastAsia"/>
                      <w14:ligatures w14:val="standardContextual"/>
                    </w:rPr>
                    <w:t>地下水、土壤</w:t>
                  </w:r>
                </w:p>
              </w:tc>
              <w:tc>
                <w:tcPr>
                  <w:tcW w:w="3087" w:type="pct"/>
                  <w:vAlign w:val="center"/>
                </w:tcPr>
                <w:p w14:paraId="000D80EC">
                  <w:pPr>
                    <w:widowControl w:val="0"/>
                    <w:overflowPunct w:val="0"/>
                    <w:autoSpaceDE w:val="0"/>
                    <w:autoSpaceDN w:val="0"/>
                    <w:snapToGrid w:val="0"/>
                    <w:jc w:val="center"/>
                    <w:rPr>
                      <w14:ligatures w14:val="standardContextual"/>
                    </w:rPr>
                  </w:pPr>
                  <w:r>
                    <w:rPr>
                      <w:rFonts w:hint="eastAsia"/>
                      <w14:ligatures w14:val="standardContextual"/>
                    </w:rPr>
                    <w:t>分区防渗</w:t>
                  </w:r>
                </w:p>
              </w:tc>
              <w:tc>
                <w:tcPr>
                  <w:tcW w:w="728" w:type="pct"/>
                  <w:vAlign w:val="center"/>
                </w:tcPr>
                <w:p w14:paraId="11811C03">
                  <w:pPr>
                    <w:widowControl w:val="0"/>
                    <w:overflowPunct w:val="0"/>
                    <w:autoSpaceDE w:val="0"/>
                    <w:autoSpaceDN w:val="0"/>
                    <w:snapToGrid w:val="0"/>
                    <w:jc w:val="center"/>
                    <w:rPr>
                      <w14:ligatures w14:val="standardContextual"/>
                    </w:rPr>
                  </w:pPr>
                  <w:r>
                    <w:rPr>
                      <w:rFonts w:hint="eastAsia"/>
                      <w14:ligatures w14:val="standardContextual"/>
                    </w:rPr>
                    <w:t>3</w:t>
                  </w:r>
                </w:p>
              </w:tc>
            </w:tr>
            <w:tr w14:paraId="7D8E4E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184" w:type="pct"/>
                  <w:vAlign w:val="center"/>
                </w:tcPr>
                <w:p w14:paraId="1DE7ED3F">
                  <w:pPr>
                    <w:widowControl w:val="0"/>
                    <w:overflowPunct w:val="0"/>
                    <w:autoSpaceDE w:val="0"/>
                    <w:autoSpaceDN w:val="0"/>
                    <w:snapToGrid w:val="0"/>
                    <w:jc w:val="center"/>
                    <w:rPr>
                      <w14:ligatures w14:val="standardContextual"/>
                    </w:rPr>
                  </w:pPr>
                  <w:r>
                    <w:rPr>
                      <w:rFonts w:hint="eastAsia"/>
                      <w14:ligatures w14:val="standardContextual"/>
                    </w:rPr>
                    <w:t>合计</w:t>
                  </w:r>
                </w:p>
              </w:tc>
              <w:tc>
                <w:tcPr>
                  <w:tcW w:w="3087" w:type="pct"/>
                  <w:vAlign w:val="center"/>
                </w:tcPr>
                <w:p w14:paraId="4642AA68">
                  <w:pPr>
                    <w:widowControl w:val="0"/>
                    <w:overflowPunct w:val="0"/>
                    <w:autoSpaceDE w:val="0"/>
                    <w:autoSpaceDN w:val="0"/>
                    <w:snapToGrid w:val="0"/>
                    <w:jc w:val="center"/>
                    <w:rPr>
                      <w14:ligatures w14:val="standardContextual"/>
                    </w:rPr>
                  </w:pPr>
                  <w:r>
                    <w:rPr>
                      <w:rFonts w:hint="eastAsia"/>
                      <w14:ligatures w14:val="standardContextual"/>
                    </w:rPr>
                    <w:t>/</w:t>
                  </w:r>
                </w:p>
              </w:tc>
              <w:tc>
                <w:tcPr>
                  <w:tcW w:w="728" w:type="pct"/>
                  <w:vAlign w:val="center"/>
                </w:tcPr>
                <w:p w14:paraId="184B66FE">
                  <w:pPr>
                    <w:widowControl w:val="0"/>
                    <w:overflowPunct w:val="0"/>
                    <w:autoSpaceDE w:val="0"/>
                    <w:autoSpaceDN w:val="0"/>
                    <w:snapToGrid w:val="0"/>
                    <w:jc w:val="center"/>
                    <w:rPr>
                      <w14:ligatures w14:val="standardContextual"/>
                    </w:rPr>
                  </w:pPr>
                  <w:r>
                    <w:rPr>
                      <w:rFonts w:hint="eastAsia"/>
                      <w14:ligatures w14:val="standardContextual"/>
                    </w:rPr>
                    <w:t>20</w:t>
                  </w:r>
                </w:p>
              </w:tc>
            </w:tr>
          </w:tbl>
          <w:p w14:paraId="50025486">
            <w:pPr>
              <w:pStyle w:val="3"/>
              <w:ind w:firstLine="480"/>
            </w:pPr>
          </w:p>
          <w:p w14:paraId="7E23274E">
            <w:pPr>
              <w:pStyle w:val="3"/>
              <w:ind w:firstLine="480"/>
            </w:pPr>
          </w:p>
          <w:p w14:paraId="2F0D6DC2">
            <w:pPr>
              <w:pStyle w:val="3"/>
              <w:ind w:firstLine="482"/>
              <w:rPr>
                <w:b/>
                <w:bCs/>
              </w:rPr>
            </w:pPr>
          </w:p>
        </w:tc>
      </w:tr>
    </w:tbl>
    <w:p w14:paraId="6F13A070">
      <w:pPr>
        <w:pStyle w:val="9"/>
        <w:rPr>
          <w:rFonts w:cs="宋体"/>
          <w:b/>
          <w:sz w:val="28"/>
          <w:szCs w:val="28"/>
        </w:rPr>
        <w:sectPr>
          <w:pgSz w:w="11907" w:h="16840"/>
          <w:pgMar w:top="1701" w:right="1531" w:bottom="2127" w:left="1531" w:header="851" w:footer="851" w:gutter="0"/>
          <w:cols w:space="720" w:num="1"/>
          <w:docGrid w:linePitch="312" w:charSpace="0"/>
        </w:sectPr>
      </w:pPr>
    </w:p>
    <w:p w14:paraId="79DE0392">
      <w:pPr>
        <w:pStyle w:val="2"/>
        <w:rPr>
          <w:snapToGrid w:val="0"/>
        </w:rPr>
      </w:pPr>
      <w:bookmarkStart w:id="101" w:name="_Toc175609277"/>
      <w:bookmarkStart w:id="102" w:name="_Toc203094748"/>
      <w:bookmarkStart w:id="103" w:name="_Hlk54167917"/>
      <w:r>
        <w:rPr>
          <w:rFonts w:hint="eastAsia"/>
          <w:snapToGrid w:val="0"/>
        </w:rPr>
        <w:t>环境保护措施监督检查清单</w:t>
      </w:r>
      <w:bookmarkEnd w:id="101"/>
      <w:bookmarkEnd w:id="102"/>
      <w:bookmarkEnd w:id="103"/>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71"/>
        <w:gridCol w:w="1571"/>
        <w:gridCol w:w="1122"/>
        <w:gridCol w:w="1855"/>
        <w:gridCol w:w="3281"/>
      </w:tblGrid>
      <w:tr w14:paraId="7A2F60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1" w:type="dxa"/>
            <w:tcBorders>
              <w:tl2br w:val="single" w:color="auto" w:sz="4" w:space="0"/>
            </w:tcBorders>
            <w:vAlign w:val="center"/>
          </w:tcPr>
          <w:p w14:paraId="553BE476">
            <w:pPr>
              <w:snapToGrid w:val="0"/>
              <w:ind w:firstLine="240" w:firstLineChars="100"/>
              <w:rPr>
                <w:rFonts w:cs="宋体"/>
                <w:sz w:val="24"/>
              </w:rPr>
            </w:pPr>
            <w:r>
              <w:rPr>
                <w:rFonts w:hint="eastAsia" w:cs="宋体"/>
                <w:sz w:val="24"/>
              </w:rPr>
              <w:t>内容</w:t>
            </w:r>
          </w:p>
          <w:p w14:paraId="75B85669">
            <w:pPr>
              <w:snapToGrid w:val="0"/>
              <w:rPr>
                <w:rFonts w:cs="宋体"/>
                <w:sz w:val="24"/>
              </w:rPr>
            </w:pPr>
            <w:r>
              <w:rPr>
                <w:rFonts w:hint="eastAsia" w:cs="宋体"/>
                <w:sz w:val="24"/>
              </w:rPr>
              <w:t>要素</w:t>
            </w:r>
          </w:p>
        </w:tc>
        <w:tc>
          <w:tcPr>
            <w:tcW w:w="1571" w:type="dxa"/>
            <w:vAlign w:val="center"/>
          </w:tcPr>
          <w:p w14:paraId="3BD7E84A">
            <w:pPr>
              <w:snapToGrid w:val="0"/>
              <w:jc w:val="center"/>
              <w:rPr>
                <w:rFonts w:cs="宋体"/>
                <w:sz w:val="24"/>
              </w:rPr>
            </w:pPr>
            <w:r>
              <w:rPr>
                <w:rFonts w:hint="eastAsia" w:cs="宋体"/>
                <w:sz w:val="24"/>
              </w:rPr>
              <w:t>排放口(编号、名称)/污染源</w:t>
            </w:r>
          </w:p>
        </w:tc>
        <w:tc>
          <w:tcPr>
            <w:tcW w:w="1122" w:type="dxa"/>
            <w:vAlign w:val="center"/>
          </w:tcPr>
          <w:p w14:paraId="64F73952">
            <w:pPr>
              <w:snapToGrid w:val="0"/>
              <w:jc w:val="center"/>
              <w:rPr>
                <w:rFonts w:cs="宋体"/>
                <w:sz w:val="24"/>
              </w:rPr>
            </w:pPr>
            <w:r>
              <w:rPr>
                <w:rFonts w:hint="eastAsia" w:cs="宋体"/>
                <w:sz w:val="24"/>
              </w:rPr>
              <w:t>污染物项目</w:t>
            </w:r>
          </w:p>
        </w:tc>
        <w:tc>
          <w:tcPr>
            <w:tcW w:w="1855" w:type="dxa"/>
            <w:vAlign w:val="center"/>
          </w:tcPr>
          <w:p w14:paraId="7B5EE1D7">
            <w:pPr>
              <w:snapToGrid w:val="0"/>
              <w:jc w:val="center"/>
              <w:rPr>
                <w:rFonts w:cs="宋体"/>
                <w:sz w:val="24"/>
              </w:rPr>
            </w:pPr>
            <w:r>
              <w:rPr>
                <w:rFonts w:hint="eastAsia" w:cs="宋体"/>
                <w:sz w:val="24"/>
              </w:rPr>
              <w:t>环境保护措施</w:t>
            </w:r>
          </w:p>
        </w:tc>
        <w:tc>
          <w:tcPr>
            <w:tcW w:w="3281" w:type="dxa"/>
            <w:vAlign w:val="center"/>
          </w:tcPr>
          <w:p w14:paraId="020AFA42">
            <w:pPr>
              <w:snapToGrid w:val="0"/>
              <w:jc w:val="center"/>
              <w:rPr>
                <w:rFonts w:cs="宋体"/>
                <w:sz w:val="24"/>
              </w:rPr>
            </w:pPr>
            <w:r>
              <w:rPr>
                <w:rFonts w:hint="eastAsia" w:cs="宋体"/>
                <w:sz w:val="24"/>
              </w:rPr>
              <w:t>执行标准</w:t>
            </w:r>
          </w:p>
        </w:tc>
      </w:tr>
      <w:tr w14:paraId="03AC20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71" w:type="dxa"/>
            <w:vMerge w:val="restart"/>
            <w:vAlign w:val="center"/>
          </w:tcPr>
          <w:p w14:paraId="06A5A790">
            <w:pPr>
              <w:snapToGrid w:val="0"/>
              <w:jc w:val="center"/>
              <w:rPr>
                <w:rFonts w:cs="宋体"/>
                <w:sz w:val="24"/>
              </w:rPr>
            </w:pPr>
            <w:r>
              <w:rPr>
                <w:rFonts w:hint="eastAsia" w:cs="宋体"/>
                <w:sz w:val="24"/>
              </w:rPr>
              <w:t>大气环境</w:t>
            </w:r>
          </w:p>
        </w:tc>
        <w:tc>
          <w:tcPr>
            <w:tcW w:w="1571" w:type="dxa"/>
            <w:vAlign w:val="center"/>
          </w:tcPr>
          <w:p w14:paraId="1C19EC7F">
            <w:pPr>
              <w:snapToGrid w:val="0"/>
              <w:jc w:val="center"/>
              <w:rPr>
                <w:rFonts w:cs="宋体"/>
                <w:color w:val="auto"/>
                <w:sz w:val="24"/>
              </w:rPr>
            </w:pPr>
            <w:r>
              <w:rPr>
                <w:rFonts w:hint="eastAsia" w:cs="宋体"/>
                <w:color w:val="auto"/>
                <w:sz w:val="24"/>
              </w:rPr>
              <w:t>破碎、筛分、磁选、风选工序粉尘DA001</w:t>
            </w:r>
          </w:p>
        </w:tc>
        <w:tc>
          <w:tcPr>
            <w:tcW w:w="1122" w:type="dxa"/>
            <w:vAlign w:val="center"/>
          </w:tcPr>
          <w:p w14:paraId="29928BEB">
            <w:pPr>
              <w:jc w:val="center"/>
              <w:rPr>
                <w:rFonts w:cs="宋体"/>
                <w:color w:val="auto"/>
                <w:sz w:val="24"/>
              </w:rPr>
            </w:pPr>
            <w:bookmarkStart w:id="104" w:name="OLE_LINK102"/>
            <w:bookmarkStart w:id="105" w:name="OLE_LINK103"/>
            <w:r>
              <w:rPr>
                <w:rFonts w:hint="eastAsia" w:cs="宋体"/>
                <w:color w:val="auto"/>
                <w:sz w:val="24"/>
              </w:rPr>
              <w:t>颗粒物</w:t>
            </w:r>
            <w:bookmarkEnd w:id="104"/>
            <w:bookmarkEnd w:id="105"/>
          </w:p>
        </w:tc>
        <w:tc>
          <w:tcPr>
            <w:tcW w:w="1855" w:type="dxa"/>
            <w:vAlign w:val="center"/>
          </w:tcPr>
          <w:p w14:paraId="760E90A8">
            <w:pPr>
              <w:snapToGrid w:val="0"/>
              <w:jc w:val="center"/>
              <w:rPr>
                <w:rFonts w:cs="宋体"/>
                <w:color w:val="auto"/>
                <w:sz w:val="24"/>
              </w:rPr>
            </w:pPr>
            <w:r>
              <w:rPr>
                <w:rFonts w:hint="eastAsia" w:cs="宋体"/>
                <w:color w:val="auto"/>
                <w:sz w:val="24"/>
              </w:rPr>
              <w:t>布袋除尘+15m排气筒（DA001）</w:t>
            </w:r>
          </w:p>
        </w:tc>
        <w:tc>
          <w:tcPr>
            <w:tcW w:w="3281" w:type="dxa"/>
            <w:vAlign w:val="center"/>
          </w:tcPr>
          <w:p w14:paraId="27D07884">
            <w:r>
              <w:rPr>
                <w:rFonts w:hint="eastAsia" w:cs="宋体"/>
                <w:sz w:val="24"/>
              </w:rPr>
              <w:t>《大气污染物综合排放标准》（GB16297-1996）表2中二级标准</w:t>
            </w:r>
          </w:p>
        </w:tc>
      </w:tr>
      <w:tr w14:paraId="2A2764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71" w:type="dxa"/>
            <w:vMerge w:val="continue"/>
            <w:vAlign w:val="center"/>
          </w:tcPr>
          <w:p w14:paraId="11A0667F">
            <w:pPr>
              <w:snapToGrid w:val="0"/>
              <w:jc w:val="center"/>
              <w:rPr>
                <w:rFonts w:cs="宋体"/>
                <w:sz w:val="24"/>
              </w:rPr>
            </w:pPr>
          </w:p>
        </w:tc>
        <w:tc>
          <w:tcPr>
            <w:tcW w:w="1571" w:type="dxa"/>
            <w:vAlign w:val="center"/>
          </w:tcPr>
          <w:p w14:paraId="5188D2E7">
            <w:pPr>
              <w:snapToGrid w:val="0"/>
              <w:jc w:val="center"/>
              <w:rPr>
                <w:rFonts w:cs="宋体"/>
                <w:color w:val="auto"/>
                <w:sz w:val="24"/>
              </w:rPr>
            </w:pPr>
            <w:r>
              <w:rPr>
                <w:rFonts w:hint="eastAsia" w:cs="宋体"/>
                <w:color w:val="auto"/>
                <w:sz w:val="24"/>
              </w:rPr>
              <w:t>卸料、贮存、上料粉尘</w:t>
            </w:r>
          </w:p>
        </w:tc>
        <w:tc>
          <w:tcPr>
            <w:tcW w:w="1122" w:type="dxa"/>
            <w:vAlign w:val="center"/>
          </w:tcPr>
          <w:p w14:paraId="090FCDAD">
            <w:pPr>
              <w:jc w:val="center"/>
              <w:rPr>
                <w:rFonts w:cs="宋体"/>
                <w:color w:val="auto"/>
                <w:sz w:val="24"/>
              </w:rPr>
            </w:pPr>
            <w:r>
              <w:rPr>
                <w:rFonts w:hint="eastAsia" w:cs="宋体"/>
                <w:color w:val="auto"/>
                <w:sz w:val="24"/>
              </w:rPr>
              <w:t>颗粒物</w:t>
            </w:r>
          </w:p>
        </w:tc>
        <w:tc>
          <w:tcPr>
            <w:tcW w:w="1855" w:type="dxa"/>
            <w:vAlign w:val="center"/>
          </w:tcPr>
          <w:p w14:paraId="3E520C96">
            <w:pPr>
              <w:snapToGrid w:val="0"/>
              <w:jc w:val="center"/>
              <w:rPr>
                <w:rFonts w:cs="宋体"/>
                <w:color w:val="auto"/>
                <w:sz w:val="24"/>
              </w:rPr>
            </w:pPr>
            <w:r>
              <w:rPr>
                <w:rFonts w:hint="eastAsia" w:cs="宋体"/>
                <w:color w:val="auto"/>
                <w:sz w:val="24"/>
              </w:rPr>
              <w:t>厂房封闭，同时在装卸点采用喷雾器喷雾降尘，出入车辆冲洗</w:t>
            </w:r>
          </w:p>
        </w:tc>
        <w:tc>
          <w:tcPr>
            <w:tcW w:w="3281" w:type="dxa"/>
            <w:vMerge w:val="restart"/>
            <w:vAlign w:val="center"/>
          </w:tcPr>
          <w:p w14:paraId="6CB9ACCF">
            <w:pPr>
              <w:rPr>
                <w:rFonts w:cs="宋体"/>
                <w:sz w:val="24"/>
              </w:rPr>
            </w:pPr>
            <w:r>
              <w:rPr>
                <w:rFonts w:hint="eastAsia" w:cs="宋体"/>
                <w:sz w:val="24"/>
              </w:rPr>
              <w:t>《大气污染物综合排放标准》（GB16297-1996）表2 中无组织监控浓度限值</w:t>
            </w:r>
          </w:p>
        </w:tc>
      </w:tr>
      <w:tr w14:paraId="14DD16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71" w:type="dxa"/>
            <w:vMerge w:val="continue"/>
            <w:vAlign w:val="center"/>
          </w:tcPr>
          <w:p w14:paraId="599AEA55">
            <w:pPr>
              <w:snapToGrid w:val="0"/>
              <w:jc w:val="center"/>
              <w:rPr>
                <w:rFonts w:cs="宋体"/>
                <w:sz w:val="24"/>
              </w:rPr>
            </w:pPr>
          </w:p>
        </w:tc>
        <w:tc>
          <w:tcPr>
            <w:tcW w:w="1571" w:type="dxa"/>
            <w:vAlign w:val="center"/>
          </w:tcPr>
          <w:p w14:paraId="271CAF59">
            <w:pPr>
              <w:snapToGrid w:val="0"/>
              <w:jc w:val="center"/>
              <w:rPr>
                <w:rFonts w:cs="宋体"/>
                <w:color w:val="auto"/>
                <w:sz w:val="24"/>
              </w:rPr>
            </w:pPr>
            <w:r>
              <w:rPr>
                <w:rFonts w:hint="eastAsia" w:cs="宋体"/>
                <w:color w:val="auto"/>
                <w:sz w:val="24"/>
              </w:rPr>
              <w:t>落料粉尘</w:t>
            </w:r>
          </w:p>
        </w:tc>
        <w:tc>
          <w:tcPr>
            <w:tcW w:w="1122" w:type="dxa"/>
            <w:vAlign w:val="center"/>
          </w:tcPr>
          <w:p w14:paraId="127FB576">
            <w:pPr>
              <w:jc w:val="center"/>
              <w:rPr>
                <w:rFonts w:cs="宋体"/>
                <w:color w:val="auto"/>
                <w:sz w:val="24"/>
              </w:rPr>
            </w:pPr>
            <w:r>
              <w:rPr>
                <w:rFonts w:hint="eastAsia" w:cs="宋体"/>
                <w:color w:val="auto"/>
                <w:sz w:val="24"/>
              </w:rPr>
              <w:t>颗粒物</w:t>
            </w:r>
          </w:p>
        </w:tc>
        <w:tc>
          <w:tcPr>
            <w:tcW w:w="1855" w:type="dxa"/>
            <w:vAlign w:val="center"/>
          </w:tcPr>
          <w:p w14:paraId="48613853">
            <w:pPr>
              <w:snapToGrid w:val="0"/>
              <w:jc w:val="center"/>
              <w:rPr>
                <w:rFonts w:cs="宋体"/>
                <w:color w:val="auto"/>
                <w:sz w:val="24"/>
              </w:rPr>
            </w:pPr>
            <w:r>
              <w:rPr>
                <w:rFonts w:hint="eastAsia" w:cs="宋体"/>
                <w:color w:val="auto"/>
                <w:sz w:val="24"/>
              </w:rPr>
              <w:t>厂房封闭，落料点通过采取喷雾除尘等措施</w:t>
            </w:r>
          </w:p>
        </w:tc>
        <w:tc>
          <w:tcPr>
            <w:tcW w:w="3281" w:type="dxa"/>
            <w:vMerge w:val="continue"/>
            <w:vAlign w:val="center"/>
          </w:tcPr>
          <w:p w14:paraId="54BA946E">
            <w:pPr>
              <w:rPr>
                <w:rFonts w:cs="宋体"/>
                <w:sz w:val="24"/>
              </w:rPr>
            </w:pPr>
          </w:p>
        </w:tc>
      </w:tr>
      <w:tr w14:paraId="417DFD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71" w:type="dxa"/>
            <w:vMerge w:val="continue"/>
            <w:vAlign w:val="center"/>
          </w:tcPr>
          <w:p w14:paraId="7F03F39C">
            <w:pPr>
              <w:snapToGrid w:val="0"/>
              <w:jc w:val="center"/>
              <w:rPr>
                <w:rFonts w:cs="宋体"/>
                <w:sz w:val="24"/>
              </w:rPr>
            </w:pPr>
          </w:p>
        </w:tc>
        <w:tc>
          <w:tcPr>
            <w:tcW w:w="1571" w:type="dxa"/>
            <w:vAlign w:val="center"/>
          </w:tcPr>
          <w:p w14:paraId="55A5A9AC">
            <w:pPr>
              <w:snapToGrid w:val="0"/>
              <w:jc w:val="center"/>
              <w:rPr>
                <w:rFonts w:cs="宋体"/>
                <w:sz w:val="24"/>
              </w:rPr>
            </w:pPr>
            <w:r>
              <w:rPr>
                <w:rFonts w:hint="eastAsia" w:cs="宋体"/>
                <w:sz w:val="24"/>
              </w:rPr>
              <w:t>车辆运输扬尘</w:t>
            </w:r>
          </w:p>
        </w:tc>
        <w:tc>
          <w:tcPr>
            <w:tcW w:w="1122" w:type="dxa"/>
            <w:vAlign w:val="center"/>
          </w:tcPr>
          <w:p w14:paraId="4F6B0B04">
            <w:pPr>
              <w:jc w:val="center"/>
              <w:rPr>
                <w:rFonts w:cs="宋体"/>
                <w:sz w:val="24"/>
              </w:rPr>
            </w:pPr>
            <w:r>
              <w:rPr>
                <w:rFonts w:hint="eastAsia" w:cs="宋体"/>
                <w:sz w:val="24"/>
              </w:rPr>
              <w:t>颗粒物</w:t>
            </w:r>
          </w:p>
        </w:tc>
        <w:tc>
          <w:tcPr>
            <w:tcW w:w="1855" w:type="dxa"/>
            <w:vAlign w:val="center"/>
          </w:tcPr>
          <w:p w14:paraId="589288FF">
            <w:pPr>
              <w:snapToGrid w:val="0"/>
              <w:jc w:val="center"/>
              <w:rPr>
                <w:rFonts w:cs="宋体"/>
                <w:sz w:val="24"/>
              </w:rPr>
            </w:pPr>
            <w:r>
              <w:rPr>
                <w:rFonts w:hint="eastAsia" w:cs="宋体"/>
                <w:sz w:val="24"/>
              </w:rPr>
              <w:t>厂区道路进行硬化、定期洒水、运输车辆加盖</w:t>
            </w:r>
            <w:r>
              <w:rPr>
                <w:rFonts w:hint="eastAsia" w:cs="宋体"/>
                <w:sz w:val="24"/>
                <w:lang w:eastAsia="zh-CN"/>
              </w:rPr>
              <w:t>篷布</w:t>
            </w:r>
          </w:p>
        </w:tc>
        <w:tc>
          <w:tcPr>
            <w:tcW w:w="3281" w:type="dxa"/>
            <w:vMerge w:val="continue"/>
            <w:vAlign w:val="center"/>
          </w:tcPr>
          <w:p w14:paraId="089E71BC">
            <w:pPr>
              <w:rPr>
                <w:rFonts w:cs="宋体"/>
                <w:sz w:val="24"/>
              </w:rPr>
            </w:pPr>
          </w:p>
        </w:tc>
      </w:tr>
      <w:tr w14:paraId="63F3B5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971" w:type="dxa"/>
            <w:vMerge w:val="restart"/>
            <w:vAlign w:val="center"/>
          </w:tcPr>
          <w:p w14:paraId="0A8AD8F1">
            <w:pPr>
              <w:snapToGrid w:val="0"/>
              <w:jc w:val="center"/>
              <w:rPr>
                <w:rFonts w:cs="宋体"/>
                <w:sz w:val="24"/>
              </w:rPr>
            </w:pPr>
            <w:r>
              <w:rPr>
                <w:rFonts w:hint="eastAsia" w:cs="宋体"/>
                <w:sz w:val="24"/>
              </w:rPr>
              <w:t>地表水环境</w:t>
            </w:r>
          </w:p>
        </w:tc>
        <w:tc>
          <w:tcPr>
            <w:tcW w:w="1571" w:type="dxa"/>
            <w:vAlign w:val="center"/>
          </w:tcPr>
          <w:p w14:paraId="0BB13DB7">
            <w:pPr>
              <w:snapToGrid w:val="0"/>
              <w:jc w:val="center"/>
              <w:rPr>
                <w:rFonts w:cs="宋体"/>
                <w:sz w:val="24"/>
                <w:szCs w:val="24"/>
              </w:rPr>
            </w:pPr>
            <w:r>
              <w:rPr>
                <w:rFonts w:hint="eastAsia" w:cs="宋体"/>
                <w:sz w:val="24"/>
                <w:szCs w:val="24"/>
              </w:rPr>
              <w:t>喷雾除尘废水</w:t>
            </w:r>
          </w:p>
        </w:tc>
        <w:tc>
          <w:tcPr>
            <w:tcW w:w="1122" w:type="dxa"/>
            <w:vAlign w:val="center"/>
          </w:tcPr>
          <w:p w14:paraId="299956BF">
            <w:pPr>
              <w:snapToGrid w:val="0"/>
              <w:jc w:val="center"/>
              <w:rPr>
                <w:sz w:val="24"/>
                <w:szCs w:val="24"/>
              </w:rPr>
            </w:pPr>
            <w:r>
              <w:rPr>
                <w:sz w:val="24"/>
                <w:szCs w:val="24"/>
              </w:rPr>
              <w:t>SS</w:t>
            </w:r>
          </w:p>
        </w:tc>
        <w:tc>
          <w:tcPr>
            <w:tcW w:w="1855" w:type="dxa"/>
            <w:vAlign w:val="center"/>
          </w:tcPr>
          <w:p w14:paraId="7AA198E0">
            <w:pPr>
              <w:snapToGrid w:val="0"/>
              <w:jc w:val="center"/>
              <w:rPr>
                <w:sz w:val="24"/>
                <w:szCs w:val="24"/>
              </w:rPr>
            </w:pPr>
            <w:r>
              <w:rPr>
                <w:rFonts w:hint="eastAsia"/>
                <w:sz w:val="24"/>
                <w:szCs w:val="24"/>
              </w:rPr>
              <w:t>全部蒸发消耗无外排</w:t>
            </w:r>
          </w:p>
        </w:tc>
        <w:tc>
          <w:tcPr>
            <w:tcW w:w="3281" w:type="dxa"/>
            <w:vMerge w:val="restart"/>
            <w:vAlign w:val="center"/>
          </w:tcPr>
          <w:p w14:paraId="2472D21F">
            <w:pPr>
              <w:snapToGrid w:val="0"/>
              <w:jc w:val="center"/>
              <w:rPr>
                <w:rFonts w:cs="宋体"/>
                <w:sz w:val="24"/>
                <w:szCs w:val="24"/>
              </w:rPr>
            </w:pPr>
            <w:r>
              <w:rPr>
                <w:rFonts w:hint="eastAsia" w:cs="宋体"/>
                <w:sz w:val="24"/>
                <w:szCs w:val="24"/>
              </w:rPr>
              <w:t>不外排</w:t>
            </w:r>
          </w:p>
        </w:tc>
      </w:tr>
      <w:tr w14:paraId="5FA1BE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971" w:type="dxa"/>
            <w:vMerge w:val="continue"/>
            <w:vAlign w:val="center"/>
          </w:tcPr>
          <w:p w14:paraId="2885E755">
            <w:pPr>
              <w:snapToGrid w:val="0"/>
              <w:jc w:val="center"/>
              <w:rPr>
                <w:rFonts w:cs="宋体"/>
                <w:sz w:val="24"/>
              </w:rPr>
            </w:pPr>
          </w:p>
        </w:tc>
        <w:tc>
          <w:tcPr>
            <w:tcW w:w="1571" w:type="dxa"/>
            <w:vAlign w:val="center"/>
          </w:tcPr>
          <w:p w14:paraId="34085D9B">
            <w:pPr>
              <w:snapToGrid w:val="0"/>
              <w:jc w:val="center"/>
              <w:rPr>
                <w:rFonts w:cs="宋体"/>
                <w:sz w:val="24"/>
                <w:szCs w:val="24"/>
              </w:rPr>
            </w:pPr>
            <w:r>
              <w:rPr>
                <w:rFonts w:hint="eastAsia" w:cs="宋体"/>
                <w:sz w:val="24"/>
                <w:szCs w:val="24"/>
              </w:rPr>
              <w:t>车辆清洗废水</w:t>
            </w:r>
          </w:p>
        </w:tc>
        <w:tc>
          <w:tcPr>
            <w:tcW w:w="1122" w:type="dxa"/>
            <w:vAlign w:val="center"/>
          </w:tcPr>
          <w:p w14:paraId="3FFBBFDA">
            <w:pPr>
              <w:snapToGrid w:val="0"/>
              <w:jc w:val="center"/>
              <w:rPr>
                <w:sz w:val="24"/>
                <w:szCs w:val="24"/>
              </w:rPr>
            </w:pPr>
            <w:r>
              <w:rPr>
                <w:sz w:val="24"/>
                <w:szCs w:val="24"/>
              </w:rPr>
              <w:t>SS</w:t>
            </w:r>
          </w:p>
        </w:tc>
        <w:tc>
          <w:tcPr>
            <w:tcW w:w="1855" w:type="dxa"/>
            <w:vAlign w:val="center"/>
          </w:tcPr>
          <w:p w14:paraId="37FBDF0B">
            <w:pPr>
              <w:snapToGrid w:val="0"/>
              <w:jc w:val="center"/>
              <w:rPr>
                <w:sz w:val="24"/>
                <w:szCs w:val="24"/>
              </w:rPr>
            </w:pPr>
            <w:r>
              <w:rPr>
                <w:rFonts w:hint="eastAsia"/>
                <w:sz w:val="24"/>
                <w:szCs w:val="24"/>
              </w:rPr>
              <w:t>经沉淀池收集沉淀后循环使用，不外排</w:t>
            </w:r>
          </w:p>
        </w:tc>
        <w:tc>
          <w:tcPr>
            <w:tcW w:w="3281" w:type="dxa"/>
            <w:vMerge w:val="continue"/>
            <w:vAlign w:val="center"/>
          </w:tcPr>
          <w:p w14:paraId="54A88276">
            <w:pPr>
              <w:snapToGrid w:val="0"/>
              <w:jc w:val="center"/>
              <w:rPr>
                <w:sz w:val="24"/>
                <w:szCs w:val="24"/>
              </w:rPr>
            </w:pPr>
          </w:p>
        </w:tc>
      </w:tr>
      <w:tr w14:paraId="734557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971" w:type="dxa"/>
            <w:vMerge w:val="continue"/>
            <w:vAlign w:val="center"/>
          </w:tcPr>
          <w:p w14:paraId="39AFEEA7">
            <w:pPr>
              <w:snapToGrid w:val="0"/>
              <w:jc w:val="center"/>
              <w:rPr>
                <w:rFonts w:cs="宋体"/>
                <w:sz w:val="24"/>
              </w:rPr>
            </w:pPr>
          </w:p>
        </w:tc>
        <w:tc>
          <w:tcPr>
            <w:tcW w:w="1571" w:type="dxa"/>
            <w:vAlign w:val="center"/>
          </w:tcPr>
          <w:p w14:paraId="2D636259">
            <w:pPr>
              <w:snapToGrid w:val="0"/>
              <w:jc w:val="center"/>
              <w:rPr>
                <w:rFonts w:cs="宋体"/>
                <w:sz w:val="24"/>
                <w:szCs w:val="24"/>
              </w:rPr>
            </w:pPr>
            <w:r>
              <w:rPr>
                <w:rFonts w:hint="eastAsia" w:cs="宋体"/>
                <w:sz w:val="24"/>
                <w:szCs w:val="24"/>
              </w:rPr>
              <w:t>初期雨水</w:t>
            </w:r>
          </w:p>
        </w:tc>
        <w:tc>
          <w:tcPr>
            <w:tcW w:w="1122" w:type="dxa"/>
            <w:vAlign w:val="center"/>
          </w:tcPr>
          <w:p w14:paraId="58C0CD77">
            <w:pPr>
              <w:snapToGrid w:val="0"/>
              <w:jc w:val="center"/>
              <w:rPr>
                <w:sz w:val="24"/>
                <w:szCs w:val="24"/>
              </w:rPr>
            </w:pPr>
            <w:r>
              <w:rPr>
                <w:sz w:val="24"/>
                <w:szCs w:val="24"/>
              </w:rPr>
              <w:t>SS</w:t>
            </w:r>
          </w:p>
        </w:tc>
        <w:tc>
          <w:tcPr>
            <w:tcW w:w="1855" w:type="dxa"/>
            <w:vAlign w:val="center"/>
          </w:tcPr>
          <w:p w14:paraId="779745F6">
            <w:pPr>
              <w:snapToGrid w:val="0"/>
              <w:jc w:val="center"/>
              <w:rPr>
                <w:sz w:val="24"/>
                <w:szCs w:val="24"/>
              </w:rPr>
            </w:pPr>
            <w:r>
              <w:rPr>
                <w:rFonts w:hint="eastAsia"/>
                <w:sz w:val="24"/>
                <w:szCs w:val="24"/>
              </w:rPr>
              <w:t>经沉淀池收集沉淀处理后用于场地洒水抑尘，不外排</w:t>
            </w:r>
          </w:p>
        </w:tc>
        <w:tc>
          <w:tcPr>
            <w:tcW w:w="3281" w:type="dxa"/>
            <w:vMerge w:val="continue"/>
            <w:vAlign w:val="center"/>
          </w:tcPr>
          <w:p w14:paraId="0163F89D">
            <w:pPr>
              <w:snapToGrid w:val="0"/>
              <w:jc w:val="center"/>
              <w:rPr>
                <w:sz w:val="24"/>
                <w:szCs w:val="24"/>
              </w:rPr>
            </w:pPr>
          </w:p>
        </w:tc>
      </w:tr>
      <w:tr w14:paraId="7EAD05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971" w:type="dxa"/>
            <w:vMerge w:val="continue"/>
            <w:vAlign w:val="center"/>
          </w:tcPr>
          <w:p w14:paraId="3BD3EC48">
            <w:pPr>
              <w:snapToGrid w:val="0"/>
              <w:jc w:val="center"/>
              <w:rPr>
                <w:rFonts w:cs="宋体"/>
                <w:sz w:val="24"/>
              </w:rPr>
            </w:pPr>
          </w:p>
        </w:tc>
        <w:tc>
          <w:tcPr>
            <w:tcW w:w="1571" w:type="dxa"/>
            <w:vAlign w:val="center"/>
          </w:tcPr>
          <w:p w14:paraId="4C1C5881">
            <w:pPr>
              <w:snapToGrid w:val="0"/>
              <w:jc w:val="center"/>
              <w:rPr>
                <w:rFonts w:cs="宋体"/>
                <w:sz w:val="24"/>
                <w:szCs w:val="24"/>
              </w:rPr>
            </w:pPr>
            <w:r>
              <w:rPr>
                <w:rFonts w:hint="eastAsia" w:cs="宋体"/>
                <w:sz w:val="24"/>
                <w:szCs w:val="24"/>
              </w:rPr>
              <w:t>生活污水</w:t>
            </w:r>
          </w:p>
        </w:tc>
        <w:tc>
          <w:tcPr>
            <w:tcW w:w="1122" w:type="dxa"/>
            <w:vAlign w:val="center"/>
          </w:tcPr>
          <w:p w14:paraId="767C183D">
            <w:pPr>
              <w:snapToGrid w:val="0"/>
              <w:jc w:val="center"/>
              <w:rPr>
                <w:sz w:val="24"/>
                <w:szCs w:val="24"/>
              </w:rPr>
            </w:pPr>
            <w:r>
              <w:rPr>
                <w:rFonts w:hint="eastAsia"/>
                <w:sz w:val="24"/>
                <w:szCs w:val="24"/>
              </w:rPr>
              <w:t>COD、BOD</w:t>
            </w:r>
            <w:r>
              <w:rPr>
                <w:rFonts w:hint="eastAsia"/>
                <w:sz w:val="24"/>
                <w:szCs w:val="24"/>
                <w:vertAlign w:val="subscript"/>
              </w:rPr>
              <w:t>5</w:t>
            </w:r>
            <w:r>
              <w:rPr>
                <w:rFonts w:hint="eastAsia"/>
                <w:sz w:val="24"/>
                <w:szCs w:val="24"/>
              </w:rPr>
              <w:t>、SS、氨氮、TP</w:t>
            </w:r>
          </w:p>
        </w:tc>
        <w:tc>
          <w:tcPr>
            <w:tcW w:w="1855" w:type="dxa"/>
            <w:vAlign w:val="center"/>
          </w:tcPr>
          <w:p w14:paraId="11BAD207">
            <w:pPr>
              <w:snapToGrid w:val="0"/>
              <w:jc w:val="center"/>
              <w:rPr>
                <w:sz w:val="24"/>
                <w:szCs w:val="24"/>
              </w:rPr>
            </w:pPr>
            <w:r>
              <w:rPr>
                <w:rFonts w:hint="eastAsia"/>
                <w:sz w:val="24"/>
                <w:szCs w:val="24"/>
              </w:rPr>
              <w:t>经自建化粪池处理达标后排污园区污水管网，送至大揽平处理厂处理达标后排放</w:t>
            </w:r>
          </w:p>
        </w:tc>
        <w:tc>
          <w:tcPr>
            <w:tcW w:w="3281" w:type="dxa"/>
            <w:vAlign w:val="center"/>
          </w:tcPr>
          <w:p w14:paraId="4717FF61">
            <w:pPr>
              <w:snapToGrid w:val="0"/>
              <w:jc w:val="center"/>
              <w:rPr>
                <w:sz w:val="24"/>
                <w:szCs w:val="24"/>
              </w:rPr>
            </w:pPr>
            <w:r>
              <w:rPr>
                <w:rFonts w:hint="eastAsia"/>
                <w:sz w:val="24"/>
                <w:szCs w:val="24"/>
              </w:rPr>
              <w:t>大揽平处理厂</w:t>
            </w:r>
            <w:r>
              <w:rPr>
                <w:rFonts w:hint="eastAsia" w:cs="宋体"/>
                <w:sz w:val="24"/>
                <w:szCs w:val="24"/>
              </w:rPr>
              <w:t>纳管标准</w:t>
            </w:r>
          </w:p>
        </w:tc>
      </w:tr>
      <w:tr w14:paraId="4CCE9C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1" w:type="dxa"/>
            <w:vAlign w:val="center"/>
          </w:tcPr>
          <w:p w14:paraId="6F85F1CA">
            <w:pPr>
              <w:snapToGrid w:val="0"/>
              <w:jc w:val="center"/>
              <w:rPr>
                <w:rFonts w:cs="宋体"/>
                <w:sz w:val="24"/>
              </w:rPr>
            </w:pPr>
            <w:r>
              <w:rPr>
                <w:rFonts w:hint="eastAsia" w:cs="宋体"/>
                <w:sz w:val="24"/>
              </w:rPr>
              <w:t>声环境</w:t>
            </w:r>
          </w:p>
        </w:tc>
        <w:tc>
          <w:tcPr>
            <w:tcW w:w="1571" w:type="dxa"/>
            <w:vAlign w:val="center"/>
          </w:tcPr>
          <w:p w14:paraId="0099C8C6">
            <w:pPr>
              <w:snapToGrid w:val="0"/>
              <w:jc w:val="center"/>
              <w:rPr>
                <w:rFonts w:cs="宋体"/>
                <w:sz w:val="24"/>
                <w:szCs w:val="24"/>
              </w:rPr>
            </w:pPr>
            <w:r>
              <w:rPr>
                <w:rFonts w:hint="eastAsia" w:cs="宋体"/>
                <w:sz w:val="24"/>
                <w:szCs w:val="24"/>
              </w:rPr>
              <w:t>设备噪声</w:t>
            </w:r>
          </w:p>
        </w:tc>
        <w:tc>
          <w:tcPr>
            <w:tcW w:w="1122" w:type="dxa"/>
            <w:vAlign w:val="center"/>
          </w:tcPr>
          <w:p w14:paraId="26B8071C">
            <w:pPr>
              <w:snapToGrid w:val="0"/>
              <w:jc w:val="center"/>
              <w:rPr>
                <w:rFonts w:cs="宋体"/>
                <w:sz w:val="24"/>
                <w:szCs w:val="24"/>
              </w:rPr>
            </w:pPr>
            <w:r>
              <w:rPr>
                <w:rFonts w:hint="eastAsia"/>
                <w:sz w:val="24"/>
                <w:szCs w:val="24"/>
              </w:rPr>
              <w:t>连续等效A声级</w:t>
            </w:r>
          </w:p>
        </w:tc>
        <w:tc>
          <w:tcPr>
            <w:tcW w:w="1855" w:type="dxa"/>
            <w:vAlign w:val="center"/>
          </w:tcPr>
          <w:p w14:paraId="7CF572F8">
            <w:pPr>
              <w:snapToGrid w:val="0"/>
              <w:jc w:val="center"/>
              <w:rPr>
                <w:rFonts w:cs="宋体"/>
                <w:sz w:val="24"/>
                <w:szCs w:val="24"/>
              </w:rPr>
            </w:pPr>
            <w:r>
              <w:rPr>
                <w:rFonts w:hint="eastAsia"/>
                <w:sz w:val="24"/>
                <w:szCs w:val="24"/>
              </w:rPr>
              <w:t>隔声、吸声、减振降噪、低噪声设备</w:t>
            </w:r>
          </w:p>
        </w:tc>
        <w:tc>
          <w:tcPr>
            <w:tcW w:w="3281" w:type="dxa"/>
            <w:vAlign w:val="center"/>
          </w:tcPr>
          <w:p w14:paraId="6F488977">
            <w:pPr>
              <w:snapToGrid w:val="0"/>
              <w:jc w:val="center"/>
              <w:rPr>
                <w:rFonts w:cs="宋体"/>
                <w:sz w:val="24"/>
                <w:szCs w:val="24"/>
              </w:rPr>
            </w:pPr>
            <w:r>
              <w:rPr>
                <w:rFonts w:hint="eastAsia" w:cs="宋体"/>
                <w:sz w:val="24"/>
                <w:szCs w:val="24"/>
              </w:rPr>
              <w:t>《工业企业厂界环境噪声排放标准》（GB12348-2008）表1中的3类标准值</w:t>
            </w:r>
          </w:p>
        </w:tc>
      </w:tr>
      <w:tr w14:paraId="1559D3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1" w:type="dxa"/>
            <w:vAlign w:val="center"/>
          </w:tcPr>
          <w:p w14:paraId="2D46A33A">
            <w:pPr>
              <w:snapToGrid w:val="0"/>
              <w:jc w:val="center"/>
              <w:rPr>
                <w:rFonts w:cs="宋体"/>
                <w:sz w:val="24"/>
              </w:rPr>
            </w:pPr>
            <w:r>
              <w:rPr>
                <w:rFonts w:hint="eastAsia" w:cs="宋体"/>
                <w:sz w:val="24"/>
              </w:rPr>
              <w:t>电磁辐射</w:t>
            </w:r>
          </w:p>
        </w:tc>
        <w:tc>
          <w:tcPr>
            <w:tcW w:w="1571" w:type="dxa"/>
            <w:vAlign w:val="center"/>
          </w:tcPr>
          <w:p w14:paraId="09F0BA7F">
            <w:pPr>
              <w:snapToGrid w:val="0"/>
              <w:jc w:val="center"/>
              <w:rPr>
                <w:rFonts w:cs="宋体"/>
                <w:color w:val="auto"/>
                <w:sz w:val="24"/>
              </w:rPr>
            </w:pPr>
            <w:r>
              <w:rPr>
                <w:rFonts w:hint="eastAsia"/>
                <w:color w:val="auto"/>
              </w:rPr>
              <w:t>——</w:t>
            </w:r>
          </w:p>
        </w:tc>
        <w:tc>
          <w:tcPr>
            <w:tcW w:w="1122" w:type="dxa"/>
            <w:vAlign w:val="center"/>
          </w:tcPr>
          <w:p w14:paraId="732F461E">
            <w:pPr>
              <w:snapToGrid w:val="0"/>
              <w:jc w:val="center"/>
              <w:rPr>
                <w:rFonts w:cs="宋体"/>
                <w:color w:val="auto"/>
                <w:sz w:val="24"/>
              </w:rPr>
            </w:pPr>
            <w:r>
              <w:rPr>
                <w:color w:val="auto"/>
              </w:rPr>
              <w:t>——</w:t>
            </w:r>
          </w:p>
        </w:tc>
        <w:tc>
          <w:tcPr>
            <w:tcW w:w="1855" w:type="dxa"/>
            <w:vAlign w:val="center"/>
          </w:tcPr>
          <w:p w14:paraId="77A1DEA3">
            <w:pPr>
              <w:snapToGrid w:val="0"/>
              <w:jc w:val="center"/>
              <w:rPr>
                <w:rFonts w:cs="宋体"/>
                <w:color w:val="auto"/>
                <w:sz w:val="24"/>
              </w:rPr>
            </w:pPr>
            <w:r>
              <w:rPr>
                <w:color w:val="auto"/>
              </w:rPr>
              <w:t>——</w:t>
            </w:r>
          </w:p>
        </w:tc>
        <w:tc>
          <w:tcPr>
            <w:tcW w:w="3281" w:type="dxa"/>
            <w:vAlign w:val="center"/>
          </w:tcPr>
          <w:p w14:paraId="17E7093B">
            <w:pPr>
              <w:snapToGrid w:val="0"/>
              <w:jc w:val="center"/>
              <w:rPr>
                <w:rFonts w:cs="宋体"/>
                <w:color w:val="auto"/>
                <w:sz w:val="24"/>
              </w:rPr>
            </w:pPr>
            <w:r>
              <w:rPr>
                <w:color w:val="auto"/>
              </w:rPr>
              <w:t>——</w:t>
            </w:r>
          </w:p>
        </w:tc>
      </w:tr>
      <w:tr w14:paraId="01220B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971" w:type="dxa"/>
            <w:vAlign w:val="center"/>
          </w:tcPr>
          <w:p w14:paraId="320869A1">
            <w:pPr>
              <w:snapToGrid w:val="0"/>
              <w:jc w:val="center"/>
              <w:rPr>
                <w:rFonts w:cs="宋体"/>
                <w:sz w:val="24"/>
              </w:rPr>
            </w:pPr>
            <w:r>
              <w:rPr>
                <w:rFonts w:hint="eastAsia" w:cs="宋体"/>
                <w:sz w:val="24"/>
              </w:rPr>
              <w:t>固体废物</w:t>
            </w:r>
          </w:p>
        </w:tc>
        <w:tc>
          <w:tcPr>
            <w:tcW w:w="7829" w:type="dxa"/>
            <w:gridSpan w:val="4"/>
            <w:vAlign w:val="center"/>
          </w:tcPr>
          <w:p w14:paraId="7598B7F4">
            <w:pPr>
              <w:snapToGrid w:val="0"/>
              <w:jc w:val="left"/>
              <w:rPr>
                <w:rFonts w:cs="宋体"/>
                <w:color w:val="auto"/>
                <w:sz w:val="24"/>
              </w:rPr>
            </w:pPr>
            <w:r>
              <w:rPr>
                <w:rFonts w:hint="eastAsia" w:cs="宋体"/>
                <w:color w:val="auto"/>
                <w:sz w:val="24"/>
              </w:rPr>
              <w:t>一般固体废物：暂存于产品堆料区内。废土料、沉淀泥渣、收集尘用于路基铺路综合利用；废金属外售钢铁厂综合利用；轻物质、废布袋外售物资回收站。</w:t>
            </w:r>
          </w:p>
          <w:p w14:paraId="078C5FF8">
            <w:pPr>
              <w:snapToGrid w:val="0"/>
              <w:jc w:val="left"/>
              <w:rPr>
                <w:rFonts w:cs="宋体"/>
                <w:color w:val="auto"/>
                <w:sz w:val="24"/>
              </w:rPr>
            </w:pPr>
            <w:r>
              <w:rPr>
                <w:rFonts w:hint="eastAsia" w:cs="宋体"/>
                <w:color w:val="auto"/>
                <w:sz w:val="24"/>
              </w:rPr>
              <w:t>危险废物：废矿物油、废油桶、废含油抹布和手套暂存于危险废物暂存间（10m</w:t>
            </w:r>
            <w:r>
              <w:rPr>
                <w:rFonts w:hint="eastAsia" w:cs="宋体"/>
                <w:color w:val="auto"/>
                <w:sz w:val="24"/>
                <w:vertAlign w:val="superscript"/>
              </w:rPr>
              <w:t>2</w:t>
            </w:r>
            <w:r>
              <w:rPr>
                <w:rFonts w:hint="eastAsia" w:cs="宋体"/>
                <w:color w:val="auto"/>
                <w:sz w:val="24"/>
              </w:rPr>
              <w:t>），定期交由有危险废物处置资质的单位处理。</w:t>
            </w:r>
          </w:p>
          <w:p w14:paraId="1E92CF29">
            <w:pPr>
              <w:snapToGrid w:val="0"/>
              <w:jc w:val="left"/>
              <w:rPr>
                <w:rFonts w:cs="宋体"/>
                <w:color w:val="auto"/>
                <w:sz w:val="24"/>
              </w:rPr>
            </w:pPr>
            <w:bookmarkStart w:id="106" w:name="OLE_LINK99"/>
            <w:r>
              <w:rPr>
                <w:rFonts w:hint="eastAsia" w:cs="宋体"/>
                <w:color w:val="auto"/>
                <w:sz w:val="24"/>
              </w:rPr>
              <w:t>生活垃圾：交由环卫部门处置。</w:t>
            </w:r>
            <w:bookmarkEnd w:id="106"/>
          </w:p>
        </w:tc>
      </w:tr>
      <w:tr w14:paraId="58AE92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971" w:type="dxa"/>
            <w:vAlign w:val="center"/>
          </w:tcPr>
          <w:p w14:paraId="1223ACCC">
            <w:pPr>
              <w:snapToGrid w:val="0"/>
              <w:jc w:val="center"/>
              <w:rPr>
                <w:rFonts w:cs="宋体"/>
                <w:sz w:val="24"/>
              </w:rPr>
            </w:pPr>
            <w:r>
              <w:rPr>
                <w:rFonts w:hint="eastAsia" w:cs="宋体"/>
                <w:sz w:val="24"/>
              </w:rPr>
              <w:t>土壤及地下水</w:t>
            </w:r>
          </w:p>
          <w:p w14:paraId="7DA8DB22">
            <w:pPr>
              <w:snapToGrid w:val="0"/>
              <w:jc w:val="center"/>
              <w:rPr>
                <w:rFonts w:cs="宋体"/>
                <w:sz w:val="24"/>
              </w:rPr>
            </w:pPr>
            <w:r>
              <w:rPr>
                <w:rFonts w:hint="eastAsia" w:cs="宋体"/>
                <w:sz w:val="24"/>
              </w:rPr>
              <w:t>污染防治措施</w:t>
            </w:r>
          </w:p>
        </w:tc>
        <w:tc>
          <w:tcPr>
            <w:tcW w:w="7829" w:type="dxa"/>
            <w:gridSpan w:val="4"/>
            <w:vAlign w:val="center"/>
          </w:tcPr>
          <w:p w14:paraId="51EBA891">
            <w:pPr>
              <w:snapToGrid w:val="0"/>
              <w:jc w:val="left"/>
              <w:rPr>
                <w:rFonts w:cs="宋体"/>
                <w:sz w:val="24"/>
              </w:rPr>
            </w:pPr>
            <w:r>
              <w:rPr>
                <w:rFonts w:hint="eastAsia" w:cs="宋体"/>
                <w:sz w:val="24"/>
              </w:rPr>
              <w:t>按照厂区装置和生产特点做好分区防渗措施，设置环保机构及专责</w:t>
            </w:r>
            <w:r>
              <w:rPr>
                <w:rFonts w:hint="eastAsia" w:cs="宋体"/>
                <w:sz w:val="24"/>
                <w:lang w:eastAsia="zh-CN"/>
              </w:rPr>
              <w:t>人员</w:t>
            </w:r>
            <w:r>
              <w:rPr>
                <w:rFonts w:hint="eastAsia" w:cs="宋体"/>
                <w:sz w:val="24"/>
              </w:rPr>
              <w:t>，建立和完善环保管理及奖惩制度、加强环保设施运行管理等。</w:t>
            </w:r>
          </w:p>
        </w:tc>
      </w:tr>
      <w:tr w14:paraId="79500F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971" w:type="dxa"/>
            <w:vAlign w:val="center"/>
          </w:tcPr>
          <w:p w14:paraId="3C3BD6B2">
            <w:pPr>
              <w:snapToGrid w:val="0"/>
              <w:jc w:val="center"/>
              <w:rPr>
                <w:rFonts w:cs="宋体"/>
                <w:sz w:val="24"/>
              </w:rPr>
            </w:pPr>
            <w:r>
              <w:rPr>
                <w:rFonts w:hint="eastAsia" w:cs="宋体"/>
                <w:sz w:val="24"/>
              </w:rPr>
              <w:t>生态保护措施</w:t>
            </w:r>
          </w:p>
        </w:tc>
        <w:tc>
          <w:tcPr>
            <w:tcW w:w="7829" w:type="dxa"/>
            <w:gridSpan w:val="4"/>
            <w:vAlign w:val="center"/>
          </w:tcPr>
          <w:p w14:paraId="5EA84AF2">
            <w:pPr>
              <w:snapToGrid w:val="0"/>
              <w:jc w:val="center"/>
              <w:rPr>
                <w:rFonts w:cs="宋体"/>
                <w:sz w:val="24"/>
              </w:rPr>
            </w:pPr>
            <w:r>
              <w:rPr>
                <w:rFonts w:hint="eastAsia" w:cs="宋体"/>
                <w:sz w:val="24"/>
              </w:rPr>
              <w:t>/</w:t>
            </w:r>
          </w:p>
        </w:tc>
      </w:tr>
      <w:tr w14:paraId="22C100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71" w:type="dxa"/>
            <w:vAlign w:val="center"/>
          </w:tcPr>
          <w:p w14:paraId="42F14BA2">
            <w:pPr>
              <w:snapToGrid w:val="0"/>
              <w:jc w:val="center"/>
              <w:rPr>
                <w:rFonts w:cs="宋体"/>
                <w:spacing w:val="-8"/>
                <w:sz w:val="24"/>
              </w:rPr>
            </w:pPr>
            <w:r>
              <w:rPr>
                <w:rFonts w:hint="eastAsia" w:cs="宋体"/>
                <w:spacing w:val="-8"/>
                <w:sz w:val="24"/>
              </w:rPr>
              <w:t>环境风险防范措施</w:t>
            </w:r>
          </w:p>
        </w:tc>
        <w:tc>
          <w:tcPr>
            <w:tcW w:w="7829" w:type="dxa"/>
            <w:gridSpan w:val="4"/>
            <w:vAlign w:val="center"/>
          </w:tcPr>
          <w:p w14:paraId="3DEF5C9E">
            <w:pPr>
              <w:pStyle w:val="64"/>
              <w:rPr>
                <w:rFonts w:hint="eastAsia"/>
              </w:rPr>
            </w:pPr>
            <w:r>
              <w:rPr>
                <w:rFonts w:hint="eastAsia"/>
              </w:rPr>
              <w:t>加强设备日常维护，定期组织员工进行环保培训、提高员工环境风险防范意识。</w:t>
            </w:r>
          </w:p>
        </w:tc>
      </w:tr>
      <w:tr w14:paraId="571F27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971" w:type="dxa"/>
            <w:vAlign w:val="center"/>
          </w:tcPr>
          <w:p w14:paraId="61346654">
            <w:pPr>
              <w:snapToGrid w:val="0"/>
              <w:jc w:val="center"/>
              <w:rPr>
                <w:rFonts w:cs="宋体"/>
                <w:spacing w:val="-8"/>
                <w:sz w:val="24"/>
              </w:rPr>
            </w:pPr>
            <w:r>
              <w:rPr>
                <w:rFonts w:hint="eastAsia" w:cs="宋体"/>
                <w:spacing w:val="-8"/>
                <w:sz w:val="24"/>
              </w:rPr>
              <w:t>其他环境管理要求</w:t>
            </w:r>
          </w:p>
        </w:tc>
        <w:tc>
          <w:tcPr>
            <w:tcW w:w="7829" w:type="dxa"/>
            <w:gridSpan w:val="4"/>
            <w:vAlign w:val="center"/>
          </w:tcPr>
          <w:p w14:paraId="324689BF">
            <w:pPr>
              <w:snapToGrid w:val="0"/>
              <w:rPr>
                <w:rFonts w:cs="宋体"/>
                <w:sz w:val="24"/>
              </w:rPr>
            </w:pPr>
            <w:r>
              <w:rPr>
                <w:rFonts w:hint="eastAsia" w:cs="宋体"/>
                <w:sz w:val="24"/>
              </w:rPr>
              <w:t>废气处理设施需由专人维护保养，严格执行操作规程；做好废气处理设施的日常运行记录，建立</w:t>
            </w:r>
            <w:r>
              <w:rPr>
                <w:rFonts w:hint="eastAsia" w:cs="宋体"/>
                <w:sz w:val="24"/>
                <w:lang w:eastAsia="zh-CN"/>
              </w:rPr>
              <w:t>管理台账</w:t>
            </w:r>
            <w:r>
              <w:rPr>
                <w:rFonts w:hint="eastAsia" w:cs="宋体"/>
                <w:sz w:val="24"/>
              </w:rPr>
              <w:t>，了解处理设施的动态信息，确保废气处理设施的正常运行；按照监测计划进行常规检测；排污口规范化管理；根据《建设项目竣工环境保护验收暂行办法》的规定，建设项目竣工后，建设单位应当如实查验、监测、记载建设项目环境保护设施的建设和调试情况，编制验收监测报告。</w:t>
            </w:r>
          </w:p>
        </w:tc>
      </w:tr>
    </w:tbl>
    <w:p w14:paraId="612AD0B4">
      <w:pPr>
        <w:pStyle w:val="2"/>
        <w:rPr>
          <w:snapToGrid w:val="0"/>
        </w:rPr>
      </w:pPr>
      <w:bookmarkStart w:id="107" w:name="_Toc175609278"/>
      <w:bookmarkStart w:id="108" w:name="_Toc203094749"/>
      <w:r>
        <w:rPr>
          <w:rFonts w:hint="eastAsia"/>
          <w:snapToGrid w:val="0"/>
        </w:rPr>
        <w:t>结论</w:t>
      </w:r>
      <w:bookmarkEnd w:id="107"/>
      <w:bookmarkEnd w:id="108"/>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7917F4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center"/>
          </w:tcPr>
          <w:p w14:paraId="42956A33">
            <w:pPr>
              <w:pStyle w:val="3"/>
              <w:ind w:firstLine="480"/>
            </w:pPr>
            <w:r>
              <w:rPr>
                <w:rFonts w:hint="eastAsia"/>
              </w:rPr>
              <w:t>本项目建设符合国家及地方产业政策，区域环境质量现状良好，无重大环境制约因素。评价认为该项目在满足本报告表提出的污染物防治措施与主体工程“三同时”的前提下，废气、噪声、废水达标排放，不会对当地环境质量产生明显不利影响，具有较好的社会效益和环境效益，从环境影响角度分析，该项目是可行的。</w:t>
            </w:r>
          </w:p>
        </w:tc>
      </w:tr>
    </w:tbl>
    <w:p w14:paraId="53465F04">
      <w:pPr>
        <w:sectPr>
          <w:footerReference r:id="rId8" w:type="default"/>
          <w:pgSz w:w="11906" w:h="16838"/>
          <w:pgMar w:top="1701" w:right="1531" w:bottom="1701" w:left="1531" w:header="851" w:footer="851" w:gutter="0"/>
          <w:cols w:space="720" w:num="1"/>
          <w:docGrid w:linePitch="312" w:charSpace="0"/>
        </w:sectPr>
      </w:pPr>
    </w:p>
    <w:p w14:paraId="33C69902">
      <w:pPr>
        <w:pStyle w:val="18"/>
        <w:rPr>
          <w:rFonts w:hint="eastAsia"/>
          <w:snapToGrid w:val="0"/>
        </w:rPr>
      </w:pPr>
      <w:bookmarkStart w:id="109" w:name="_Toc175609279"/>
      <w:r>
        <w:rPr>
          <w:rFonts w:hint="eastAsia"/>
          <w:snapToGrid w:val="0"/>
        </w:rPr>
        <w:t>附表</w:t>
      </w:r>
      <w:bookmarkEnd w:id="109"/>
    </w:p>
    <w:p w14:paraId="64E8AE74">
      <w:pPr>
        <w:pStyle w:val="48"/>
        <w:rPr>
          <w:snapToGrid w:val="0"/>
        </w:rPr>
      </w:pPr>
      <w:r>
        <w:rPr>
          <w:rFonts w:hint="eastAsia"/>
          <w:snapToGrid w:val="0"/>
        </w:rPr>
        <w:t>建设项目污染物排放量汇总表</w:t>
      </w:r>
    </w:p>
    <w:tbl>
      <w:tblPr>
        <w:tblStyle w:val="20"/>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1417"/>
        <w:gridCol w:w="1600"/>
        <w:gridCol w:w="1600"/>
        <w:gridCol w:w="1600"/>
        <w:gridCol w:w="1601"/>
        <w:gridCol w:w="1600"/>
        <w:gridCol w:w="1600"/>
        <w:gridCol w:w="1601"/>
      </w:tblGrid>
      <w:tr w14:paraId="322336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169" w:type="dxa"/>
            <w:tcBorders>
              <w:tl2br w:val="single" w:color="auto" w:sz="4" w:space="0"/>
            </w:tcBorders>
            <w:tcMar>
              <w:left w:w="28" w:type="dxa"/>
              <w:right w:w="28" w:type="dxa"/>
            </w:tcMar>
            <w:vAlign w:val="center"/>
          </w:tcPr>
          <w:p w14:paraId="4D7971FB">
            <w:pPr>
              <w:pStyle w:val="42"/>
              <w:spacing w:beforeLines="0" w:afterLines="0" w:line="240" w:lineRule="auto"/>
              <w:jc w:val="right"/>
              <w:rPr>
                <w:rFonts w:ascii="Times New Roman" w:eastAsia="黑体" w:cs="宋体"/>
                <w:snapToGrid w:val="0"/>
                <w:spacing w:val="-6"/>
                <w:kern w:val="21"/>
                <w:szCs w:val="21"/>
              </w:rPr>
            </w:pPr>
            <w:r>
              <w:rPr>
                <w:rFonts w:hint="eastAsia" w:ascii="Times New Roman" w:eastAsia="黑体" w:cs="宋体"/>
                <w:snapToGrid w:val="0"/>
                <w:spacing w:val="-6"/>
                <w:kern w:val="21"/>
                <w:szCs w:val="21"/>
              </w:rPr>
              <w:t>项目</w:t>
            </w:r>
          </w:p>
          <w:p w14:paraId="47167BDB">
            <w:pPr>
              <w:pStyle w:val="42"/>
              <w:spacing w:beforeLines="0" w:afterLines="0" w:line="240" w:lineRule="auto"/>
              <w:jc w:val="left"/>
              <w:rPr>
                <w:rFonts w:ascii="Times New Roman" w:eastAsia="黑体" w:cs="宋体"/>
                <w:snapToGrid w:val="0"/>
                <w:spacing w:val="-6"/>
                <w:kern w:val="21"/>
                <w:szCs w:val="21"/>
              </w:rPr>
            </w:pPr>
            <w:r>
              <w:rPr>
                <w:rFonts w:hint="eastAsia" w:ascii="Times New Roman" w:eastAsia="黑体" w:cs="宋体"/>
                <w:snapToGrid w:val="0"/>
                <w:spacing w:val="-6"/>
                <w:kern w:val="21"/>
                <w:szCs w:val="21"/>
              </w:rPr>
              <w:t>分类</w:t>
            </w:r>
          </w:p>
        </w:tc>
        <w:tc>
          <w:tcPr>
            <w:tcW w:w="1417" w:type="dxa"/>
            <w:tcMar>
              <w:left w:w="28" w:type="dxa"/>
              <w:right w:w="28" w:type="dxa"/>
            </w:tcMar>
            <w:vAlign w:val="center"/>
          </w:tcPr>
          <w:p w14:paraId="449A59F3">
            <w:pPr>
              <w:pStyle w:val="42"/>
              <w:spacing w:beforeLines="0" w:afterLines="0" w:line="240" w:lineRule="auto"/>
              <w:rPr>
                <w:rFonts w:ascii="Times New Roman" w:eastAsia="黑体" w:cs="宋体"/>
                <w:snapToGrid w:val="0"/>
                <w:spacing w:val="-6"/>
                <w:kern w:val="21"/>
                <w:szCs w:val="21"/>
              </w:rPr>
            </w:pPr>
            <w:r>
              <w:rPr>
                <w:rFonts w:hint="eastAsia" w:ascii="Times New Roman" w:eastAsia="黑体" w:cs="宋体"/>
                <w:snapToGrid w:val="0"/>
                <w:spacing w:val="-6"/>
                <w:kern w:val="21"/>
                <w:szCs w:val="21"/>
              </w:rPr>
              <w:t>污染物名称</w:t>
            </w:r>
          </w:p>
        </w:tc>
        <w:tc>
          <w:tcPr>
            <w:tcW w:w="1600" w:type="dxa"/>
            <w:tcMar>
              <w:left w:w="28" w:type="dxa"/>
              <w:right w:w="28" w:type="dxa"/>
            </w:tcMar>
            <w:vAlign w:val="center"/>
          </w:tcPr>
          <w:p w14:paraId="70798D80">
            <w:pPr>
              <w:pStyle w:val="42"/>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现有工程</w:t>
            </w:r>
          </w:p>
          <w:p w14:paraId="0236599F">
            <w:pPr>
              <w:pStyle w:val="42"/>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排放量（固</w:t>
            </w:r>
            <w:r>
              <w:rPr>
                <w:rFonts w:hint="eastAsia" w:ascii="Times New Roman" w:eastAsia="黑体"/>
                <w:snapToGrid w:val="0"/>
                <w:spacing w:val="-6"/>
                <w:kern w:val="21"/>
                <w:szCs w:val="21"/>
              </w:rPr>
              <w:t>体</w:t>
            </w:r>
            <w:r>
              <w:rPr>
                <w:rFonts w:ascii="Times New Roman" w:eastAsia="黑体"/>
                <w:snapToGrid w:val="0"/>
                <w:spacing w:val="-6"/>
                <w:kern w:val="21"/>
                <w:szCs w:val="21"/>
              </w:rPr>
              <w:t>废</w:t>
            </w:r>
            <w:r>
              <w:rPr>
                <w:rFonts w:hint="eastAsia" w:ascii="Times New Roman" w:eastAsia="黑体"/>
                <w:snapToGrid w:val="0"/>
                <w:spacing w:val="-6"/>
                <w:kern w:val="21"/>
                <w:szCs w:val="21"/>
              </w:rPr>
              <w:t>物</w:t>
            </w:r>
            <w:r>
              <w:rPr>
                <w:rFonts w:ascii="Times New Roman" w:eastAsia="黑体"/>
                <w:snapToGrid w:val="0"/>
                <w:spacing w:val="-6"/>
                <w:kern w:val="21"/>
                <w:szCs w:val="21"/>
              </w:rPr>
              <w:t>产生量）</w:t>
            </w: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1 \* GB3 \* MERGEFORMAT </w:instrText>
            </w:r>
            <w:r>
              <w:rPr>
                <w:rFonts w:ascii="Times New Roman" w:eastAsia="黑体"/>
                <w:snapToGrid w:val="0"/>
                <w:spacing w:val="-6"/>
                <w:kern w:val="21"/>
                <w:szCs w:val="21"/>
              </w:rPr>
              <w:fldChar w:fldCharType="separate"/>
            </w:r>
            <w:r>
              <w:rPr>
                <w:rFonts w:hint="eastAsia" w:hAnsi="宋体" w:cs="宋体"/>
                <w:kern w:val="2"/>
                <w:szCs w:val="21"/>
              </w:rPr>
              <w:t>①</w:t>
            </w:r>
            <w:r>
              <w:rPr>
                <w:rFonts w:ascii="Times New Roman" w:eastAsia="黑体"/>
                <w:snapToGrid w:val="0"/>
                <w:spacing w:val="-6"/>
                <w:kern w:val="21"/>
                <w:szCs w:val="21"/>
              </w:rPr>
              <w:fldChar w:fldCharType="end"/>
            </w:r>
          </w:p>
        </w:tc>
        <w:tc>
          <w:tcPr>
            <w:tcW w:w="1600" w:type="dxa"/>
            <w:tcMar>
              <w:left w:w="28" w:type="dxa"/>
              <w:right w:w="28" w:type="dxa"/>
            </w:tcMar>
            <w:vAlign w:val="center"/>
          </w:tcPr>
          <w:p w14:paraId="7A18CE73">
            <w:pPr>
              <w:pStyle w:val="42"/>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现有工程</w:t>
            </w:r>
          </w:p>
          <w:p w14:paraId="24B4F9A2">
            <w:pPr>
              <w:pStyle w:val="42"/>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许可排放量</w:t>
            </w:r>
          </w:p>
          <w:p w14:paraId="4DD97CF7">
            <w:pPr>
              <w:pStyle w:val="42"/>
              <w:spacing w:beforeLines="0" w:afterLines="0"/>
              <w:rPr>
                <w:rFonts w:ascii="Times New Roman" w:eastAsia="黑体"/>
                <w:snapToGrid w:val="0"/>
                <w:spacing w:val="-6"/>
                <w:kern w:val="21"/>
                <w:szCs w:val="21"/>
              </w:rPr>
            </w:pP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2 \* GB3 \* MERGEFORMAT </w:instrText>
            </w:r>
            <w:r>
              <w:rPr>
                <w:rFonts w:ascii="Times New Roman" w:eastAsia="黑体"/>
                <w:snapToGrid w:val="0"/>
                <w:spacing w:val="-6"/>
                <w:kern w:val="21"/>
                <w:szCs w:val="21"/>
              </w:rPr>
              <w:fldChar w:fldCharType="separate"/>
            </w:r>
            <w:r>
              <w:rPr>
                <w:rFonts w:hint="eastAsia" w:hAnsi="宋体" w:cs="宋体"/>
                <w:snapToGrid w:val="0"/>
                <w:spacing w:val="-6"/>
                <w:kern w:val="21"/>
                <w:szCs w:val="21"/>
              </w:rPr>
              <w:t>②</w:t>
            </w:r>
            <w:r>
              <w:rPr>
                <w:rFonts w:ascii="Times New Roman" w:eastAsia="黑体"/>
                <w:snapToGrid w:val="0"/>
                <w:spacing w:val="-6"/>
                <w:kern w:val="21"/>
                <w:szCs w:val="21"/>
              </w:rPr>
              <w:fldChar w:fldCharType="end"/>
            </w:r>
          </w:p>
        </w:tc>
        <w:tc>
          <w:tcPr>
            <w:tcW w:w="1600" w:type="dxa"/>
            <w:tcMar>
              <w:left w:w="28" w:type="dxa"/>
              <w:right w:w="28" w:type="dxa"/>
            </w:tcMar>
            <w:vAlign w:val="center"/>
          </w:tcPr>
          <w:p w14:paraId="2B9BE3A7">
            <w:pPr>
              <w:pStyle w:val="42"/>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在建工程</w:t>
            </w:r>
          </w:p>
          <w:p w14:paraId="167941EE">
            <w:pPr>
              <w:pStyle w:val="42"/>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排放量（固</w:t>
            </w:r>
            <w:r>
              <w:rPr>
                <w:rFonts w:hint="eastAsia" w:ascii="Times New Roman" w:eastAsia="黑体"/>
                <w:snapToGrid w:val="0"/>
                <w:spacing w:val="-6"/>
                <w:kern w:val="21"/>
                <w:szCs w:val="21"/>
              </w:rPr>
              <w:t>体</w:t>
            </w:r>
            <w:r>
              <w:rPr>
                <w:rFonts w:ascii="Times New Roman" w:eastAsia="黑体"/>
                <w:snapToGrid w:val="0"/>
                <w:spacing w:val="-6"/>
                <w:kern w:val="21"/>
                <w:szCs w:val="21"/>
              </w:rPr>
              <w:t>废</w:t>
            </w:r>
            <w:r>
              <w:rPr>
                <w:rFonts w:hint="eastAsia" w:ascii="Times New Roman" w:eastAsia="黑体"/>
                <w:snapToGrid w:val="0"/>
                <w:spacing w:val="-6"/>
                <w:kern w:val="21"/>
                <w:szCs w:val="21"/>
              </w:rPr>
              <w:t>物</w:t>
            </w:r>
            <w:r>
              <w:rPr>
                <w:rFonts w:ascii="Times New Roman" w:eastAsia="黑体"/>
                <w:snapToGrid w:val="0"/>
                <w:spacing w:val="-6"/>
                <w:kern w:val="21"/>
                <w:szCs w:val="21"/>
              </w:rPr>
              <w:t>产生量）</w:t>
            </w: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3 \* GB3 \* MERGEFORMAT </w:instrText>
            </w:r>
            <w:r>
              <w:rPr>
                <w:rFonts w:ascii="Times New Roman" w:eastAsia="黑体"/>
                <w:snapToGrid w:val="0"/>
                <w:spacing w:val="-6"/>
                <w:kern w:val="21"/>
                <w:szCs w:val="21"/>
              </w:rPr>
              <w:fldChar w:fldCharType="separate"/>
            </w:r>
            <w:r>
              <w:rPr>
                <w:rFonts w:hint="eastAsia" w:hAnsi="宋体" w:cs="宋体"/>
                <w:kern w:val="2"/>
                <w:szCs w:val="21"/>
              </w:rPr>
              <w:t>③</w:t>
            </w:r>
            <w:r>
              <w:rPr>
                <w:rFonts w:ascii="Times New Roman" w:eastAsia="黑体"/>
                <w:snapToGrid w:val="0"/>
                <w:spacing w:val="-6"/>
                <w:kern w:val="21"/>
                <w:szCs w:val="21"/>
              </w:rPr>
              <w:fldChar w:fldCharType="end"/>
            </w:r>
          </w:p>
        </w:tc>
        <w:tc>
          <w:tcPr>
            <w:tcW w:w="1601" w:type="dxa"/>
            <w:tcMar>
              <w:left w:w="28" w:type="dxa"/>
              <w:right w:w="28" w:type="dxa"/>
            </w:tcMar>
            <w:vAlign w:val="center"/>
          </w:tcPr>
          <w:p w14:paraId="44E30D25">
            <w:pPr>
              <w:pStyle w:val="42"/>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本项目</w:t>
            </w:r>
          </w:p>
          <w:p w14:paraId="557C1B6F">
            <w:pPr>
              <w:pStyle w:val="42"/>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排放量（固</w:t>
            </w:r>
            <w:r>
              <w:rPr>
                <w:rFonts w:hint="eastAsia" w:ascii="Times New Roman" w:eastAsia="黑体"/>
                <w:snapToGrid w:val="0"/>
                <w:spacing w:val="-6"/>
                <w:kern w:val="21"/>
                <w:szCs w:val="21"/>
              </w:rPr>
              <w:t>体</w:t>
            </w:r>
            <w:r>
              <w:rPr>
                <w:rFonts w:ascii="Times New Roman" w:eastAsia="黑体"/>
                <w:snapToGrid w:val="0"/>
                <w:spacing w:val="-6"/>
                <w:kern w:val="21"/>
                <w:szCs w:val="21"/>
              </w:rPr>
              <w:t>废</w:t>
            </w:r>
            <w:r>
              <w:rPr>
                <w:rFonts w:hint="eastAsia" w:ascii="Times New Roman" w:eastAsia="黑体"/>
                <w:snapToGrid w:val="0"/>
                <w:spacing w:val="-6"/>
                <w:kern w:val="21"/>
                <w:szCs w:val="21"/>
              </w:rPr>
              <w:t>物</w:t>
            </w:r>
            <w:r>
              <w:rPr>
                <w:rFonts w:ascii="Times New Roman" w:eastAsia="黑体"/>
                <w:snapToGrid w:val="0"/>
                <w:spacing w:val="-6"/>
                <w:kern w:val="21"/>
                <w:szCs w:val="21"/>
              </w:rPr>
              <w:t>产生量）</w:t>
            </w: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4 \* GB3 \* MERGEFORMAT </w:instrText>
            </w:r>
            <w:r>
              <w:rPr>
                <w:rFonts w:ascii="Times New Roman" w:eastAsia="黑体"/>
                <w:snapToGrid w:val="0"/>
                <w:spacing w:val="-6"/>
                <w:kern w:val="21"/>
                <w:szCs w:val="21"/>
              </w:rPr>
              <w:fldChar w:fldCharType="separate"/>
            </w:r>
            <w:r>
              <w:rPr>
                <w:rFonts w:hint="eastAsia" w:hAnsi="宋体" w:cs="宋体"/>
                <w:kern w:val="2"/>
                <w:szCs w:val="21"/>
              </w:rPr>
              <w:t>④</w:t>
            </w:r>
            <w:r>
              <w:rPr>
                <w:rFonts w:ascii="Times New Roman" w:eastAsia="黑体"/>
                <w:snapToGrid w:val="0"/>
                <w:spacing w:val="-6"/>
                <w:kern w:val="21"/>
                <w:szCs w:val="21"/>
              </w:rPr>
              <w:fldChar w:fldCharType="end"/>
            </w:r>
          </w:p>
        </w:tc>
        <w:tc>
          <w:tcPr>
            <w:tcW w:w="1600" w:type="dxa"/>
            <w:tcMar>
              <w:left w:w="28" w:type="dxa"/>
              <w:right w:w="28" w:type="dxa"/>
            </w:tcMar>
            <w:vAlign w:val="center"/>
          </w:tcPr>
          <w:p w14:paraId="153546BF">
            <w:pPr>
              <w:pStyle w:val="42"/>
              <w:spacing w:beforeLines="0" w:afterLines="0" w:line="240" w:lineRule="auto"/>
              <w:rPr>
                <w:rFonts w:ascii="Times New Roman" w:eastAsia="黑体"/>
                <w:snapToGrid w:val="0"/>
                <w:spacing w:val="-16"/>
                <w:kern w:val="21"/>
                <w:szCs w:val="21"/>
              </w:rPr>
            </w:pPr>
            <w:r>
              <w:rPr>
                <w:rFonts w:ascii="Times New Roman" w:eastAsia="黑体"/>
                <w:snapToGrid w:val="0"/>
                <w:spacing w:val="-16"/>
                <w:kern w:val="21"/>
                <w:szCs w:val="21"/>
              </w:rPr>
              <w:t>以新带老削减量</w:t>
            </w:r>
          </w:p>
          <w:p w14:paraId="37E7C390">
            <w:pPr>
              <w:pStyle w:val="42"/>
              <w:spacing w:beforeLines="0" w:afterLines="0" w:line="240" w:lineRule="auto"/>
              <w:rPr>
                <w:rFonts w:ascii="Times New Roman" w:eastAsia="黑体"/>
                <w:snapToGrid w:val="0"/>
                <w:spacing w:val="-16"/>
                <w:kern w:val="21"/>
                <w:szCs w:val="21"/>
              </w:rPr>
            </w:pPr>
            <w:r>
              <w:rPr>
                <w:rFonts w:ascii="Times New Roman" w:eastAsia="黑体"/>
                <w:snapToGrid w:val="0"/>
                <w:spacing w:val="-16"/>
                <w:kern w:val="21"/>
                <w:szCs w:val="21"/>
              </w:rPr>
              <w:t>（新建项目不填）</w:t>
            </w:r>
            <w:r>
              <w:rPr>
                <w:rFonts w:ascii="Times New Roman" w:eastAsia="黑体"/>
                <w:snapToGrid w:val="0"/>
                <w:spacing w:val="-16"/>
                <w:kern w:val="21"/>
                <w:szCs w:val="21"/>
              </w:rPr>
              <w:fldChar w:fldCharType="begin"/>
            </w:r>
            <w:r>
              <w:rPr>
                <w:rFonts w:ascii="Times New Roman" w:eastAsia="黑体"/>
                <w:snapToGrid w:val="0"/>
                <w:spacing w:val="-16"/>
                <w:kern w:val="21"/>
                <w:szCs w:val="21"/>
              </w:rPr>
              <w:instrText xml:space="preserve"> = 5 \* GB3 \* MERGEFORMAT </w:instrText>
            </w:r>
            <w:r>
              <w:rPr>
                <w:rFonts w:ascii="Times New Roman" w:eastAsia="黑体"/>
                <w:snapToGrid w:val="0"/>
                <w:spacing w:val="-16"/>
                <w:kern w:val="21"/>
                <w:szCs w:val="21"/>
              </w:rPr>
              <w:fldChar w:fldCharType="separate"/>
            </w:r>
            <w:r>
              <w:rPr>
                <w:rFonts w:hint="eastAsia" w:hAnsi="宋体" w:cs="宋体"/>
                <w:kern w:val="2"/>
                <w:szCs w:val="21"/>
              </w:rPr>
              <w:t>⑤</w:t>
            </w:r>
            <w:r>
              <w:rPr>
                <w:rFonts w:ascii="Times New Roman" w:eastAsia="黑体"/>
                <w:snapToGrid w:val="0"/>
                <w:spacing w:val="-16"/>
                <w:kern w:val="21"/>
                <w:szCs w:val="21"/>
              </w:rPr>
              <w:fldChar w:fldCharType="end"/>
            </w:r>
          </w:p>
        </w:tc>
        <w:tc>
          <w:tcPr>
            <w:tcW w:w="1600" w:type="dxa"/>
            <w:tcMar>
              <w:left w:w="28" w:type="dxa"/>
              <w:right w:w="28" w:type="dxa"/>
            </w:tcMar>
            <w:vAlign w:val="center"/>
          </w:tcPr>
          <w:p w14:paraId="51462B4D">
            <w:pPr>
              <w:pStyle w:val="42"/>
              <w:spacing w:beforeLines="0" w:afterLines="0" w:line="240" w:lineRule="auto"/>
              <w:rPr>
                <w:rFonts w:ascii="Times New Roman" w:eastAsia="黑体"/>
                <w:snapToGrid w:val="0"/>
                <w:spacing w:val="-16"/>
                <w:kern w:val="21"/>
                <w:szCs w:val="21"/>
              </w:rPr>
            </w:pPr>
            <w:r>
              <w:rPr>
                <w:rFonts w:ascii="Times New Roman" w:eastAsia="黑体"/>
                <w:snapToGrid w:val="0"/>
                <w:spacing w:val="-16"/>
                <w:kern w:val="21"/>
                <w:szCs w:val="21"/>
              </w:rPr>
              <w:t>本项目建成后</w:t>
            </w:r>
          </w:p>
          <w:p w14:paraId="0BF80776">
            <w:pPr>
              <w:pStyle w:val="42"/>
              <w:spacing w:beforeLines="0" w:afterLines="0" w:line="240" w:lineRule="auto"/>
              <w:rPr>
                <w:rFonts w:ascii="Times New Roman" w:eastAsia="黑体"/>
                <w:snapToGrid w:val="0"/>
                <w:spacing w:val="-16"/>
                <w:kern w:val="21"/>
                <w:szCs w:val="21"/>
              </w:rPr>
            </w:pPr>
            <w:r>
              <w:rPr>
                <w:rFonts w:hint="eastAsia" w:ascii="Times New Roman" w:eastAsia="黑体"/>
                <w:snapToGrid w:val="0"/>
                <w:spacing w:val="-16"/>
                <w:kern w:val="21"/>
                <w:szCs w:val="21"/>
              </w:rPr>
              <w:t>全厂</w:t>
            </w:r>
            <w:r>
              <w:rPr>
                <w:rFonts w:ascii="Times New Roman" w:eastAsia="黑体"/>
                <w:snapToGrid w:val="0"/>
                <w:spacing w:val="-16"/>
                <w:kern w:val="21"/>
                <w:szCs w:val="21"/>
              </w:rPr>
              <w:t>排放量（固</w:t>
            </w:r>
            <w:r>
              <w:rPr>
                <w:rFonts w:hint="eastAsia" w:ascii="Times New Roman" w:eastAsia="黑体"/>
                <w:snapToGrid w:val="0"/>
                <w:spacing w:val="-16"/>
                <w:kern w:val="21"/>
                <w:szCs w:val="21"/>
              </w:rPr>
              <w:t>体</w:t>
            </w:r>
            <w:r>
              <w:rPr>
                <w:rFonts w:ascii="Times New Roman" w:eastAsia="黑体"/>
                <w:snapToGrid w:val="0"/>
                <w:spacing w:val="-16"/>
                <w:kern w:val="21"/>
                <w:szCs w:val="21"/>
              </w:rPr>
              <w:t>废</w:t>
            </w:r>
            <w:r>
              <w:rPr>
                <w:rFonts w:hint="eastAsia" w:ascii="Times New Roman" w:eastAsia="黑体"/>
                <w:snapToGrid w:val="0"/>
                <w:spacing w:val="-16"/>
                <w:kern w:val="21"/>
                <w:szCs w:val="21"/>
              </w:rPr>
              <w:t>物</w:t>
            </w:r>
            <w:r>
              <w:rPr>
                <w:rFonts w:ascii="Times New Roman" w:eastAsia="黑体"/>
                <w:snapToGrid w:val="0"/>
                <w:spacing w:val="-16"/>
                <w:kern w:val="21"/>
                <w:szCs w:val="21"/>
              </w:rPr>
              <w:t>产生量）</w:t>
            </w:r>
            <w:r>
              <w:rPr>
                <w:rFonts w:ascii="Times New Roman" w:eastAsia="黑体"/>
                <w:snapToGrid w:val="0"/>
                <w:spacing w:val="-16"/>
                <w:kern w:val="21"/>
                <w:szCs w:val="21"/>
              </w:rPr>
              <w:fldChar w:fldCharType="begin"/>
            </w:r>
            <w:r>
              <w:rPr>
                <w:rFonts w:ascii="Times New Roman" w:eastAsia="黑体"/>
                <w:snapToGrid w:val="0"/>
                <w:spacing w:val="-16"/>
                <w:kern w:val="21"/>
                <w:szCs w:val="21"/>
              </w:rPr>
              <w:instrText xml:space="preserve"> = 6 \* GB3 \* MERGEFORMAT </w:instrText>
            </w:r>
            <w:r>
              <w:rPr>
                <w:rFonts w:ascii="Times New Roman" w:eastAsia="黑体"/>
                <w:snapToGrid w:val="0"/>
                <w:spacing w:val="-16"/>
                <w:kern w:val="21"/>
                <w:szCs w:val="21"/>
              </w:rPr>
              <w:fldChar w:fldCharType="separate"/>
            </w:r>
            <w:r>
              <w:rPr>
                <w:rFonts w:hint="eastAsia" w:hAnsi="宋体" w:cs="宋体"/>
                <w:kern w:val="2"/>
                <w:szCs w:val="21"/>
              </w:rPr>
              <w:t>⑥</w:t>
            </w:r>
            <w:r>
              <w:rPr>
                <w:rFonts w:ascii="Times New Roman" w:eastAsia="黑体"/>
                <w:snapToGrid w:val="0"/>
                <w:spacing w:val="-16"/>
                <w:kern w:val="21"/>
                <w:szCs w:val="21"/>
              </w:rPr>
              <w:fldChar w:fldCharType="end"/>
            </w:r>
          </w:p>
        </w:tc>
        <w:tc>
          <w:tcPr>
            <w:tcW w:w="1601" w:type="dxa"/>
            <w:tcMar>
              <w:left w:w="28" w:type="dxa"/>
              <w:right w:w="28" w:type="dxa"/>
            </w:tcMar>
            <w:vAlign w:val="center"/>
          </w:tcPr>
          <w:p w14:paraId="4542EF37">
            <w:pPr>
              <w:pStyle w:val="42"/>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变化量</w:t>
            </w:r>
          </w:p>
          <w:p w14:paraId="33DFF769">
            <w:pPr>
              <w:pStyle w:val="42"/>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7 \* GB3 \* MERGEFORMAT </w:instrText>
            </w:r>
            <w:r>
              <w:rPr>
                <w:rFonts w:ascii="Times New Roman" w:eastAsia="黑体"/>
                <w:snapToGrid w:val="0"/>
                <w:spacing w:val="-6"/>
                <w:kern w:val="21"/>
                <w:szCs w:val="21"/>
              </w:rPr>
              <w:fldChar w:fldCharType="separate"/>
            </w:r>
            <w:r>
              <w:rPr>
                <w:rFonts w:hint="eastAsia" w:hAnsi="宋体" w:cs="宋体"/>
                <w:kern w:val="2"/>
                <w:szCs w:val="21"/>
              </w:rPr>
              <w:t>⑦</w:t>
            </w:r>
            <w:r>
              <w:rPr>
                <w:rFonts w:ascii="Times New Roman" w:eastAsia="黑体"/>
                <w:snapToGrid w:val="0"/>
                <w:spacing w:val="-6"/>
                <w:kern w:val="21"/>
                <w:szCs w:val="21"/>
              </w:rPr>
              <w:fldChar w:fldCharType="end"/>
            </w:r>
          </w:p>
        </w:tc>
      </w:tr>
      <w:tr w14:paraId="0575B3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69" w:type="dxa"/>
            <w:vAlign w:val="center"/>
          </w:tcPr>
          <w:p w14:paraId="0BE47364">
            <w:pPr>
              <w:pStyle w:val="42"/>
              <w:spacing w:beforeLines="0" w:afterLines="0" w:line="240" w:lineRule="auto"/>
              <w:rPr>
                <w:rFonts w:ascii="Times New Roman" w:cs="宋体"/>
                <w:snapToGrid w:val="0"/>
                <w:kern w:val="21"/>
                <w:szCs w:val="21"/>
              </w:rPr>
            </w:pPr>
            <w:r>
              <w:rPr>
                <w:rFonts w:hint="eastAsia" w:ascii="Times New Roman" w:cs="宋体"/>
                <w:snapToGrid w:val="0"/>
                <w:kern w:val="21"/>
                <w:szCs w:val="21"/>
              </w:rPr>
              <w:t>废气</w:t>
            </w:r>
          </w:p>
        </w:tc>
        <w:tc>
          <w:tcPr>
            <w:tcW w:w="1417" w:type="dxa"/>
            <w:vAlign w:val="center"/>
          </w:tcPr>
          <w:p w14:paraId="562B83C4">
            <w:pPr>
              <w:pStyle w:val="42"/>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颗粒物</w:t>
            </w:r>
          </w:p>
        </w:tc>
        <w:tc>
          <w:tcPr>
            <w:tcW w:w="1600" w:type="dxa"/>
            <w:vAlign w:val="center"/>
          </w:tcPr>
          <w:p w14:paraId="5E6AD822">
            <w:pPr>
              <w:pStyle w:val="42"/>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w:t>
            </w:r>
          </w:p>
        </w:tc>
        <w:tc>
          <w:tcPr>
            <w:tcW w:w="1600" w:type="dxa"/>
            <w:vAlign w:val="center"/>
          </w:tcPr>
          <w:p w14:paraId="43F279B3">
            <w:pPr>
              <w:pStyle w:val="42"/>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w:t>
            </w:r>
          </w:p>
        </w:tc>
        <w:tc>
          <w:tcPr>
            <w:tcW w:w="1600" w:type="dxa"/>
            <w:vAlign w:val="center"/>
          </w:tcPr>
          <w:p w14:paraId="4833B0B4">
            <w:pPr>
              <w:pStyle w:val="42"/>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w:t>
            </w:r>
          </w:p>
        </w:tc>
        <w:tc>
          <w:tcPr>
            <w:tcW w:w="1601" w:type="dxa"/>
            <w:vAlign w:val="center"/>
          </w:tcPr>
          <w:p w14:paraId="020EB9B8">
            <w:pPr>
              <w:rPr>
                <w:snapToGrid w:val="0"/>
                <w:color w:val="auto"/>
                <w:kern w:val="21"/>
              </w:rPr>
            </w:pPr>
            <w:r>
              <w:rPr>
                <w:rFonts w:ascii="宋体"/>
                <w:color w:val="auto"/>
                <w:szCs w:val="20"/>
              </w:rPr>
              <w:t>13.</w:t>
            </w:r>
            <w:r>
              <w:rPr>
                <w:rFonts w:hint="eastAsia" w:ascii="宋体"/>
                <w:color w:val="auto"/>
                <w:szCs w:val="20"/>
              </w:rPr>
              <w:t>822</w:t>
            </w:r>
            <w:r>
              <w:rPr>
                <w:rFonts w:ascii="宋体"/>
                <w:color w:val="auto"/>
                <w:szCs w:val="20"/>
              </w:rPr>
              <w:t xml:space="preserve"> t/a</w:t>
            </w:r>
          </w:p>
        </w:tc>
        <w:tc>
          <w:tcPr>
            <w:tcW w:w="1600" w:type="dxa"/>
            <w:vAlign w:val="center"/>
          </w:tcPr>
          <w:p w14:paraId="09F77089">
            <w:pPr>
              <w:pStyle w:val="4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600" w:type="dxa"/>
            <w:vAlign w:val="center"/>
          </w:tcPr>
          <w:p w14:paraId="74A4DD15">
            <w:pPr>
              <w:pStyle w:val="42"/>
              <w:spacing w:beforeLines="0" w:afterLines="0" w:line="240" w:lineRule="auto"/>
              <w:rPr>
                <w:rFonts w:ascii="Times New Roman"/>
                <w:snapToGrid w:val="0"/>
                <w:color w:val="auto"/>
                <w:kern w:val="21"/>
                <w:szCs w:val="21"/>
              </w:rPr>
            </w:pPr>
            <w:r>
              <w:rPr>
                <w:color w:val="auto"/>
              </w:rPr>
              <w:t>13.</w:t>
            </w:r>
            <w:r>
              <w:rPr>
                <w:rFonts w:hint="eastAsia"/>
                <w:color w:val="auto"/>
              </w:rPr>
              <w:t>822</w:t>
            </w:r>
            <w:r>
              <w:rPr>
                <w:color w:val="auto"/>
              </w:rPr>
              <w:t xml:space="preserve"> t/a</w:t>
            </w:r>
          </w:p>
        </w:tc>
        <w:tc>
          <w:tcPr>
            <w:tcW w:w="1601" w:type="dxa"/>
            <w:vAlign w:val="center"/>
          </w:tcPr>
          <w:p w14:paraId="73C270FE">
            <w:pPr>
              <w:pStyle w:val="42"/>
              <w:spacing w:beforeLines="0" w:afterLines="0" w:line="240" w:lineRule="auto"/>
              <w:rPr>
                <w:rFonts w:ascii="Times New Roman"/>
                <w:snapToGrid w:val="0"/>
                <w:color w:val="auto"/>
                <w:kern w:val="21"/>
                <w:szCs w:val="21"/>
              </w:rPr>
            </w:pPr>
            <w:r>
              <w:rPr>
                <w:color w:val="auto"/>
              </w:rPr>
              <w:t>13.</w:t>
            </w:r>
            <w:r>
              <w:rPr>
                <w:rFonts w:hint="eastAsia"/>
                <w:color w:val="auto"/>
              </w:rPr>
              <w:t>822</w:t>
            </w:r>
            <w:r>
              <w:rPr>
                <w:color w:val="auto"/>
              </w:rPr>
              <w:t xml:space="preserve"> t/a</w:t>
            </w:r>
          </w:p>
        </w:tc>
      </w:tr>
      <w:tr w14:paraId="4EDE5C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69" w:type="dxa"/>
            <w:vMerge w:val="restart"/>
            <w:vAlign w:val="center"/>
          </w:tcPr>
          <w:p w14:paraId="13FBD6B6">
            <w:pPr>
              <w:pStyle w:val="42"/>
              <w:spacing w:beforeLines="0" w:afterLines="0" w:line="240" w:lineRule="auto"/>
              <w:rPr>
                <w:rFonts w:ascii="Times New Roman" w:cs="宋体"/>
                <w:snapToGrid w:val="0"/>
                <w:kern w:val="21"/>
                <w:szCs w:val="21"/>
              </w:rPr>
            </w:pPr>
            <w:r>
              <w:rPr>
                <w:rFonts w:hint="eastAsia" w:ascii="Times New Roman" w:cs="宋体"/>
                <w:snapToGrid w:val="0"/>
                <w:kern w:val="21"/>
                <w:szCs w:val="21"/>
              </w:rPr>
              <w:t>废水</w:t>
            </w:r>
          </w:p>
        </w:tc>
        <w:tc>
          <w:tcPr>
            <w:tcW w:w="1417" w:type="dxa"/>
            <w:vAlign w:val="center"/>
          </w:tcPr>
          <w:p w14:paraId="3F68B32C">
            <w:pPr>
              <w:pStyle w:val="42"/>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C</w:t>
            </w:r>
            <w:r>
              <w:rPr>
                <w:rFonts w:ascii="Times New Roman" w:cs="宋体"/>
                <w:snapToGrid w:val="0"/>
                <w:color w:val="auto"/>
                <w:kern w:val="21"/>
                <w:szCs w:val="21"/>
              </w:rPr>
              <w:t>OD</w:t>
            </w:r>
          </w:p>
        </w:tc>
        <w:tc>
          <w:tcPr>
            <w:tcW w:w="1600" w:type="dxa"/>
            <w:vAlign w:val="center"/>
          </w:tcPr>
          <w:p w14:paraId="2EAE7B86">
            <w:pPr>
              <w:pStyle w:val="42"/>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w:t>
            </w:r>
          </w:p>
        </w:tc>
        <w:tc>
          <w:tcPr>
            <w:tcW w:w="1600" w:type="dxa"/>
            <w:vAlign w:val="center"/>
          </w:tcPr>
          <w:p w14:paraId="76C583AA">
            <w:pPr>
              <w:pStyle w:val="42"/>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w:t>
            </w:r>
          </w:p>
        </w:tc>
        <w:tc>
          <w:tcPr>
            <w:tcW w:w="1600" w:type="dxa"/>
            <w:vAlign w:val="center"/>
          </w:tcPr>
          <w:p w14:paraId="1259159C">
            <w:pPr>
              <w:pStyle w:val="42"/>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w:t>
            </w:r>
          </w:p>
        </w:tc>
        <w:tc>
          <w:tcPr>
            <w:tcW w:w="1601" w:type="dxa"/>
            <w:vAlign w:val="center"/>
          </w:tcPr>
          <w:p w14:paraId="7E9EB718">
            <w:pPr>
              <w:pStyle w:val="42"/>
              <w:spacing w:beforeLines="0" w:afterLines="0" w:line="240" w:lineRule="auto"/>
              <w:rPr>
                <w:rFonts w:ascii="Times New Roman"/>
                <w:snapToGrid w:val="0"/>
                <w:color w:val="auto"/>
                <w:kern w:val="21"/>
                <w:szCs w:val="21"/>
              </w:rPr>
            </w:pPr>
            <w:r>
              <w:rPr>
                <w:color w:val="auto"/>
              </w:rPr>
              <w:t>0.01</w:t>
            </w:r>
            <w:r>
              <w:rPr>
                <w:rFonts w:ascii="Times New Roman"/>
                <w:snapToGrid w:val="0"/>
                <w:color w:val="auto"/>
                <w:kern w:val="21"/>
                <w:szCs w:val="21"/>
              </w:rPr>
              <w:t>t/a</w:t>
            </w:r>
          </w:p>
        </w:tc>
        <w:tc>
          <w:tcPr>
            <w:tcW w:w="1600" w:type="dxa"/>
            <w:vAlign w:val="center"/>
          </w:tcPr>
          <w:p w14:paraId="29E3011E">
            <w:pPr>
              <w:pStyle w:val="4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600" w:type="dxa"/>
            <w:vAlign w:val="center"/>
          </w:tcPr>
          <w:p w14:paraId="04AE96DF">
            <w:pPr>
              <w:pStyle w:val="42"/>
              <w:spacing w:beforeLines="0" w:afterLines="0" w:line="240" w:lineRule="auto"/>
              <w:rPr>
                <w:rFonts w:ascii="Times New Roman"/>
                <w:snapToGrid w:val="0"/>
                <w:color w:val="auto"/>
                <w:kern w:val="21"/>
                <w:szCs w:val="21"/>
              </w:rPr>
            </w:pPr>
            <w:r>
              <w:rPr>
                <w:color w:val="auto"/>
              </w:rPr>
              <w:t>0.01</w:t>
            </w:r>
            <w:r>
              <w:rPr>
                <w:rFonts w:ascii="Times New Roman"/>
                <w:snapToGrid w:val="0"/>
                <w:color w:val="auto"/>
                <w:kern w:val="21"/>
                <w:szCs w:val="21"/>
              </w:rPr>
              <w:t>/a</w:t>
            </w:r>
          </w:p>
        </w:tc>
        <w:tc>
          <w:tcPr>
            <w:tcW w:w="1601" w:type="dxa"/>
            <w:vAlign w:val="center"/>
          </w:tcPr>
          <w:p w14:paraId="38DE9A9D">
            <w:pPr>
              <w:pStyle w:val="42"/>
              <w:spacing w:beforeLines="0" w:afterLines="0" w:line="240" w:lineRule="auto"/>
              <w:rPr>
                <w:rFonts w:ascii="Times New Roman"/>
                <w:snapToGrid w:val="0"/>
                <w:color w:val="auto"/>
                <w:kern w:val="21"/>
                <w:szCs w:val="21"/>
              </w:rPr>
            </w:pPr>
            <w:r>
              <w:rPr>
                <w:color w:val="auto"/>
              </w:rPr>
              <w:t>0.01</w:t>
            </w:r>
            <w:r>
              <w:rPr>
                <w:rFonts w:ascii="Times New Roman"/>
                <w:snapToGrid w:val="0"/>
                <w:color w:val="auto"/>
                <w:kern w:val="21"/>
                <w:szCs w:val="21"/>
              </w:rPr>
              <w:t>/a</w:t>
            </w:r>
          </w:p>
        </w:tc>
      </w:tr>
      <w:tr w14:paraId="2729FA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69" w:type="dxa"/>
            <w:vMerge w:val="continue"/>
            <w:vAlign w:val="center"/>
          </w:tcPr>
          <w:p w14:paraId="43885CC0">
            <w:pPr>
              <w:pStyle w:val="42"/>
              <w:spacing w:beforeLines="0" w:afterLines="0" w:line="240" w:lineRule="auto"/>
              <w:rPr>
                <w:rFonts w:ascii="Times New Roman" w:cs="宋体"/>
                <w:snapToGrid w:val="0"/>
                <w:kern w:val="21"/>
                <w:szCs w:val="21"/>
              </w:rPr>
            </w:pPr>
          </w:p>
        </w:tc>
        <w:tc>
          <w:tcPr>
            <w:tcW w:w="1417" w:type="dxa"/>
            <w:vAlign w:val="center"/>
          </w:tcPr>
          <w:p w14:paraId="615B1CF8">
            <w:pPr>
              <w:pStyle w:val="42"/>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氨氮</w:t>
            </w:r>
          </w:p>
        </w:tc>
        <w:tc>
          <w:tcPr>
            <w:tcW w:w="1600" w:type="dxa"/>
            <w:vAlign w:val="center"/>
          </w:tcPr>
          <w:p w14:paraId="7F735385">
            <w:pPr>
              <w:pStyle w:val="42"/>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w:t>
            </w:r>
          </w:p>
        </w:tc>
        <w:tc>
          <w:tcPr>
            <w:tcW w:w="1600" w:type="dxa"/>
            <w:vAlign w:val="center"/>
          </w:tcPr>
          <w:p w14:paraId="06581812">
            <w:pPr>
              <w:pStyle w:val="42"/>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w:t>
            </w:r>
          </w:p>
        </w:tc>
        <w:tc>
          <w:tcPr>
            <w:tcW w:w="1600" w:type="dxa"/>
            <w:vAlign w:val="center"/>
          </w:tcPr>
          <w:p w14:paraId="7CA01CAA">
            <w:pPr>
              <w:pStyle w:val="42"/>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w:t>
            </w:r>
          </w:p>
        </w:tc>
        <w:tc>
          <w:tcPr>
            <w:tcW w:w="1601" w:type="dxa"/>
            <w:vAlign w:val="center"/>
          </w:tcPr>
          <w:p w14:paraId="25789374">
            <w:pPr>
              <w:pStyle w:val="42"/>
              <w:spacing w:beforeLines="0" w:afterLines="0" w:line="240" w:lineRule="auto"/>
              <w:rPr>
                <w:rFonts w:ascii="Times New Roman"/>
                <w:snapToGrid w:val="0"/>
                <w:color w:val="auto"/>
                <w:kern w:val="21"/>
                <w:szCs w:val="21"/>
              </w:rPr>
            </w:pPr>
            <w:bookmarkStart w:id="110" w:name="OLE_LINK292"/>
            <w:r>
              <w:rPr>
                <w:color w:val="auto"/>
              </w:rPr>
              <w:t>0.001</w:t>
            </w:r>
            <w:r>
              <w:rPr>
                <w:rFonts w:hint="eastAsia"/>
                <w:color w:val="auto"/>
              </w:rPr>
              <w:t>t</w:t>
            </w:r>
            <w:r>
              <w:rPr>
                <w:rFonts w:ascii="Times New Roman"/>
                <w:snapToGrid w:val="0"/>
                <w:color w:val="auto"/>
                <w:kern w:val="21"/>
                <w:szCs w:val="21"/>
              </w:rPr>
              <w:t>/a</w:t>
            </w:r>
            <w:bookmarkEnd w:id="110"/>
          </w:p>
        </w:tc>
        <w:tc>
          <w:tcPr>
            <w:tcW w:w="1600" w:type="dxa"/>
            <w:vAlign w:val="center"/>
          </w:tcPr>
          <w:p w14:paraId="1DBD9FFC">
            <w:pPr>
              <w:pStyle w:val="4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600" w:type="dxa"/>
            <w:vAlign w:val="center"/>
          </w:tcPr>
          <w:p w14:paraId="0EAF4E08">
            <w:pPr>
              <w:pStyle w:val="42"/>
              <w:spacing w:beforeLines="0" w:afterLines="0" w:line="240" w:lineRule="auto"/>
              <w:rPr>
                <w:rFonts w:ascii="Times New Roman"/>
                <w:snapToGrid w:val="0"/>
                <w:color w:val="auto"/>
                <w:kern w:val="21"/>
                <w:szCs w:val="21"/>
              </w:rPr>
            </w:pPr>
            <w:r>
              <w:rPr>
                <w:color w:val="auto"/>
              </w:rPr>
              <w:t>0.001</w:t>
            </w:r>
            <w:r>
              <w:rPr>
                <w:rFonts w:ascii="Times New Roman"/>
                <w:snapToGrid w:val="0"/>
                <w:color w:val="auto"/>
                <w:kern w:val="21"/>
                <w:szCs w:val="21"/>
              </w:rPr>
              <w:t>t/a</w:t>
            </w:r>
          </w:p>
        </w:tc>
        <w:tc>
          <w:tcPr>
            <w:tcW w:w="1601" w:type="dxa"/>
            <w:vAlign w:val="center"/>
          </w:tcPr>
          <w:p w14:paraId="76514752">
            <w:pPr>
              <w:pStyle w:val="42"/>
              <w:spacing w:beforeLines="0" w:afterLines="0" w:line="240" w:lineRule="auto"/>
              <w:rPr>
                <w:rFonts w:ascii="Times New Roman"/>
                <w:snapToGrid w:val="0"/>
                <w:color w:val="auto"/>
                <w:kern w:val="21"/>
                <w:szCs w:val="21"/>
              </w:rPr>
            </w:pPr>
            <w:r>
              <w:rPr>
                <w:color w:val="auto"/>
              </w:rPr>
              <w:t>0.001</w:t>
            </w:r>
            <w:r>
              <w:rPr>
                <w:rFonts w:ascii="Times New Roman"/>
                <w:snapToGrid w:val="0"/>
                <w:color w:val="auto"/>
                <w:kern w:val="21"/>
                <w:szCs w:val="21"/>
              </w:rPr>
              <w:t>t/a</w:t>
            </w:r>
          </w:p>
        </w:tc>
      </w:tr>
      <w:tr w14:paraId="601030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69" w:type="dxa"/>
            <w:vMerge w:val="restart"/>
            <w:vAlign w:val="center"/>
          </w:tcPr>
          <w:p w14:paraId="2E9DF59F">
            <w:pPr>
              <w:pStyle w:val="42"/>
              <w:spacing w:beforeLines="0" w:afterLines="0" w:line="240" w:lineRule="auto"/>
              <w:rPr>
                <w:rFonts w:ascii="Times New Roman" w:cs="宋体"/>
                <w:snapToGrid w:val="0"/>
                <w:kern w:val="21"/>
                <w:szCs w:val="21"/>
              </w:rPr>
            </w:pPr>
            <w:r>
              <w:rPr>
                <w:rFonts w:hint="eastAsia" w:ascii="Times New Roman" w:cs="宋体"/>
                <w:snapToGrid w:val="0"/>
                <w:kern w:val="21"/>
                <w:szCs w:val="21"/>
              </w:rPr>
              <w:t>一般工业</w:t>
            </w:r>
          </w:p>
          <w:p w14:paraId="1A41AA15">
            <w:pPr>
              <w:pStyle w:val="42"/>
              <w:spacing w:before="24" w:after="24" w:line="240" w:lineRule="auto"/>
              <w:rPr>
                <w:rFonts w:ascii="Times New Roman" w:cs="宋体"/>
                <w:snapToGrid w:val="0"/>
                <w:kern w:val="21"/>
                <w:szCs w:val="21"/>
              </w:rPr>
            </w:pPr>
            <w:r>
              <w:rPr>
                <w:rFonts w:hint="eastAsia" w:ascii="Times New Roman" w:cs="宋体"/>
                <w:snapToGrid w:val="0"/>
                <w:kern w:val="21"/>
                <w:szCs w:val="21"/>
              </w:rPr>
              <w:t>固体废物</w:t>
            </w:r>
          </w:p>
        </w:tc>
        <w:tc>
          <w:tcPr>
            <w:tcW w:w="1417" w:type="dxa"/>
            <w:vAlign w:val="center"/>
          </w:tcPr>
          <w:p w14:paraId="6426981B">
            <w:pPr>
              <w:pStyle w:val="42"/>
              <w:spacing w:beforeLines="0" w:afterLines="0" w:line="240" w:lineRule="auto"/>
              <w:rPr>
                <w:color w:val="auto"/>
              </w:rPr>
            </w:pPr>
            <w:r>
              <w:rPr>
                <w:rFonts w:hint="eastAsia"/>
                <w:color w:val="auto"/>
              </w:rPr>
              <w:t>废土料</w:t>
            </w:r>
          </w:p>
        </w:tc>
        <w:tc>
          <w:tcPr>
            <w:tcW w:w="1600" w:type="dxa"/>
            <w:vAlign w:val="center"/>
          </w:tcPr>
          <w:p w14:paraId="37A631A8">
            <w:pPr>
              <w:pStyle w:val="42"/>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w:t>
            </w:r>
          </w:p>
        </w:tc>
        <w:tc>
          <w:tcPr>
            <w:tcW w:w="1600" w:type="dxa"/>
            <w:vAlign w:val="center"/>
          </w:tcPr>
          <w:p w14:paraId="7DCBB871">
            <w:pPr>
              <w:pStyle w:val="42"/>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w:t>
            </w:r>
          </w:p>
        </w:tc>
        <w:tc>
          <w:tcPr>
            <w:tcW w:w="1600" w:type="dxa"/>
            <w:vAlign w:val="center"/>
          </w:tcPr>
          <w:p w14:paraId="0B6FD305">
            <w:pPr>
              <w:pStyle w:val="42"/>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w:t>
            </w:r>
          </w:p>
        </w:tc>
        <w:tc>
          <w:tcPr>
            <w:tcW w:w="1601" w:type="dxa"/>
            <w:vAlign w:val="center"/>
          </w:tcPr>
          <w:p w14:paraId="5BFF25FB">
            <w:pPr>
              <w:pStyle w:val="42"/>
              <w:spacing w:beforeLines="0" w:afterLines="0" w:line="240" w:lineRule="auto"/>
              <w:rPr>
                <w:color w:val="auto"/>
              </w:rPr>
            </w:pPr>
            <w:r>
              <w:rPr>
                <w:rFonts w:hint="eastAsia"/>
                <w:color w:val="auto"/>
              </w:rPr>
              <w:t>7123.353t/a</w:t>
            </w:r>
          </w:p>
        </w:tc>
        <w:tc>
          <w:tcPr>
            <w:tcW w:w="1600" w:type="dxa"/>
            <w:vAlign w:val="center"/>
          </w:tcPr>
          <w:p w14:paraId="6660ECBE">
            <w:pPr>
              <w:pStyle w:val="42"/>
              <w:spacing w:beforeLines="0" w:afterLines="0" w:line="240" w:lineRule="auto"/>
              <w:rPr>
                <w:rFonts w:ascii="Times New Roman"/>
                <w:snapToGrid w:val="0"/>
                <w:color w:val="auto"/>
                <w:kern w:val="21"/>
                <w:szCs w:val="21"/>
              </w:rPr>
            </w:pPr>
            <w:r>
              <w:rPr>
                <w:rFonts w:hint="eastAsia" w:ascii="Times New Roman" w:cs="宋体"/>
                <w:snapToGrid w:val="0"/>
                <w:color w:val="auto"/>
                <w:kern w:val="21"/>
                <w:szCs w:val="21"/>
              </w:rPr>
              <w:t>/</w:t>
            </w:r>
          </w:p>
        </w:tc>
        <w:tc>
          <w:tcPr>
            <w:tcW w:w="1600" w:type="dxa"/>
            <w:vAlign w:val="center"/>
          </w:tcPr>
          <w:p w14:paraId="2F6717B5">
            <w:pPr>
              <w:pStyle w:val="42"/>
              <w:spacing w:beforeLines="0" w:afterLines="0" w:line="240" w:lineRule="auto"/>
              <w:rPr>
                <w:color w:val="auto"/>
              </w:rPr>
            </w:pPr>
            <w:r>
              <w:rPr>
                <w:rFonts w:hint="eastAsia"/>
                <w:color w:val="auto"/>
              </w:rPr>
              <w:t>7123.353t/a</w:t>
            </w:r>
          </w:p>
        </w:tc>
        <w:tc>
          <w:tcPr>
            <w:tcW w:w="1601" w:type="dxa"/>
            <w:vAlign w:val="center"/>
          </w:tcPr>
          <w:p w14:paraId="210536B3">
            <w:pPr>
              <w:pStyle w:val="42"/>
              <w:spacing w:beforeLines="0" w:afterLines="0" w:line="240" w:lineRule="auto"/>
              <w:rPr>
                <w:color w:val="auto"/>
              </w:rPr>
            </w:pPr>
            <w:r>
              <w:rPr>
                <w:rFonts w:hint="eastAsia"/>
                <w:color w:val="auto"/>
              </w:rPr>
              <w:t>7123.353t/a</w:t>
            </w:r>
          </w:p>
        </w:tc>
      </w:tr>
      <w:tr w14:paraId="2C2A52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69" w:type="dxa"/>
            <w:vMerge w:val="continue"/>
            <w:vAlign w:val="center"/>
          </w:tcPr>
          <w:p w14:paraId="5B3BB71E">
            <w:pPr>
              <w:pStyle w:val="42"/>
              <w:spacing w:beforeLines="0" w:afterLines="0" w:line="240" w:lineRule="auto"/>
              <w:rPr>
                <w:rFonts w:ascii="Times New Roman" w:cs="宋体"/>
                <w:snapToGrid w:val="0"/>
                <w:kern w:val="21"/>
                <w:szCs w:val="21"/>
              </w:rPr>
            </w:pPr>
          </w:p>
        </w:tc>
        <w:tc>
          <w:tcPr>
            <w:tcW w:w="1417" w:type="dxa"/>
            <w:vAlign w:val="center"/>
          </w:tcPr>
          <w:p w14:paraId="1CECDC95">
            <w:pPr>
              <w:pStyle w:val="42"/>
              <w:spacing w:beforeLines="0" w:afterLines="0" w:line="240" w:lineRule="auto"/>
              <w:rPr>
                <w:rFonts w:ascii="Times New Roman" w:cs="宋体"/>
                <w:snapToGrid w:val="0"/>
                <w:color w:val="auto"/>
                <w:kern w:val="21"/>
                <w:szCs w:val="21"/>
              </w:rPr>
            </w:pPr>
            <w:r>
              <w:rPr>
                <w:rFonts w:hint="eastAsia"/>
                <w:color w:val="auto"/>
              </w:rPr>
              <w:t>废金属</w:t>
            </w:r>
          </w:p>
        </w:tc>
        <w:tc>
          <w:tcPr>
            <w:tcW w:w="1600" w:type="dxa"/>
            <w:vAlign w:val="center"/>
          </w:tcPr>
          <w:p w14:paraId="45D6FC12">
            <w:pPr>
              <w:pStyle w:val="42"/>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w:t>
            </w:r>
          </w:p>
        </w:tc>
        <w:tc>
          <w:tcPr>
            <w:tcW w:w="1600" w:type="dxa"/>
            <w:vAlign w:val="center"/>
          </w:tcPr>
          <w:p w14:paraId="6391245D">
            <w:pPr>
              <w:pStyle w:val="42"/>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w:t>
            </w:r>
          </w:p>
        </w:tc>
        <w:tc>
          <w:tcPr>
            <w:tcW w:w="1600" w:type="dxa"/>
            <w:vAlign w:val="center"/>
          </w:tcPr>
          <w:p w14:paraId="522CFE38">
            <w:pPr>
              <w:pStyle w:val="42"/>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w:t>
            </w:r>
          </w:p>
        </w:tc>
        <w:tc>
          <w:tcPr>
            <w:tcW w:w="1601" w:type="dxa"/>
            <w:vAlign w:val="center"/>
          </w:tcPr>
          <w:p w14:paraId="23217C8B">
            <w:pPr>
              <w:pStyle w:val="42"/>
              <w:spacing w:beforeLines="0" w:afterLines="0" w:line="240" w:lineRule="auto"/>
              <w:rPr>
                <w:rFonts w:ascii="Times New Roman"/>
                <w:snapToGrid w:val="0"/>
                <w:color w:val="auto"/>
                <w:kern w:val="21"/>
                <w:szCs w:val="21"/>
              </w:rPr>
            </w:pPr>
            <w:r>
              <w:rPr>
                <w:rFonts w:hint="eastAsia"/>
                <w:color w:val="auto"/>
              </w:rPr>
              <w:t>50t</w:t>
            </w:r>
            <w:r>
              <w:rPr>
                <w:rFonts w:ascii="Times New Roman"/>
                <w:snapToGrid w:val="0"/>
                <w:color w:val="auto"/>
                <w:kern w:val="21"/>
                <w:szCs w:val="21"/>
              </w:rPr>
              <w:t>/a</w:t>
            </w:r>
          </w:p>
        </w:tc>
        <w:tc>
          <w:tcPr>
            <w:tcW w:w="1600" w:type="dxa"/>
            <w:vAlign w:val="center"/>
          </w:tcPr>
          <w:p w14:paraId="56B39DF0">
            <w:pPr>
              <w:pStyle w:val="4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600" w:type="dxa"/>
            <w:vAlign w:val="center"/>
          </w:tcPr>
          <w:p w14:paraId="43BED7EE">
            <w:pPr>
              <w:pStyle w:val="42"/>
              <w:spacing w:beforeLines="0" w:afterLines="0" w:line="240" w:lineRule="auto"/>
              <w:rPr>
                <w:rFonts w:ascii="Times New Roman"/>
                <w:snapToGrid w:val="0"/>
                <w:color w:val="auto"/>
                <w:kern w:val="21"/>
                <w:szCs w:val="21"/>
              </w:rPr>
            </w:pPr>
            <w:r>
              <w:rPr>
                <w:rFonts w:hint="eastAsia"/>
                <w:color w:val="auto"/>
              </w:rPr>
              <w:t>50t</w:t>
            </w:r>
            <w:r>
              <w:rPr>
                <w:rFonts w:ascii="Times New Roman"/>
                <w:snapToGrid w:val="0"/>
                <w:color w:val="auto"/>
                <w:kern w:val="21"/>
                <w:szCs w:val="21"/>
              </w:rPr>
              <w:t>/a</w:t>
            </w:r>
          </w:p>
        </w:tc>
        <w:tc>
          <w:tcPr>
            <w:tcW w:w="1601" w:type="dxa"/>
            <w:vAlign w:val="center"/>
          </w:tcPr>
          <w:p w14:paraId="0B6E93D7">
            <w:pPr>
              <w:pStyle w:val="42"/>
              <w:spacing w:beforeLines="0" w:afterLines="0" w:line="240" w:lineRule="auto"/>
              <w:rPr>
                <w:rFonts w:ascii="Times New Roman"/>
                <w:snapToGrid w:val="0"/>
                <w:color w:val="auto"/>
                <w:kern w:val="21"/>
                <w:szCs w:val="21"/>
              </w:rPr>
            </w:pPr>
            <w:r>
              <w:rPr>
                <w:rFonts w:hint="eastAsia"/>
                <w:color w:val="auto"/>
              </w:rPr>
              <w:t>50t</w:t>
            </w:r>
            <w:r>
              <w:rPr>
                <w:rFonts w:ascii="Times New Roman"/>
                <w:snapToGrid w:val="0"/>
                <w:color w:val="auto"/>
                <w:kern w:val="21"/>
                <w:szCs w:val="21"/>
              </w:rPr>
              <w:t>/a</w:t>
            </w:r>
          </w:p>
        </w:tc>
      </w:tr>
      <w:tr w14:paraId="0141C1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69" w:type="dxa"/>
            <w:vMerge w:val="continue"/>
            <w:vAlign w:val="center"/>
          </w:tcPr>
          <w:p w14:paraId="7788F4BB">
            <w:pPr>
              <w:pStyle w:val="42"/>
              <w:spacing w:beforeLines="0" w:afterLines="0" w:line="240" w:lineRule="auto"/>
              <w:rPr>
                <w:rFonts w:ascii="Times New Roman" w:cs="宋体"/>
                <w:snapToGrid w:val="0"/>
                <w:kern w:val="21"/>
                <w:szCs w:val="21"/>
              </w:rPr>
            </w:pPr>
          </w:p>
        </w:tc>
        <w:tc>
          <w:tcPr>
            <w:tcW w:w="1417" w:type="dxa"/>
            <w:vAlign w:val="center"/>
          </w:tcPr>
          <w:p w14:paraId="5C21A052">
            <w:pPr>
              <w:pStyle w:val="42"/>
              <w:spacing w:beforeLines="0" w:afterLines="0" w:line="240" w:lineRule="auto"/>
              <w:rPr>
                <w:rFonts w:ascii="Times New Roman"/>
                <w:color w:val="auto"/>
              </w:rPr>
            </w:pPr>
            <w:r>
              <w:rPr>
                <w:rFonts w:hint="eastAsia"/>
                <w:color w:val="auto"/>
              </w:rPr>
              <w:t>轻物质</w:t>
            </w:r>
          </w:p>
        </w:tc>
        <w:tc>
          <w:tcPr>
            <w:tcW w:w="1600" w:type="dxa"/>
            <w:vAlign w:val="center"/>
          </w:tcPr>
          <w:p w14:paraId="11105A69">
            <w:pPr>
              <w:pStyle w:val="42"/>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w:t>
            </w:r>
          </w:p>
        </w:tc>
        <w:tc>
          <w:tcPr>
            <w:tcW w:w="1600" w:type="dxa"/>
            <w:vAlign w:val="center"/>
          </w:tcPr>
          <w:p w14:paraId="3B6921D8">
            <w:pPr>
              <w:pStyle w:val="42"/>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w:t>
            </w:r>
          </w:p>
        </w:tc>
        <w:tc>
          <w:tcPr>
            <w:tcW w:w="1600" w:type="dxa"/>
            <w:vAlign w:val="center"/>
          </w:tcPr>
          <w:p w14:paraId="4B44420C">
            <w:pPr>
              <w:pStyle w:val="42"/>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w:t>
            </w:r>
          </w:p>
        </w:tc>
        <w:tc>
          <w:tcPr>
            <w:tcW w:w="1601" w:type="dxa"/>
            <w:vAlign w:val="center"/>
          </w:tcPr>
          <w:p w14:paraId="14A69363">
            <w:pPr>
              <w:pStyle w:val="42"/>
              <w:spacing w:beforeLines="0" w:afterLines="0" w:line="240" w:lineRule="auto"/>
              <w:rPr>
                <w:rFonts w:ascii="Times New Roman"/>
                <w:color w:val="auto"/>
                <w:szCs w:val="21"/>
              </w:rPr>
            </w:pPr>
            <w:r>
              <w:rPr>
                <w:rFonts w:hint="eastAsia"/>
                <w:color w:val="auto"/>
              </w:rPr>
              <w:t>7700t</w:t>
            </w:r>
            <w:r>
              <w:rPr>
                <w:rFonts w:ascii="Times New Roman"/>
                <w:snapToGrid w:val="0"/>
                <w:color w:val="auto"/>
                <w:kern w:val="21"/>
                <w:szCs w:val="21"/>
              </w:rPr>
              <w:t>/a</w:t>
            </w:r>
          </w:p>
        </w:tc>
        <w:tc>
          <w:tcPr>
            <w:tcW w:w="1600" w:type="dxa"/>
            <w:vAlign w:val="center"/>
          </w:tcPr>
          <w:p w14:paraId="55710C50">
            <w:pPr>
              <w:pStyle w:val="4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600" w:type="dxa"/>
            <w:vAlign w:val="center"/>
          </w:tcPr>
          <w:p w14:paraId="6CF2409C">
            <w:pPr>
              <w:pStyle w:val="42"/>
              <w:spacing w:beforeLines="0" w:afterLines="0" w:line="240" w:lineRule="auto"/>
              <w:rPr>
                <w:rFonts w:ascii="Times New Roman"/>
                <w:color w:val="auto"/>
                <w:szCs w:val="21"/>
              </w:rPr>
            </w:pPr>
            <w:r>
              <w:rPr>
                <w:rFonts w:hint="eastAsia"/>
                <w:color w:val="auto"/>
              </w:rPr>
              <w:t>7700t</w:t>
            </w:r>
            <w:r>
              <w:rPr>
                <w:rFonts w:ascii="Times New Roman"/>
                <w:snapToGrid w:val="0"/>
                <w:color w:val="auto"/>
                <w:kern w:val="21"/>
                <w:szCs w:val="21"/>
              </w:rPr>
              <w:t>/a</w:t>
            </w:r>
          </w:p>
        </w:tc>
        <w:tc>
          <w:tcPr>
            <w:tcW w:w="1601" w:type="dxa"/>
            <w:vAlign w:val="center"/>
          </w:tcPr>
          <w:p w14:paraId="24A5A1ED">
            <w:pPr>
              <w:pStyle w:val="42"/>
              <w:spacing w:beforeLines="0" w:afterLines="0" w:line="240" w:lineRule="auto"/>
              <w:rPr>
                <w:rFonts w:ascii="Times New Roman"/>
                <w:snapToGrid w:val="0"/>
                <w:color w:val="auto"/>
                <w:kern w:val="21"/>
                <w:szCs w:val="21"/>
              </w:rPr>
            </w:pPr>
            <w:r>
              <w:rPr>
                <w:rFonts w:hint="eastAsia"/>
                <w:color w:val="auto"/>
              </w:rPr>
              <w:t>7700t</w:t>
            </w:r>
            <w:r>
              <w:rPr>
                <w:rFonts w:ascii="Times New Roman"/>
                <w:snapToGrid w:val="0"/>
                <w:color w:val="auto"/>
                <w:kern w:val="21"/>
                <w:szCs w:val="21"/>
              </w:rPr>
              <w:t>/a</w:t>
            </w:r>
          </w:p>
        </w:tc>
      </w:tr>
      <w:tr w14:paraId="05A5D1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69" w:type="dxa"/>
            <w:vMerge w:val="continue"/>
            <w:vAlign w:val="center"/>
          </w:tcPr>
          <w:p w14:paraId="3A2AC97E">
            <w:pPr>
              <w:pStyle w:val="42"/>
              <w:spacing w:beforeLines="0" w:afterLines="0" w:line="240" w:lineRule="auto"/>
              <w:rPr>
                <w:rFonts w:ascii="Times New Roman" w:cs="宋体"/>
                <w:snapToGrid w:val="0"/>
                <w:kern w:val="21"/>
                <w:szCs w:val="21"/>
              </w:rPr>
            </w:pPr>
          </w:p>
        </w:tc>
        <w:tc>
          <w:tcPr>
            <w:tcW w:w="1417" w:type="dxa"/>
            <w:vAlign w:val="center"/>
          </w:tcPr>
          <w:p w14:paraId="1680BA8C">
            <w:pPr>
              <w:pStyle w:val="42"/>
              <w:spacing w:beforeLines="0" w:afterLines="0" w:line="240" w:lineRule="auto"/>
              <w:rPr>
                <w:rFonts w:ascii="Times New Roman"/>
                <w:color w:val="auto"/>
              </w:rPr>
            </w:pPr>
            <w:r>
              <w:rPr>
                <w:rFonts w:hint="eastAsia"/>
                <w:color w:val="auto"/>
              </w:rPr>
              <w:t>废布袋</w:t>
            </w:r>
          </w:p>
        </w:tc>
        <w:tc>
          <w:tcPr>
            <w:tcW w:w="1600" w:type="dxa"/>
            <w:vAlign w:val="center"/>
          </w:tcPr>
          <w:p w14:paraId="6381432E">
            <w:pPr>
              <w:pStyle w:val="42"/>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w:t>
            </w:r>
          </w:p>
        </w:tc>
        <w:tc>
          <w:tcPr>
            <w:tcW w:w="1600" w:type="dxa"/>
            <w:vAlign w:val="center"/>
          </w:tcPr>
          <w:p w14:paraId="70FB2FFF">
            <w:pPr>
              <w:pStyle w:val="42"/>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w:t>
            </w:r>
          </w:p>
        </w:tc>
        <w:tc>
          <w:tcPr>
            <w:tcW w:w="1600" w:type="dxa"/>
            <w:vAlign w:val="center"/>
          </w:tcPr>
          <w:p w14:paraId="6F6D463D">
            <w:pPr>
              <w:pStyle w:val="42"/>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w:t>
            </w:r>
          </w:p>
        </w:tc>
        <w:tc>
          <w:tcPr>
            <w:tcW w:w="1601" w:type="dxa"/>
            <w:vAlign w:val="center"/>
          </w:tcPr>
          <w:p w14:paraId="4E2C950F">
            <w:pPr>
              <w:pStyle w:val="42"/>
              <w:spacing w:beforeLines="0" w:afterLines="0" w:line="240" w:lineRule="auto"/>
              <w:rPr>
                <w:rFonts w:ascii="Times New Roman"/>
                <w:color w:val="auto"/>
                <w:szCs w:val="21"/>
              </w:rPr>
            </w:pPr>
            <w:r>
              <w:rPr>
                <w:rFonts w:hint="eastAsia"/>
                <w:color w:val="auto"/>
              </w:rPr>
              <w:t>0.1t</w:t>
            </w:r>
            <w:r>
              <w:rPr>
                <w:rFonts w:ascii="Times New Roman"/>
                <w:snapToGrid w:val="0"/>
                <w:color w:val="auto"/>
                <w:kern w:val="21"/>
                <w:szCs w:val="21"/>
              </w:rPr>
              <w:t>/a</w:t>
            </w:r>
          </w:p>
        </w:tc>
        <w:tc>
          <w:tcPr>
            <w:tcW w:w="1600" w:type="dxa"/>
            <w:vAlign w:val="center"/>
          </w:tcPr>
          <w:p w14:paraId="1F5F46E1">
            <w:pPr>
              <w:pStyle w:val="4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600" w:type="dxa"/>
            <w:vAlign w:val="center"/>
          </w:tcPr>
          <w:p w14:paraId="252EE4D4">
            <w:pPr>
              <w:pStyle w:val="42"/>
              <w:spacing w:beforeLines="0" w:afterLines="0" w:line="240" w:lineRule="auto"/>
              <w:rPr>
                <w:rFonts w:ascii="Times New Roman"/>
                <w:color w:val="auto"/>
                <w:szCs w:val="21"/>
              </w:rPr>
            </w:pPr>
            <w:r>
              <w:rPr>
                <w:rFonts w:hint="eastAsia"/>
                <w:color w:val="auto"/>
              </w:rPr>
              <w:t>0.1t</w:t>
            </w:r>
            <w:r>
              <w:rPr>
                <w:rFonts w:ascii="Times New Roman"/>
                <w:snapToGrid w:val="0"/>
                <w:color w:val="auto"/>
                <w:kern w:val="21"/>
                <w:szCs w:val="21"/>
              </w:rPr>
              <w:t>/a</w:t>
            </w:r>
          </w:p>
        </w:tc>
        <w:tc>
          <w:tcPr>
            <w:tcW w:w="1601" w:type="dxa"/>
            <w:vAlign w:val="center"/>
          </w:tcPr>
          <w:p w14:paraId="130D709C">
            <w:pPr>
              <w:pStyle w:val="42"/>
              <w:spacing w:beforeLines="0" w:afterLines="0" w:line="240" w:lineRule="auto"/>
              <w:rPr>
                <w:rFonts w:ascii="Times New Roman"/>
                <w:color w:val="auto"/>
                <w:szCs w:val="21"/>
              </w:rPr>
            </w:pPr>
            <w:r>
              <w:rPr>
                <w:rFonts w:hint="eastAsia"/>
                <w:color w:val="auto"/>
              </w:rPr>
              <w:t>0.1t</w:t>
            </w:r>
            <w:r>
              <w:rPr>
                <w:rFonts w:ascii="Times New Roman"/>
                <w:snapToGrid w:val="0"/>
                <w:color w:val="auto"/>
                <w:kern w:val="21"/>
                <w:szCs w:val="21"/>
              </w:rPr>
              <w:t>/a</w:t>
            </w:r>
          </w:p>
        </w:tc>
      </w:tr>
      <w:tr w14:paraId="2513F6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69" w:type="dxa"/>
            <w:vMerge w:val="continue"/>
            <w:vAlign w:val="center"/>
          </w:tcPr>
          <w:p w14:paraId="4554011A">
            <w:pPr>
              <w:pStyle w:val="42"/>
              <w:spacing w:beforeLines="0" w:afterLines="0" w:line="240" w:lineRule="auto"/>
              <w:rPr>
                <w:rFonts w:ascii="Times New Roman" w:cs="宋体"/>
                <w:snapToGrid w:val="0"/>
                <w:kern w:val="21"/>
                <w:szCs w:val="21"/>
              </w:rPr>
            </w:pPr>
          </w:p>
        </w:tc>
        <w:tc>
          <w:tcPr>
            <w:tcW w:w="1417" w:type="dxa"/>
            <w:vAlign w:val="center"/>
          </w:tcPr>
          <w:p w14:paraId="42BB2BCB">
            <w:pPr>
              <w:pStyle w:val="42"/>
              <w:spacing w:beforeLines="0" w:afterLines="0" w:line="240" w:lineRule="auto"/>
              <w:rPr>
                <w:rFonts w:ascii="Times New Roman"/>
                <w:color w:val="auto"/>
              </w:rPr>
            </w:pPr>
            <w:r>
              <w:rPr>
                <w:rFonts w:hint="eastAsia"/>
                <w:color w:val="auto"/>
              </w:rPr>
              <w:t>收集尘</w:t>
            </w:r>
          </w:p>
        </w:tc>
        <w:tc>
          <w:tcPr>
            <w:tcW w:w="1600" w:type="dxa"/>
            <w:vAlign w:val="center"/>
          </w:tcPr>
          <w:p w14:paraId="218BF36C">
            <w:pPr>
              <w:pStyle w:val="42"/>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w:t>
            </w:r>
          </w:p>
        </w:tc>
        <w:tc>
          <w:tcPr>
            <w:tcW w:w="1600" w:type="dxa"/>
            <w:vAlign w:val="center"/>
          </w:tcPr>
          <w:p w14:paraId="11064690">
            <w:pPr>
              <w:pStyle w:val="42"/>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w:t>
            </w:r>
          </w:p>
        </w:tc>
        <w:tc>
          <w:tcPr>
            <w:tcW w:w="1600" w:type="dxa"/>
            <w:vAlign w:val="center"/>
          </w:tcPr>
          <w:p w14:paraId="38CDAB00">
            <w:pPr>
              <w:pStyle w:val="42"/>
              <w:spacing w:beforeLines="0" w:afterLines="0" w:line="240" w:lineRule="auto"/>
              <w:rPr>
                <w:rFonts w:ascii="Times New Roman" w:cs="宋体"/>
                <w:snapToGrid w:val="0"/>
                <w:color w:val="auto"/>
                <w:kern w:val="21"/>
                <w:szCs w:val="21"/>
              </w:rPr>
            </w:pPr>
            <w:r>
              <w:rPr>
                <w:rFonts w:hint="eastAsia" w:ascii="Times New Roman" w:cs="宋体"/>
                <w:snapToGrid w:val="0"/>
                <w:color w:val="auto"/>
                <w:kern w:val="21"/>
                <w:szCs w:val="21"/>
              </w:rPr>
              <w:t>/</w:t>
            </w:r>
          </w:p>
        </w:tc>
        <w:tc>
          <w:tcPr>
            <w:tcW w:w="1601" w:type="dxa"/>
            <w:vAlign w:val="center"/>
          </w:tcPr>
          <w:p w14:paraId="4525EAAD">
            <w:pPr>
              <w:pStyle w:val="42"/>
              <w:spacing w:beforeLines="0" w:afterLines="0" w:line="240" w:lineRule="auto"/>
              <w:rPr>
                <w:rFonts w:ascii="Times New Roman"/>
                <w:color w:val="auto"/>
                <w:szCs w:val="21"/>
              </w:rPr>
            </w:pPr>
            <w:r>
              <w:rPr>
                <w:color w:val="auto"/>
                <w14:ligatures w14:val="standardContextual"/>
              </w:rPr>
              <w:t>10</w:t>
            </w:r>
            <w:r>
              <w:rPr>
                <w:rFonts w:hint="eastAsia"/>
                <w:color w:val="auto"/>
                <w14:ligatures w14:val="standardContextual"/>
              </w:rPr>
              <w:t>9.332</w:t>
            </w:r>
            <w:r>
              <w:rPr>
                <w:color w:val="auto"/>
              </w:rPr>
              <w:t>t/a</w:t>
            </w:r>
          </w:p>
        </w:tc>
        <w:tc>
          <w:tcPr>
            <w:tcW w:w="1600" w:type="dxa"/>
            <w:vAlign w:val="center"/>
          </w:tcPr>
          <w:p w14:paraId="5AA8DA38">
            <w:pPr>
              <w:pStyle w:val="4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600" w:type="dxa"/>
            <w:vAlign w:val="center"/>
          </w:tcPr>
          <w:p w14:paraId="1AC87B5A">
            <w:pPr>
              <w:pStyle w:val="42"/>
              <w:spacing w:beforeLines="0" w:afterLines="0" w:line="240" w:lineRule="auto"/>
              <w:rPr>
                <w:rFonts w:ascii="Times New Roman"/>
                <w:color w:val="auto"/>
                <w:szCs w:val="21"/>
              </w:rPr>
            </w:pPr>
            <w:r>
              <w:rPr>
                <w:color w:val="auto"/>
                <w14:ligatures w14:val="standardContextual"/>
              </w:rPr>
              <w:t>10</w:t>
            </w:r>
            <w:r>
              <w:rPr>
                <w:rFonts w:hint="eastAsia"/>
                <w:color w:val="auto"/>
                <w14:ligatures w14:val="standardContextual"/>
              </w:rPr>
              <w:t>9.332</w:t>
            </w:r>
            <w:r>
              <w:rPr>
                <w:color w:val="auto"/>
              </w:rPr>
              <w:t>t/a</w:t>
            </w:r>
          </w:p>
        </w:tc>
        <w:tc>
          <w:tcPr>
            <w:tcW w:w="1601" w:type="dxa"/>
            <w:vAlign w:val="center"/>
          </w:tcPr>
          <w:p w14:paraId="1830D97B">
            <w:pPr>
              <w:pStyle w:val="42"/>
              <w:spacing w:beforeLines="0" w:afterLines="0" w:line="240" w:lineRule="auto"/>
              <w:rPr>
                <w:rFonts w:ascii="Times New Roman"/>
                <w:color w:val="auto"/>
                <w:szCs w:val="21"/>
              </w:rPr>
            </w:pPr>
            <w:r>
              <w:rPr>
                <w:color w:val="auto"/>
                <w14:ligatures w14:val="standardContextual"/>
              </w:rPr>
              <w:t>10</w:t>
            </w:r>
            <w:r>
              <w:rPr>
                <w:rFonts w:hint="eastAsia"/>
                <w:color w:val="auto"/>
                <w14:ligatures w14:val="standardContextual"/>
              </w:rPr>
              <w:t>9.332</w:t>
            </w:r>
            <w:r>
              <w:rPr>
                <w:color w:val="auto"/>
              </w:rPr>
              <w:t>t/a</w:t>
            </w:r>
          </w:p>
        </w:tc>
      </w:tr>
      <w:tr w14:paraId="790EDD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69" w:type="dxa"/>
            <w:vMerge w:val="continue"/>
            <w:vAlign w:val="center"/>
          </w:tcPr>
          <w:p w14:paraId="206DD20A">
            <w:pPr>
              <w:pStyle w:val="42"/>
              <w:spacing w:beforeLines="0" w:afterLines="0" w:line="240" w:lineRule="auto"/>
              <w:rPr>
                <w:rFonts w:ascii="Times New Roman" w:cs="宋体"/>
                <w:snapToGrid w:val="0"/>
                <w:kern w:val="21"/>
                <w:szCs w:val="21"/>
              </w:rPr>
            </w:pPr>
          </w:p>
        </w:tc>
        <w:tc>
          <w:tcPr>
            <w:tcW w:w="1417" w:type="dxa"/>
            <w:vAlign w:val="center"/>
          </w:tcPr>
          <w:p w14:paraId="301FA067">
            <w:pPr>
              <w:pStyle w:val="42"/>
              <w:spacing w:beforeLines="0" w:afterLines="0" w:line="240" w:lineRule="auto"/>
              <w:rPr>
                <w:rFonts w:hint="eastAsia" w:eastAsia="宋体"/>
                <w:color w:val="auto"/>
                <w:lang w:eastAsia="zh-CN"/>
              </w:rPr>
            </w:pPr>
            <w:r>
              <w:rPr>
                <w:rFonts w:hint="eastAsia"/>
                <w:color w:val="auto"/>
                <w:lang w:eastAsia="zh-CN"/>
              </w:rPr>
              <w:t>沉渣</w:t>
            </w:r>
          </w:p>
        </w:tc>
        <w:tc>
          <w:tcPr>
            <w:tcW w:w="1600" w:type="dxa"/>
            <w:vAlign w:val="center"/>
          </w:tcPr>
          <w:p w14:paraId="48594FEE">
            <w:pPr>
              <w:pStyle w:val="42"/>
              <w:spacing w:beforeLines="0" w:afterLines="0" w:line="240" w:lineRule="auto"/>
              <w:rPr>
                <w:rFonts w:ascii="Times New Roman" w:cs="宋体"/>
                <w:snapToGrid w:val="0"/>
                <w:color w:val="auto"/>
                <w:kern w:val="21"/>
                <w:szCs w:val="21"/>
              </w:rPr>
            </w:pPr>
            <w:r>
              <w:rPr>
                <w:rFonts w:ascii="Times New Roman"/>
                <w:snapToGrid w:val="0"/>
                <w:color w:val="auto"/>
                <w:kern w:val="21"/>
                <w:szCs w:val="21"/>
              </w:rPr>
              <w:t>/</w:t>
            </w:r>
          </w:p>
        </w:tc>
        <w:tc>
          <w:tcPr>
            <w:tcW w:w="1600" w:type="dxa"/>
            <w:vAlign w:val="center"/>
          </w:tcPr>
          <w:p w14:paraId="255C465D">
            <w:pPr>
              <w:pStyle w:val="42"/>
              <w:spacing w:beforeLines="0" w:afterLines="0" w:line="240" w:lineRule="auto"/>
              <w:rPr>
                <w:rFonts w:ascii="Times New Roman" w:cs="宋体"/>
                <w:snapToGrid w:val="0"/>
                <w:color w:val="auto"/>
                <w:kern w:val="21"/>
                <w:szCs w:val="21"/>
              </w:rPr>
            </w:pPr>
            <w:r>
              <w:rPr>
                <w:rFonts w:ascii="Times New Roman"/>
                <w:snapToGrid w:val="0"/>
                <w:color w:val="auto"/>
                <w:kern w:val="21"/>
                <w:szCs w:val="21"/>
              </w:rPr>
              <w:t>/</w:t>
            </w:r>
          </w:p>
        </w:tc>
        <w:tc>
          <w:tcPr>
            <w:tcW w:w="1600" w:type="dxa"/>
            <w:vAlign w:val="center"/>
          </w:tcPr>
          <w:p w14:paraId="60041CA6">
            <w:pPr>
              <w:pStyle w:val="42"/>
              <w:spacing w:beforeLines="0" w:afterLines="0" w:line="240" w:lineRule="auto"/>
              <w:rPr>
                <w:rFonts w:ascii="Times New Roman" w:cs="宋体"/>
                <w:snapToGrid w:val="0"/>
                <w:color w:val="auto"/>
                <w:kern w:val="21"/>
                <w:szCs w:val="21"/>
              </w:rPr>
            </w:pPr>
            <w:r>
              <w:rPr>
                <w:rFonts w:ascii="Times New Roman"/>
                <w:snapToGrid w:val="0"/>
                <w:color w:val="auto"/>
                <w:kern w:val="21"/>
                <w:szCs w:val="21"/>
              </w:rPr>
              <w:t>/</w:t>
            </w:r>
          </w:p>
        </w:tc>
        <w:tc>
          <w:tcPr>
            <w:tcW w:w="1601" w:type="dxa"/>
            <w:vAlign w:val="center"/>
          </w:tcPr>
          <w:p w14:paraId="18CBF55B">
            <w:pPr>
              <w:pStyle w:val="42"/>
              <w:spacing w:beforeLines="0" w:afterLines="0" w:line="240" w:lineRule="auto"/>
              <w:rPr>
                <w:color w:val="auto"/>
              </w:rPr>
            </w:pPr>
            <w:r>
              <w:rPr>
                <w:rFonts w:hint="eastAsia"/>
                <w:color w:val="auto"/>
              </w:rPr>
              <w:t>3.5t</w:t>
            </w:r>
            <w:r>
              <w:rPr>
                <w:rFonts w:ascii="Times New Roman"/>
                <w:snapToGrid w:val="0"/>
                <w:color w:val="auto"/>
                <w:kern w:val="21"/>
                <w:szCs w:val="21"/>
              </w:rPr>
              <w:t>/a</w:t>
            </w:r>
          </w:p>
        </w:tc>
        <w:tc>
          <w:tcPr>
            <w:tcW w:w="1600" w:type="dxa"/>
            <w:vAlign w:val="center"/>
          </w:tcPr>
          <w:p w14:paraId="639070DC">
            <w:pPr>
              <w:pStyle w:val="4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600" w:type="dxa"/>
            <w:vAlign w:val="center"/>
          </w:tcPr>
          <w:p w14:paraId="374688BB">
            <w:pPr>
              <w:pStyle w:val="42"/>
              <w:spacing w:beforeLines="0" w:afterLines="0" w:line="240" w:lineRule="auto"/>
              <w:rPr>
                <w:color w:val="auto"/>
              </w:rPr>
            </w:pPr>
            <w:r>
              <w:rPr>
                <w:rFonts w:hint="eastAsia"/>
                <w:color w:val="auto"/>
              </w:rPr>
              <w:t>3.5t</w:t>
            </w:r>
            <w:r>
              <w:rPr>
                <w:rFonts w:ascii="Times New Roman"/>
                <w:snapToGrid w:val="0"/>
                <w:color w:val="auto"/>
                <w:kern w:val="21"/>
                <w:szCs w:val="21"/>
              </w:rPr>
              <w:t>/a</w:t>
            </w:r>
          </w:p>
        </w:tc>
        <w:tc>
          <w:tcPr>
            <w:tcW w:w="1601" w:type="dxa"/>
            <w:vAlign w:val="center"/>
          </w:tcPr>
          <w:p w14:paraId="27F83B7C">
            <w:pPr>
              <w:pStyle w:val="42"/>
              <w:spacing w:beforeLines="0" w:afterLines="0" w:line="240" w:lineRule="auto"/>
              <w:rPr>
                <w:color w:val="auto"/>
              </w:rPr>
            </w:pPr>
            <w:r>
              <w:rPr>
                <w:rFonts w:hint="eastAsia"/>
                <w:color w:val="auto"/>
              </w:rPr>
              <w:t>3.5t</w:t>
            </w:r>
            <w:r>
              <w:rPr>
                <w:rFonts w:ascii="Times New Roman"/>
                <w:snapToGrid w:val="0"/>
                <w:color w:val="auto"/>
                <w:kern w:val="21"/>
                <w:szCs w:val="21"/>
              </w:rPr>
              <w:t>/a</w:t>
            </w:r>
          </w:p>
        </w:tc>
      </w:tr>
      <w:tr w14:paraId="131E82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69" w:type="dxa"/>
            <w:vMerge w:val="restart"/>
            <w:vAlign w:val="center"/>
          </w:tcPr>
          <w:p w14:paraId="154C52BD">
            <w:pPr>
              <w:pStyle w:val="42"/>
              <w:spacing w:beforeLines="0" w:afterLines="0" w:line="240" w:lineRule="auto"/>
              <w:rPr>
                <w:rFonts w:ascii="Times New Roman" w:cs="宋体"/>
                <w:snapToGrid w:val="0"/>
                <w:kern w:val="21"/>
                <w:szCs w:val="21"/>
              </w:rPr>
            </w:pPr>
            <w:r>
              <w:rPr>
                <w:rFonts w:hint="eastAsia" w:ascii="Times New Roman" w:cs="宋体"/>
                <w:snapToGrid w:val="0"/>
                <w:kern w:val="21"/>
                <w:szCs w:val="21"/>
              </w:rPr>
              <w:t>危险废物</w:t>
            </w:r>
          </w:p>
        </w:tc>
        <w:tc>
          <w:tcPr>
            <w:tcW w:w="1417" w:type="dxa"/>
            <w:vAlign w:val="center"/>
          </w:tcPr>
          <w:p w14:paraId="2C0EC952">
            <w:pPr>
              <w:pStyle w:val="42"/>
              <w:spacing w:beforeLines="0" w:afterLines="0" w:line="240" w:lineRule="auto"/>
              <w:rPr>
                <w:color w:val="auto"/>
              </w:rPr>
            </w:pPr>
            <w:r>
              <w:rPr>
                <w:rFonts w:hint="eastAsia"/>
                <w:color w:val="auto"/>
              </w:rPr>
              <w:t>废矿物油</w:t>
            </w:r>
          </w:p>
        </w:tc>
        <w:tc>
          <w:tcPr>
            <w:tcW w:w="1600" w:type="dxa"/>
            <w:vAlign w:val="center"/>
          </w:tcPr>
          <w:p w14:paraId="4E4E0C28">
            <w:pPr>
              <w:pStyle w:val="42"/>
              <w:spacing w:beforeLines="0" w:afterLines="0" w:line="240" w:lineRule="auto"/>
              <w:rPr>
                <w:rFonts w:ascii="Times New Roman" w:cs="宋体"/>
                <w:snapToGrid w:val="0"/>
                <w:color w:val="auto"/>
                <w:kern w:val="21"/>
                <w:szCs w:val="21"/>
              </w:rPr>
            </w:pPr>
            <w:r>
              <w:rPr>
                <w:rFonts w:ascii="Times New Roman"/>
                <w:snapToGrid w:val="0"/>
                <w:color w:val="auto"/>
                <w:kern w:val="21"/>
                <w:szCs w:val="21"/>
              </w:rPr>
              <w:t>/</w:t>
            </w:r>
          </w:p>
        </w:tc>
        <w:tc>
          <w:tcPr>
            <w:tcW w:w="1600" w:type="dxa"/>
            <w:vAlign w:val="center"/>
          </w:tcPr>
          <w:p w14:paraId="23352B4E">
            <w:pPr>
              <w:pStyle w:val="42"/>
              <w:spacing w:beforeLines="0" w:afterLines="0" w:line="240" w:lineRule="auto"/>
              <w:rPr>
                <w:rFonts w:ascii="Times New Roman" w:cs="宋体"/>
                <w:snapToGrid w:val="0"/>
                <w:color w:val="auto"/>
                <w:kern w:val="21"/>
                <w:szCs w:val="21"/>
              </w:rPr>
            </w:pPr>
            <w:r>
              <w:rPr>
                <w:rFonts w:ascii="Times New Roman"/>
                <w:snapToGrid w:val="0"/>
                <w:color w:val="auto"/>
                <w:kern w:val="21"/>
                <w:szCs w:val="21"/>
              </w:rPr>
              <w:t>/</w:t>
            </w:r>
          </w:p>
        </w:tc>
        <w:tc>
          <w:tcPr>
            <w:tcW w:w="1600" w:type="dxa"/>
            <w:vAlign w:val="center"/>
          </w:tcPr>
          <w:p w14:paraId="49CB21D5">
            <w:pPr>
              <w:pStyle w:val="42"/>
              <w:spacing w:beforeLines="0" w:afterLines="0" w:line="240" w:lineRule="auto"/>
              <w:rPr>
                <w:rFonts w:ascii="Times New Roman" w:cs="宋体"/>
                <w:snapToGrid w:val="0"/>
                <w:color w:val="auto"/>
                <w:kern w:val="21"/>
                <w:szCs w:val="21"/>
              </w:rPr>
            </w:pPr>
            <w:r>
              <w:rPr>
                <w:rFonts w:ascii="Times New Roman"/>
                <w:snapToGrid w:val="0"/>
                <w:color w:val="auto"/>
                <w:kern w:val="21"/>
                <w:szCs w:val="21"/>
              </w:rPr>
              <w:t>/</w:t>
            </w:r>
          </w:p>
        </w:tc>
        <w:tc>
          <w:tcPr>
            <w:tcW w:w="1601" w:type="dxa"/>
            <w:vAlign w:val="center"/>
          </w:tcPr>
          <w:p w14:paraId="10DDC1B2">
            <w:pPr>
              <w:pStyle w:val="42"/>
              <w:spacing w:beforeLines="0" w:afterLines="0" w:line="240" w:lineRule="auto"/>
              <w:rPr>
                <w:color w:val="auto"/>
              </w:rPr>
            </w:pPr>
            <w:r>
              <w:rPr>
                <w:rFonts w:hint="eastAsia"/>
                <w:color w:val="auto"/>
              </w:rPr>
              <w:t>0.5t</w:t>
            </w:r>
            <w:r>
              <w:rPr>
                <w:rFonts w:ascii="Times New Roman"/>
                <w:snapToGrid w:val="0"/>
                <w:color w:val="auto"/>
                <w:kern w:val="21"/>
                <w:szCs w:val="21"/>
              </w:rPr>
              <w:t>/a</w:t>
            </w:r>
          </w:p>
        </w:tc>
        <w:tc>
          <w:tcPr>
            <w:tcW w:w="1600" w:type="dxa"/>
            <w:vAlign w:val="center"/>
          </w:tcPr>
          <w:p w14:paraId="265C90EC">
            <w:pPr>
              <w:pStyle w:val="4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600" w:type="dxa"/>
            <w:vAlign w:val="center"/>
          </w:tcPr>
          <w:p w14:paraId="48307D9C">
            <w:pPr>
              <w:pStyle w:val="42"/>
              <w:spacing w:beforeLines="0" w:afterLines="0" w:line="240" w:lineRule="auto"/>
              <w:rPr>
                <w:color w:val="auto"/>
              </w:rPr>
            </w:pPr>
            <w:r>
              <w:rPr>
                <w:rFonts w:hint="eastAsia"/>
                <w:color w:val="auto"/>
              </w:rPr>
              <w:t>0.5t</w:t>
            </w:r>
            <w:r>
              <w:rPr>
                <w:rFonts w:ascii="Times New Roman"/>
                <w:snapToGrid w:val="0"/>
                <w:color w:val="auto"/>
                <w:kern w:val="21"/>
                <w:szCs w:val="21"/>
              </w:rPr>
              <w:t>/a</w:t>
            </w:r>
          </w:p>
        </w:tc>
        <w:tc>
          <w:tcPr>
            <w:tcW w:w="1601" w:type="dxa"/>
            <w:vAlign w:val="center"/>
          </w:tcPr>
          <w:p w14:paraId="074F9547">
            <w:pPr>
              <w:pStyle w:val="42"/>
              <w:spacing w:beforeLines="0" w:afterLines="0" w:line="240" w:lineRule="auto"/>
              <w:rPr>
                <w:color w:val="auto"/>
              </w:rPr>
            </w:pPr>
            <w:r>
              <w:rPr>
                <w:rFonts w:hint="eastAsia"/>
                <w:color w:val="auto"/>
              </w:rPr>
              <w:t>0.5t</w:t>
            </w:r>
            <w:r>
              <w:rPr>
                <w:rFonts w:ascii="Times New Roman"/>
                <w:snapToGrid w:val="0"/>
                <w:color w:val="auto"/>
                <w:kern w:val="21"/>
                <w:szCs w:val="21"/>
              </w:rPr>
              <w:t>/a</w:t>
            </w:r>
          </w:p>
        </w:tc>
      </w:tr>
      <w:tr w14:paraId="783721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69" w:type="dxa"/>
            <w:vMerge w:val="continue"/>
            <w:vAlign w:val="center"/>
          </w:tcPr>
          <w:p w14:paraId="738C2400">
            <w:pPr>
              <w:pStyle w:val="42"/>
              <w:spacing w:beforeLines="0" w:afterLines="0" w:line="240" w:lineRule="auto"/>
              <w:rPr>
                <w:rFonts w:ascii="Times New Roman" w:cs="宋体"/>
                <w:snapToGrid w:val="0"/>
                <w:kern w:val="21"/>
                <w:szCs w:val="21"/>
              </w:rPr>
            </w:pPr>
          </w:p>
        </w:tc>
        <w:tc>
          <w:tcPr>
            <w:tcW w:w="1417" w:type="dxa"/>
            <w:vAlign w:val="center"/>
          </w:tcPr>
          <w:p w14:paraId="624E0E0E">
            <w:pPr>
              <w:pStyle w:val="42"/>
              <w:spacing w:beforeLines="0" w:afterLines="0" w:line="240" w:lineRule="auto"/>
              <w:rPr>
                <w:color w:val="auto"/>
              </w:rPr>
            </w:pPr>
            <w:r>
              <w:rPr>
                <w:rFonts w:hint="eastAsia"/>
                <w:color w:val="auto"/>
              </w:rPr>
              <w:t>废油桶</w:t>
            </w:r>
          </w:p>
        </w:tc>
        <w:tc>
          <w:tcPr>
            <w:tcW w:w="1600" w:type="dxa"/>
            <w:vAlign w:val="center"/>
          </w:tcPr>
          <w:p w14:paraId="677E2B3D">
            <w:pPr>
              <w:pStyle w:val="42"/>
              <w:spacing w:beforeLines="0" w:afterLines="0" w:line="240" w:lineRule="auto"/>
              <w:rPr>
                <w:rFonts w:ascii="Times New Roman" w:cs="宋体"/>
                <w:snapToGrid w:val="0"/>
                <w:color w:val="auto"/>
                <w:kern w:val="21"/>
                <w:szCs w:val="21"/>
              </w:rPr>
            </w:pPr>
            <w:r>
              <w:rPr>
                <w:rFonts w:ascii="Times New Roman"/>
                <w:snapToGrid w:val="0"/>
                <w:color w:val="auto"/>
                <w:kern w:val="21"/>
                <w:szCs w:val="21"/>
              </w:rPr>
              <w:t>/</w:t>
            </w:r>
          </w:p>
        </w:tc>
        <w:tc>
          <w:tcPr>
            <w:tcW w:w="1600" w:type="dxa"/>
            <w:vAlign w:val="center"/>
          </w:tcPr>
          <w:p w14:paraId="6E4DC289">
            <w:pPr>
              <w:pStyle w:val="42"/>
              <w:spacing w:beforeLines="0" w:afterLines="0" w:line="240" w:lineRule="auto"/>
              <w:rPr>
                <w:rFonts w:ascii="Times New Roman" w:cs="宋体"/>
                <w:snapToGrid w:val="0"/>
                <w:color w:val="auto"/>
                <w:kern w:val="21"/>
                <w:szCs w:val="21"/>
              </w:rPr>
            </w:pPr>
            <w:r>
              <w:rPr>
                <w:rFonts w:ascii="Times New Roman"/>
                <w:snapToGrid w:val="0"/>
                <w:color w:val="auto"/>
                <w:kern w:val="21"/>
                <w:szCs w:val="21"/>
              </w:rPr>
              <w:t>/</w:t>
            </w:r>
          </w:p>
        </w:tc>
        <w:tc>
          <w:tcPr>
            <w:tcW w:w="1600" w:type="dxa"/>
            <w:vAlign w:val="center"/>
          </w:tcPr>
          <w:p w14:paraId="382CF9E1">
            <w:pPr>
              <w:pStyle w:val="42"/>
              <w:spacing w:beforeLines="0" w:afterLines="0" w:line="240" w:lineRule="auto"/>
              <w:rPr>
                <w:rFonts w:ascii="Times New Roman" w:cs="宋体"/>
                <w:snapToGrid w:val="0"/>
                <w:color w:val="auto"/>
                <w:kern w:val="21"/>
                <w:szCs w:val="21"/>
              </w:rPr>
            </w:pPr>
            <w:r>
              <w:rPr>
                <w:rFonts w:ascii="Times New Roman"/>
                <w:snapToGrid w:val="0"/>
                <w:color w:val="auto"/>
                <w:kern w:val="21"/>
                <w:szCs w:val="21"/>
              </w:rPr>
              <w:t>/</w:t>
            </w:r>
          </w:p>
        </w:tc>
        <w:tc>
          <w:tcPr>
            <w:tcW w:w="1601" w:type="dxa"/>
            <w:vAlign w:val="center"/>
          </w:tcPr>
          <w:p w14:paraId="307B0D2C">
            <w:pPr>
              <w:pStyle w:val="42"/>
              <w:spacing w:beforeLines="0" w:afterLines="0" w:line="240" w:lineRule="auto"/>
              <w:rPr>
                <w:color w:val="auto"/>
              </w:rPr>
            </w:pPr>
            <w:r>
              <w:rPr>
                <w:rFonts w:hint="eastAsia"/>
                <w:color w:val="auto"/>
              </w:rPr>
              <w:t>0.1t</w:t>
            </w:r>
            <w:r>
              <w:rPr>
                <w:rFonts w:ascii="Times New Roman"/>
                <w:snapToGrid w:val="0"/>
                <w:color w:val="auto"/>
                <w:kern w:val="21"/>
                <w:szCs w:val="21"/>
              </w:rPr>
              <w:t>/a</w:t>
            </w:r>
          </w:p>
        </w:tc>
        <w:tc>
          <w:tcPr>
            <w:tcW w:w="1600" w:type="dxa"/>
            <w:vAlign w:val="center"/>
          </w:tcPr>
          <w:p w14:paraId="7BB5220E">
            <w:pPr>
              <w:pStyle w:val="4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600" w:type="dxa"/>
            <w:vAlign w:val="center"/>
          </w:tcPr>
          <w:p w14:paraId="6EE86174">
            <w:pPr>
              <w:pStyle w:val="42"/>
              <w:spacing w:beforeLines="0" w:afterLines="0" w:line="240" w:lineRule="auto"/>
              <w:rPr>
                <w:color w:val="auto"/>
              </w:rPr>
            </w:pPr>
            <w:r>
              <w:rPr>
                <w:rFonts w:hint="eastAsia"/>
                <w:color w:val="auto"/>
              </w:rPr>
              <w:t>0.1t</w:t>
            </w:r>
            <w:r>
              <w:rPr>
                <w:rFonts w:ascii="Times New Roman"/>
                <w:snapToGrid w:val="0"/>
                <w:color w:val="auto"/>
                <w:kern w:val="21"/>
                <w:szCs w:val="21"/>
              </w:rPr>
              <w:t>/a</w:t>
            </w:r>
          </w:p>
        </w:tc>
        <w:tc>
          <w:tcPr>
            <w:tcW w:w="1601" w:type="dxa"/>
            <w:vAlign w:val="center"/>
          </w:tcPr>
          <w:p w14:paraId="63EF8E68">
            <w:pPr>
              <w:pStyle w:val="42"/>
              <w:spacing w:beforeLines="0" w:afterLines="0" w:line="240" w:lineRule="auto"/>
              <w:rPr>
                <w:color w:val="auto"/>
              </w:rPr>
            </w:pPr>
            <w:r>
              <w:rPr>
                <w:rFonts w:hint="eastAsia"/>
                <w:color w:val="auto"/>
              </w:rPr>
              <w:t>0.1t</w:t>
            </w:r>
            <w:r>
              <w:rPr>
                <w:rFonts w:ascii="Times New Roman"/>
                <w:snapToGrid w:val="0"/>
                <w:color w:val="auto"/>
                <w:kern w:val="21"/>
                <w:szCs w:val="21"/>
              </w:rPr>
              <w:t>/a</w:t>
            </w:r>
          </w:p>
        </w:tc>
      </w:tr>
      <w:tr w14:paraId="251081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69" w:type="dxa"/>
            <w:vMerge w:val="continue"/>
            <w:vAlign w:val="center"/>
          </w:tcPr>
          <w:p w14:paraId="20E72870">
            <w:pPr>
              <w:pStyle w:val="42"/>
              <w:spacing w:beforeLines="0" w:afterLines="0" w:line="240" w:lineRule="auto"/>
              <w:rPr>
                <w:rFonts w:ascii="Times New Roman" w:cs="宋体"/>
                <w:snapToGrid w:val="0"/>
                <w:kern w:val="21"/>
                <w:szCs w:val="21"/>
              </w:rPr>
            </w:pPr>
          </w:p>
        </w:tc>
        <w:tc>
          <w:tcPr>
            <w:tcW w:w="1417" w:type="dxa"/>
            <w:vAlign w:val="center"/>
          </w:tcPr>
          <w:p w14:paraId="5F0708B2">
            <w:pPr>
              <w:pStyle w:val="42"/>
              <w:spacing w:beforeLines="0" w:afterLines="0" w:line="240" w:lineRule="auto"/>
              <w:rPr>
                <w:color w:val="auto"/>
              </w:rPr>
            </w:pPr>
            <w:r>
              <w:rPr>
                <w:rFonts w:hint="eastAsia"/>
                <w:color w:val="auto"/>
              </w:rPr>
              <w:t>废含油抹布和手套</w:t>
            </w:r>
          </w:p>
        </w:tc>
        <w:tc>
          <w:tcPr>
            <w:tcW w:w="1600" w:type="dxa"/>
            <w:vAlign w:val="center"/>
          </w:tcPr>
          <w:p w14:paraId="2BE5791B">
            <w:pPr>
              <w:pStyle w:val="4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600" w:type="dxa"/>
            <w:vAlign w:val="center"/>
          </w:tcPr>
          <w:p w14:paraId="1D63DA47">
            <w:pPr>
              <w:pStyle w:val="4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600" w:type="dxa"/>
            <w:vAlign w:val="center"/>
          </w:tcPr>
          <w:p w14:paraId="1AB984A0">
            <w:pPr>
              <w:pStyle w:val="42"/>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601" w:type="dxa"/>
            <w:vAlign w:val="center"/>
          </w:tcPr>
          <w:p w14:paraId="5A21B5C1">
            <w:pPr>
              <w:pStyle w:val="42"/>
              <w:spacing w:beforeLines="0" w:afterLines="0" w:line="240" w:lineRule="auto"/>
              <w:rPr>
                <w:color w:val="auto"/>
              </w:rPr>
            </w:pPr>
            <w:r>
              <w:rPr>
                <w:rFonts w:hint="eastAsia"/>
                <w:color w:val="auto"/>
              </w:rPr>
              <w:t>0.01t/a</w:t>
            </w:r>
          </w:p>
        </w:tc>
        <w:tc>
          <w:tcPr>
            <w:tcW w:w="1600" w:type="dxa"/>
            <w:vAlign w:val="center"/>
          </w:tcPr>
          <w:p w14:paraId="5A469FD4">
            <w:pPr>
              <w:pStyle w:val="42"/>
              <w:spacing w:beforeLines="0" w:afterLines="0" w:line="240" w:lineRule="auto"/>
              <w:rPr>
                <w:color w:val="auto"/>
              </w:rPr>
            </w:pPr>
          </w:p>
        </w:tc>
        <w:tc>
          <w:tcPr>
            <w:tcW w:w="1600" w:type="dxa"/>
            <w:vAlign w:val="center"/>
          </w:tcPr>
          <w:p w14:paraId="626E6560">
            <w:pPr>
              <w:pStyle w:val="42"/>
              <w:spacing w:beforeLines="0" w:afterLines="0" w:line="240" w:lineRule="auto"/>
              <w:rPr>
                <w:color w:val="auto"/>
              </w:rPr>
            </w:pPr>
            <w:r>
              <w:rPr>
                <w:rFonts w:hint="eastAsia"/>
                <w:color w:val="auto"/>
              </w:rPr>
              <w:t>0.01t/a</w:t>
            </w:r>
          </w:p>
        </w:tc>
        <w:tc>
          <w:tcPr>
            <w:tcW w:w="1601" w:type="dxa"/>
            <w:vAlign w:val="center"/>
          </w:tcPr>
          <w:p w14:paraId="4033FA27">
            <w:pPr>
              <w:pStyle w:val="42"/>
              <w:spacing w:beforeLines="0" w:afterLines="0" w:line="240" w:lineRule="auto"/>
              <w:rPr>
                <w:color w:val="auto"/>
              </w:rPr>
            </w:pPr>
            <w:r>
              <w:rPr>
                <w:rFonts w:hint="eastAsia"/>
                <w:color w:val="auto"/>
              </w:rPr>
              <w:t>0.01t/a</w:t>
            </w:r>
          </w:p>
        </w:tc>
      </w:tr>
      <w:tr w14:paraId="1416BE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69" w:type="dxa"/>
            <w:vAlign w:val="center"/>
          </w:tcPr>
          <w:p w14:paraId="6794BD0E">
            <w:pPr>
              <w:pStyle w:val="42"/>
              <w:spacing w:beforeLines="0" w:afterLines="0" w:line="240" w:lineRule="auto"/>
              <w:rPr>
                <w:rFonts w:ascii="Times New Roman" w:cs="宋体"/>
                <w:snapToGrid w:val="0"/>
                <w:kern w:val="21"/>
                <w:szCs w:val="21"/>
              </w:rPr>
            </w:pPr>
            <w:r>
              <w:rPr>
                <w:rFonts w:hint="eastAsia" w:ascii="Times New Roman" w:cs="宋体"/>
                <w:snapToGrid w:val="0"/>
                <w:kern w:val="21"/>
                <w:szCs w:val="21"/>
              </w:rPr>
              <w:t>生活垃圾</w:t>
            </w:r>
          </w:p>
        </w:tc>
        <w:tc>
          <w:tcPr>
            <w:tcW w:w="1417" w:type="dxa"/>
            <w:vAlign w:val="center"/>
          </w:tcPr>
          <w:p w14:paraId="5025AEE2">
            <w:pPr>
              <w:pStyle w:val="42"/>
              <w:spacing w:beforeLines="0" w:afterLines="0" w:line="240" w:lineRule="auto"/>
              <w:rPr>
                <w:color w:val="auto"/>
              </w:rPr>
            </w:pPr>
            <w:r>
              <w:rPr>
                <w:rFonts w:hint="eastAsia"/>
                <w:color w:val="auto"/>
              </w:rPr>
              <w:t>生活垃圾</w:t>
            </w:r>
          </w:p>
        </w:tc>
        <w:tc>
          <w:tcPr>
            <w:tcW w:w="1600" w:type="dxa"/>
            <w:vAlign w:val="center"/>
          </w:tcPr>
          <w:p w14:paraId="50B2E40D">
            <w:pPr>
              <w:pStyle w:val="42"/>
              <w:spacing w:beforeLines="0" w:afterLines="0" w:line="240" w:lineRule="auto"/>
              <w:rPr>
                <w:color w:val="auto"/>
              </w:rPr>
            </w:pPr>
            <w:r>
              <w:rPr>
                <w:color w:val="auto"/>
              </w:rPr>
              <w:t>/</w:t>
            </w:r>
          </w:p>
        </w:tc>
        <w:tc>
          <w:tcPr>
            <w:tcW w:w="1600" w:type="dxa"/>
            <w:vAlign w:val="center"/>
          </w:tcPr>
          <w:p w14:paraId="79E3994A">
            <w:pPr>
              <w:pStyle w:val="42"/>
              <w:spacing w:beforeLines="0" w:afterLines="0" w:line="240" w:lineRule="auto"/>
              <w:rPr>
                <w:color w:val="auto"/>
              </w:rPr>
            </w:pPr>
            <w:r>
              <w:rPr>
                <w:color w:val="auto"/>
              </w:rPr>
              <w:t>/</w:t>
            </w:r>
          </w:p>
        </w:tc>
        <w:tc>
          <w:tcPr>
            <w:tcW w:w="1600" w:type="dxa"/>
            <w:vAlign w:val="center"/>
          </w:tcPr>
          <w:p w14:paraId="2B7CB288">
            <w:pPr>
              <w:pStyle w:val="42"/>
              <w:spacing w:beforeLines="0" w:afterLines="0" w:line="240" w:lineRule="auto"/>
              <w:rPr>
                <w:color w:val="auto"/>
              </w:rPr>
            </w:pPr>
            <w:r>
              <w:rPr>
                <w:color w:val="auto"/>
              </w:rPr>
              <w:t>/</w:t>
            </w:r>
          </w:p>
        </w:tc>
        <w:tc>
          <w:tcPr>
            <w:tcW w:w="1601" w:type="dxa"/>
            <w:vAlign w:val="center"/>
          </w:tcPr>
          <w:p w14:paraId="69D9CE9D">
            <w:pPr>
              <w:pStyle w:val="42"/>
              <w:spacing w:beforeLines="0" w:afterLines="0" w:line="240" w:lineRule="auto"/>
              <w:rPr>
                <w:color w:val="auto"/>
              </w:rPr>
            </w:pPr>
            <w:r>
              <w:rPr>
                <w:rFonts w:hint="eastAsia"/>
                <w:color w:val="auto"/>
              </w:rPr>
              <w:t>0.9t</w:t>
            </w:r>
            <w:r>
              <w:rPr>
                <w:color w:val="auto"/>
              </w:rPr>
              <w:t>/a</w:t>
            </w:r>
          </w:p>
        </w:tc>
        <w:tc>
          <w:tcPr>
            <w:tcW w:w="1600" w:type="dxa"/>
            <w:vAlign w:val="center"/>
          </w:tcPr>
          <w:p w14:paraId="63D85A9D">
            <w:pPr>
              <w:pStyle w:val="42"/>
              <w:spacing w:beforeLines="0" w:afterLines="0" w:line="240" w:lineRule="auto"/>
              <w:rPr>
                <w:color w:val="auto"/>
              </w:rPr>
            </w:pPr>
            <w:r>
              <w:rPr>
                <w:color w:val="auto"/>
              </w:rPr>
              <w:t>/</w:t>
            </w:r>
          </w:p>
        </w:tc>
        <w:tc>
          <w:tcPr>
            <w:tcW w:w="1600" w:type="dxa"/>
            <w:vAlign w:val="center"/>
          </w:tcPr>
          <w:p w14:paraId="7E19235B">
            <w:pPr>
              <w:pStyle w:val="42"/>
              <w:spacing w:beforeLines="0" w:afterLines="0" w:line="240" w:lineRule="auto"/>
              <w:rPr>
                <w:color w:val="auto"/>
              </w:rPr>
            </w:pPr>
            <w:r>
              <w:rPr>
                <w:rFonts w:hint="eastAsia"/>
                <w:color w:val="auto"/>
              </w:rPr>
              <w:t>0.9t</w:t>
            </w:r>
            <w:r>
              <w:rPr>
                <w:color w:val="auto"/>
              </w:rPr>
              <w:t>/a</w:t>
            </w:r>
          </w:p>
        </w:tc>
        <w:tc>
          <w:tcPr>
            <w:tcW w:w="1601" w:type="dxa"/>
            <w:vAlign w:val="center"/>
          </w:tcPr>
          <w:p w14:paraId="256E5099">
            <w:pPr>
              <w:pStyle w:val="42"/>
              <w:spacing w:beforeLines="0" w:afterLines="0" w:line="240" w:lineRule="auto"/>
              <w:rPr>
                <w:color w:val="auto"/>
              </w:rPr>
            </w:pPr>
            <w:r>
              <w:rPr>
                <w:rFonts w:hint="eastAsia"/>
                <w:color w:val="auto"/>
              </w:rPr>
              <w:t>0.9t</w:t>
            </w:r>
            <w:r>
              <w:rPr>
                <w:color w:val="auto"/>
              </w:rPr>
              <w:t>/a</w:t>
            </w:r>
          </w:p>
        </w:tc>
      </w:tr>
    </w:tbl>
    <w:p w14:paraId="2B71DD74">
      <w:pPr>
        <w:pStyle w:val="42"/>
        <w:spacing w:before="192" w:beforeLines="80" w:after="24"/>
        <w:jc w:val="left"/>
        <w:rPr>
          <w:rFonts w:ascii="Times New Roman"/>
          <w:snapToGrid w:val="0"/>
          <w:spacing w:val="-6"/>
          <w:kern w:val="21"/>
          <w:szCs w:val="21"/>
        </w:rPr>
      </w:pPr>
      <w:r>
        <w:rPr>
          <w:rFonts w:ascii="Times New Roman"/>
          <w:snapToGrid w:val="0"/>
          <w:kern w:val="21"/>
          <w:szCs w:val="21"/>
        </w:rPr>
        <w:t>注：</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hint="eastAsia" w:hAnsi="宋体" w:cs="宋体"/>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hint="eastAsia" w:hAnsi="宋体" w:cs="宋体"/>
          <w:szCs w:val="21"/>
        </w:rPr>
        <w:t>①</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hint="eastAsia" w:hAnsi="宋体" w:cs="宋体"/>
          <w:szCs w:val="21"/>
        </w:rPr>
        <w:t>③</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hint="eastAsia" w:hAnsi="宋体" w:cs="宋体"/>
          <w:szCs w:val="21"/>
        </w:rPr>
        <w:t>④</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hint="eastAsia" w:hAnsi="宋体" w:cs="宋体"/>
          <w:szCs w:val="21"/>
        </w:rPr>
        <w:t>⑤</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hint="eastAsia" w:hAnsi="宋体" w:cs="宋体"/>
          <w:szCs w:val="21"/>
        </w:rPr>
        <w:t>⑦</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hint="eastAsia" w:hAnsi="宋体" w:cs="宋体"/>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hint="eastAsia" w:hAnsi="宋体" w:cs="宋体"/>
          <w:szCs w:val="21"/>
        </w:rPr>
        <w:t>①</w:t>
      </w:r>
      <w:r>
        <w:rPr>
          <w:rFonts w:ascii="Times New Roman"/>
          <w:snapToGrid w:val="0"/>
          <w:spacing w:val="-6"/>
          <w:kern w:val="21"/>
          <w:szCs w:val="21"/>
        </w:rPr>
        <w:fldChar w:fldCharType="end"/>
      </w:r>
    </w:p>
    <w:p w14:paraId="5DD4E2DD">
      <w:pPr>
        <w:pStyle w:val="48"/>
        <w:ind w:firstLine="482"/>
        <w:jc w:val="left"/>
      </w:pPr>
      <w:r>
        <w:rPr>
          <w:rFonts w:hint="eastAsia"/>
        </w:rPr>
        <w:t xml:space="preserve">附图 </w:t>
      </w:r>
      <w:r>
        <w:rPr>
          <w:rFonts w:hint="eastAsia"/>
        </w:rPr>
        <w:fldChar w:fldCharType="begin"/>
      </w:r>
      <w:r>
        <w:rPr>
          <w:rFonts w:hint="eastAsia"/>
        </w:rPr>
        <w:instrText xml:space="preserve"> SEQ 附图 \* ARABIC </w:instrText>
      </w:r>
      <w:r>
        <w:rPr>
          <w:rFonts w:hint="eastAsia"/>
        </w:rPr>
        <w:fldChar w:fldCharType="separate"/>
      </w:r>
      <w:r>
        <w:t>1</w:t>
      </w:r>
      <w:r>
        <w:rPr>
          <w:rFonts w:hint="eastAsia"/>
        </w:rPr>
        <w:fldChar w:fldCharType="end"/>
      </w:r>
      <w:r>
        <w:rPr>
          <w:rFonts w:hint="eastAsia"/>
        </w:rPr>
        <w:t>：地理位置图</w:t>
      </w:r>
    </w:p>
    <w:p w14:paraId="19DE4B46">
      <w:pPr>
        <w:jc w:val="center"/>
      </w:pPr>
      <w:r>
        <w:rPr>
          <w:snapToGrid/>
        </w:rPr>
        <mc:AlternateContent>
          <mc:Choice Requires="wps">
            <w:drawing>
              <wp:anchor distT="0" distB="0" distL="114300" distR="114300" simplePos="0" relativeHeight="251661312" behindDoc="0" locked="0" layoutInCell="1" allowOverlap="1">
                <wp:simplePos x="0" y="0"/>
                <wp:positionH relativeFrom="column">
                  <wp:posOffset>2668270</wp:posOffset>
                </wp:positionH>
                <wp:positionV relativeFrom="paragraph">
                  <wp:posOffset>2487295</wp:posOffset>
                </wp:positionV>
                <wp:extent cx="1380490" cy="1009015"/>
                <wp:effectExtent l="2540" t="0" r="7620" b="19685"/>
                <wp:wrapNone/>
                <wp:docPr id="297775420" name="直接箭头连接符 52"/>
                <wp:cNvGraphicFramePr/>
                <a:graphic xmlns:a="http://schemas.openxmlformats.org/drawingml/2006/main">
                  <a:graphicData uri="http://schemas.microsoft.com/office/word/2010/wordprocessingShape">
                    <wps:wsp>
                      <wps:cNvCnPr/>
                      <wps:spPr>
                        <a:xfrm flipV="1">
                          <a:off x="0" y="0"/>
                          <a:ext cx="1380227" cy="1009291"/>
                        </a:xfrm>
                        <a:prstGeom prst="straightConnector1">
                          <a:avLst/>
                        </a:prstGeom>
                        <a:ln>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52" o:spid="_x0000_s1026" o:spt="32" type="#_x0000_t32" style="position:absolute;left:0pt;flip:y;margin-left:210.1pt;margin-top:195.85pt;height:79.45pt;width:108.7pt;z-index:251661312;mso-width-relative:page;mso-height-relative:page;" filled="f" stroked="t" coordsize="21600,21600" o:gfxdata="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p+9TLa&#10;AAAACwEAAA8AAAAAAAAAAQAgAAAAIgAAAGRycy9kb3ducmV2LnhtbFBLAQIUABQAAAAIAIdO4kCk&#10;M/Z6HgIAAPoDAAAOAAAAAAAAAAEAIAAAACkBAABkcnMvZTJvRG9jLnhtbFBLBQYAAAAABgAGAFkB&#10;AAC5BQAAAAA=&#10;">
                <v:fill on="f" focussize="0,0"/>
                <v:stroke weight="0.5pt" color="#EE0000 [3204]" miterlimit="8" joinstyle="miter" endarrow="block"/>
                <v:imagedata o:title=""/>
                <o:lock v:ext="edit" aspectratio="f"/>
              </v:shape>
            </w:pict>
          </mc:Fallback>
        </mc:AlternateContent>
      </w:r>
      <w:r>
        <w:rPr>
          <w:snapToGrid/>
        </w:rPr>
        <mc:AlternateContent>
          <mc:Choice Requires="wps">
            <w:drawing>
              <wp:anchor distT="0" distB="0" distL="114300" distR="114300" simplePos="0" relativeHeight="251660288" behindDoc="0" locked="0" layoutInCell="1" allowOverlap="1">
                <wp:simplePos x="0" y="0"/>
                <wp:positionH relativeFrom="column">
                  <wp:posOffset>2113280</wp:posOffset>
                </wp:positionH>
                <wp:positionV relativeFrom="paragraph">
                  <wp:posOffset>3515995</wp:posOffset>
                </wp:positionV>
                <wp:extent cx="914400" cy="361950"/>
                <wp:effectExtent l="0" t="0" r="0" b="0"/>
                <wp:wrapNone/>
                <wp:docPr id="1389597547" name="文本框 51"/>
                <wp:cNvGraphicFramePr/>
                <a:graphic xmlns:a="http://schemas.openxmlformats.org/drawingml/2006/main">
                  <a:graphicData uri="http://schemas.microsoft.com/office/word/2010/wordprocessingShape">
                    <wps:wsp>
                      <wps:cNvSpPr txBox="1"/>
                      <wps:spPr>
                        <a:xfrm>
                          <a:off x="0" y="0"/>
                          <a:ext cx="914400" cy="361950"/>
                        </a:xfrm>
                        <a:prstGeom prst="rect">
                          <a:avLst/>
                        </a:prstGeom>
                        <a:noFill/>
                        <a:ln w="6350">
                          <a:noFill/>
                        </a:ln>
                      </wps:spPr>
                      <wps:txbx>
                        <w:txbxContent>
                          <w:p w14:paraId="1F6960CB">
                            <w:pPr>
                              <w:rPr>
                                <w:b/>
                                <w:bCs/>
                              </w:rPr>
                            </w:pPr>
                            <w:r>
                              <w:rPr>
                                <w:rFonts w:hint="eastAsia"/>
                                <w:b/>
                                <w:bCs/>
                                <w:color w:val="EE0000"/>
                              </w:rPr>
                              <w:t>项目位置</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文本框 51" o:spid="_x0000_s1026" o:spt="202" type="#_x0000_t202" style="position:absolute;left:0pt;margin-left:166.4pt;margin-top:276.85pt;height:28.5pt;width:72pt;mso-wrap-style:none;z-index:251660288;mso-width-relative:page;mso-height-relative:page;" filled="f" stroked="f" coordsize="21600,21600" o:gfxdata="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XxV23dAAAACwEAAA8AAAAAAAAAAQAgAAAA&#10;IgAAAGRycy9kb3ducmV2LnhtbFBLAQIUABQAAAAIAIdO4kAyK1CYPwIAAG0EAAAOAAAAAAAAAAEA&#10;IAAAACwBAABkcnMvZTJvRG9jLnhtbFBLBQYAAAAABgAGAFkBAADdBQAAAAA=&#10;">
                <v:fill on="f" focussize="0,0"/>
                <v:stroke on="f" weight="0.5pt"/>
                <v:imagedata o:title=""/>
                <o:lock v:ext="edit" aspectratio="f"/>
                <v:textbox>
                  <w:txbxContent>
                    <w:p w14:paraId="1F6960CB">
                      <w:pPr>
                        <w:rPr>
                          <w:b/>
                          <w:bCs/>
                        </w:rPr>
                      </w:pPr>
                      <w:r>
                        <w:rPr>
                          <w:rFonts w:hint="eastAsia"/>
                          <w:b/>
                          <w:bCs/>
                          <w:color w:val="EE0000"/>
                        </w:rPr>
                        <w:t>项目位置</w:t>
                      </w:r>
                    </w:p>
                  </w:txbxContent>
                </v:textbox>
              </v:shape>
            </w:pict>
          </mc:Fallback>
        </mc:AlternateContent>
      </w:r>
      <w:r>
        <w:drawing>
          <wp:anchor distT="0" distB="0" distL="114300" distR="114300" simplePos="0" relativeHeight="251659264" behindDoc="0" locked="0" layoutInCell="1" allowOverlap="1">
            <wp:simplePos x="0" y="0"/>
            <wp:positionH relativeFrom="column">
              <wp:posOffset>7468235</wp:posOffset>
            </wp:positionH>
            <wp:positionV relativeFrom="paragraph">
              <wp:posOffset>2540</wp:posOffset>
            </wp:positionV>
            <wp:extent cx="519430" cy="1063625"/>
            <wp:effectExtent l="0" t="0" r="13970" b="3175"/>
            <wp:wrapNone/>
            <wp:docPr id="2" name="图片 2" descr="69f5d7411a83b38330f3b712c911a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9f5d7411a83b38330f3b712c911a5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9430" cy="1063625"/>
                    </a:xfrm>
                    <a:prstGeom prst="rect">
                      <a:avLst/>
                    </a:prstGeom>
                  </pic:spPr>
                </pic:pic>
              </a:graphicData>
            </a:graphic>
          </wp:anchor>
        </w:drawing>
      </w:r>
      <w:r>
        <w:drawing>
          <wp:inline distT="0" distB="0" distL="0" distR="0">
            <wp:extent cx="7147560" cy="5039995"/>
            <wp:effectExtent l="0" t="0" r="15240" b="8255"/>
            <wp:docPr id="766351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35149" name="图片 1"/>
                    <pic:cNvPicPr>
                      <a:picLocks noChangeAspect="1"/>
                    </pic:cNvPicPr>
                  </pic:nvPicPr>
                  <pic:blipFill>
                    <a:blip r:embed="rId36"/>
                    <a:stretch>
                      <a:fillRect/>
                    </a:stretch>
                  </pic:blipFill>
                  <pic:spPr>
                    <a:xfrm>
                      <a:off x="0" y="0"/>
                      <a:ext cx="7147989" cy="5040000"/>
                    </a:xfrm>
                    <a:prstGeom prst="rect">
                      <a:avLst/>
                    </a:prstGeom>
                  </pic:spPr>
                </pic:pic>
              </a:graphicData>
            </a:graphic>
          </wp:inline>
        </w:drawing>
      </w:r>
    </w:p>
    <w:sectPr>
      <w:headerReference r:id="rId11" w:type="first"/>
      <w:headerReference r:id="rId9" w:type="default"/>
      <w:headerReference r:id="rId10" w:type="even"/>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方正小标宋_GBK">
    <w:panose1 w:val="02000000000000000000"/>
    <w:charset w:val="86"/>
    <w:family w:val="script"/>
    <w:pitch w:val="default"/>
    <w:sig w:usb0="A00002BF" w:usb1="38CF7CFA" w:usb2="00082016" w:usb3="00000000" w:csb0="00040001"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Segoe UI Symbol">
    <w:panose1 w:val="020B0502040204020203"/>
    <w:charset w:val="00"/>
    <w:family w:val="swiss"/>
    <w:pitch w:val="default"/>
    <w:sig w:usb0="800001E3" w:usb1="1200FFEF" w:usb2="00040000" w:usb3="04000000" w:csb0="00000001" w:csb1="40000000"/>
  </w:font>
  <w:font w:name="Wingdings 2">
    <w:panose1 w:val="050201020105070707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1F53D">
    <w:pPr>
      <w:pStyle w:val="1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81842479"/>
    </w:sdtPr>
    <w:sdtContent>
      <w:p w14:paraId="655D7F8E">
        <w:pPr>
          <w:pStyle w:val="15"/>
          <w:jc w:val="center"/>
        </w:pPr>
        <w:r>
          <w:fldChar w:fldCharType="begin"/>
        </w:r>
        <w:r>
          <w:instrText xml:space="preserve">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50877652"/>
    </w:sdtPr>
    <w:sdtContent>
      <w:p w14:paraId="1435A945">
        <w:pPr>
          <w:pStyle w:val="15"/>
          <w:jc w:val="center"/>
        </w:pPr>
        <w:r>
          <w:fldChar w:fldCharType="begin"/>
        </w:r>
        <w:r>
          <w:instrText xml:space="preserve">PAGE   \* MERGEFORMAT</w:instrText>
        </w:r>
        <w:r>
          <w:fldChar w:fldCharType="separate"/>
        </w:r>
        <w:r>
          <w:rPr>
            <w:lang w:val="zh-CN"/>
          </w:rPr>
          <w:t>2</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BFBEBB">
    <w:pPr>
      <w:pStyle w:val="1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474DC1">
    <w:pPr>
      <w:pStyle w:val="1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7A2099">
    <w:pPr>
      <w:pStyle w:val="1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B4F49">
    <w:pPr>
      <w:pStyle w:val="1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4FFE7">
    <w:pPr>
      <w:pStyle w:val="1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F87EB">
    <w:pPr>
      <w:pStyle w:val="1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95E28F7"/>
    <w:multiLevelType w:val="multilevel"/>
    <w:tmpl w:val="295E28F7"/>
    <w:lvl w:ilvl="0" w:tentative="0">
      <w:start w:val="1"/>
      <w:numFmt w:val="decimal"/>
      <w:suff w:val="nothing"/>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298A3C8F"/>
    <w:multiLevelType w:val="multilevel"/>
    <w:tmpl w:val="298A3C8F"/>
    <w:lvl w:ilvl="0" w:tentative="0">
      <w:start w:val="1"/>
      <w:numFmt w:val="chineseCountingThousand"/>
      <w:pStyle w:val="2"/>
      <w:suff w:val="space"/>
      <w:lvlText w:val="%1、"/>
      <w:lvlJc w:val="left"/>
      <w:pPr>
        <w:ind w:left="0" w:firstLine="0"/>
      </w:pPr>
      <w:rPr>
        <w:rFonts w:hint="eastAsia"/>
      </w:rPr>
    </w:lvl>
    <w:lvl w:ilvl="1" w:tentative="0">
      <w:start w:val="1"/>
      <w:numFmt w:val="decimal"/>
      <w:pStyle w:val="4"/>
      <w:isLgl/>
      <w:suff w:val="space"/>
      <w:lvlText w:val="%1.%2"/>
      <w:lvlJc w:val="left"/>
      <w:pPr>
        <w:ind w:left="0" w:firstLine="0"/>
      </w:pPr>
      <w:rPr>
        <w:rFonts w:hint="eastAsia"/>
      </w:rPr>
    </w:lvl>
    <w:lvl w:ilvl="2" w:tentative="0">
      <w:start w:val="1"/>
      <w:numFmt w:val="decimal"/>
      <w:pStyle w:val="5"/>
      <w:isLgl/>
      <w:suff w:val="space"/>
      <w:lvlText w:val="%1.%2.%3"/>
      <w:lvlJc w:val="left"/>
      <w:pPr>
        <w:ind w:left="0" w:hanging="32766"/>
      </w:pPr>
      <w:rPr>
        <w:rFonts w:hint="eastAsia"/>
      </w:rPr>
    </w:lvl>
    <w:lvl w:ilvl="3" w:tentative="0">
      <w:start w:val="1"/>
      <w:numFmt w:val="decimal"/>
      <w:pStyle w:val="6"/>
      <w:isLgl/>
      <w:suff w:val="space"/>
      <w:lvlText w:val="%1.%2.%3.%4"/>
      <w:lvlJc w:val="left"/>
      <w:pPr>
        <w:ind w:left="0" w:firstLine="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5561414C"/>
    <w:multiLevelType w:val="multilevel"/>
    <w:tmpl w:val="5561414C"/>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68530AAC"/>
    <w:multiLevelType w:val="multilevel"/>
    <w:tmpl w:val="68530AAC"/>
    <w:lvl w:ilvl="0" w:tentative="0">
      <w:start w:val="1"/>
      <w:numFmt w:val="decimal"/>
      <w:suff w:val="nothing"/>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RmOWFkY2NhNWE0YzNmMjM1YjlkMTc4M2Q0ZTQxMDcifQ=="/>
  </w:docVars>
  <w:rsids>
    <w:rsidRoot w:val="00A14947"/>
    <w:rsid w:val="00001B30"/>
    <w:rsid w:val="0000328A"/>
    <w:rsid w:val="000038EF"/>
    <w:rsid w:val="000060B3"/>
    <w:rsid w:val="00013725"/>
    <w:rsid w:val="00013E22"/>
    <w:rsid w:val="00014A59"/>
    <w:rsid w:val="0001615B"/>
    <w:rsid w:val="000176F4"/>
    <w:rsid w:val="00020056"/>
    <w:rsid w:val="000202BB"/>
    <w:rsid w:val="000213AC"/>
    <w:rsid w:val="00026D44"/>
    <w:rsid w:val="000273AC"/>
    <w:rsid w:val="0003627C"/>
    <w:rsid w:val="00036C54"/>
    <w:rsid w:val="00037A32"/>
    <w:rsid w:val="00040EF1"/>
    <w:rsid w:val="0004364B"/>
    <w:rsid w:val="00043BDA"/>
    <w:rsid w:val="00044EF4"/>
    <w:rsid w:val="00047CCF"/>
    <w:rsid w:val="000509FF"/>
    <w:rsid w:val="000519C5"/>
    <w:rsid w:val="00051D57"/>
    <w:rsid w:val="000538F0"/>
    <w:rsid w:val="00054DEA"/>
    <w:rsid w:val="0005547A"/>
    <w:rsid w:val="0005569E"/>
    <w:rsid w:val="000556E6"/>
    <w:rsid w:val="00055E7E"/>
    <w:rsid w:val="000578A5"/>
    <w:rsid w:val="00061B1F"/>
    <w:rsid w:val="00062356"/>
    <w:rsid w:val="00065E68"/>
    <w:rsid w:val="00066908"/>
    <w:rsid w:val="00070030"/>
    <w:rsid w:val="0007030C"/>
    <w:rsid w:val="0007161F"/>
    <w:rsid w:val="00071C77"/>
    <w:rsid w:val="000720A6"/>
    <w:rsid w:val="000733C4"/>
    <w:rsid w:val="00074783"/>
    <w:rsid w:val="00076687"/>
    <w:rsid w:val="0008070B"/>
    <w:rsid w:val="000810AC"/>
    <w:rsid w:val="00081A02"/>
    <w:rsid w:val="00082231"/>
    <w:rsid w:val="000860D3"/>
    <w:rsid w:val="00086158"/>
    <w:rsid w:val="00087493"/>
    <w:rsid w:val="00092023"/>
    <w:rsid w:val="00092D38"/>
    <w:rsid w:val="0009377B"/>
    <w:rsid w:val="00095F6C"/>
    <w:rsid w:val="0009618F"/>
    <w:rsid w:val="000A20C9"/>
    <w:rsid w:val="000A32CF"/>
    <w:rsid w:val="000A39A7"/>
    <w:rsid w:val="000A6396"/>
    <w:rsid w:val="000B03B4"/>
    <w:rsid w:val="000B058F"/>
    <w:rsid w:val="000B07A0"/>
    <w:rsid w:val="000B1284"/>
    <w:rsid w:val="000B3069"/>
    <w:rsid w:val="000B4467"/>
    <w:rsid w:val="000B4DB9"/>
    <w:rsid w:val="000C09AC"/>
    <w:rsid w:val="000C1CBF"/>
    <w:rsid w:val="000C308E"/>
    <w:rsid w:val="000C4900"/>
    <w:rsid w:val="000C6377"/>
    <w:rsid w:val="000C6623"/>
    <w:rsid w:val="000C767F"/>
    <w:rsid w:val="000C7C1B"/>
    <w:rsid w:val="000D4230"/>
    <w:rsid w:val="000D4DD5"/>
    <w:rsid w:val="000D5A44"/>
    <w:rsid w:val="000D62AD"/>
    <w:rsid w:val="000E05F2"/>
    <w:rsid w:val="000E10F3"/>
    <w:rsid w:val="000E1B07"/>
    <w:rsid w:val="000E360E"/>
    <w:rsid w:val="000E3AFA"/>
    <w:rsid w:val="000E3ED2"/>
    <w:rsid w:val="000E4AC4"/>
    <w:rsid w:val="000E7A55"/>
    <w:rsid w:val="000F0C5B"/>
    <w:rsid w:val="000F1A5C"/>
    <w:rsid w:val="000F564E"/>
    <w:rsid w:val="000F7360"/>
    <w:rsid w:val="000F73F0"/>
    <w:rsid w:val="00105537"/>
    <w:rsid w:val="0010656D"/>
    <w:rsid w:val="00110119"/>
    <w:rsid w:val="001124F5"/>
    <w:rsid w:val="00113AC2"/>
    <w:rsid w:val="00115138"/>
    <w:rsid w:val="00121F89"/>
    <w:rsid w:val="0012419D"/>
    <w:rsid w:val="00125D3D"/>
    <w:rsid w:val="00127D28"/>
    <w:rsid w:val="00130EB7"/>
    <w:rsid w:val="00131F42"/>
    <w:rsid w:val="00132C51"/>
    <w:rsid w:val="001357F1"/>
    <w:rsid w:val="00137F3A"/>
    <w:rsid w:val="00140FA8"/>
    <w:rsid w:val="00142FEB"/>
    <w:rsid w:val="00143A2D"/>
    <w:rsid w:val="00145A41"/>
    <w:rsid w:val="00146580"/>
    <w:rsid w:val="00151675"/>
    <w:rsid w:val="00153552"/>
    <w:rsid w:val="00153DAF"/>
    <w:rsid w:val="00154510"/>
    <w:rsid w:val="001553CF"/>
    <w:rsid w:val="001571A0"/>
    <w:rsid w:val="00157435"/>
    <w:rsid w:val="00161048"/>
    <w:rsid w:val="00161495"/>
    <w:rsid w:val="00163D2D"/>
    <w:rsid w:val="0016435E"/>
    <w:rsid w:val="0016772D"/>
    <w:rsid w:val="00173F12"/>
    <w:rsid w:val="00174043"/>
    <w:rsid w:val="0017504D"/>
    <w:rsid w:val="00175536"/>
    <w:rsid w:val="00175755"/>
    <w:rsid w:val="00176068"/>
    <w:rsid w:val="0017671A"/>
    <w:rsid w:val="00177422"/>
    <w:rsid w:val="001816B9"/>
    <w:rsid w:val="00183405"/>
    <w:rsid w:val="00183534"/>
    <w:rsid w:val="00184245"/>
    <w:rsid w:val="00184526"/>
    <w:rsid w:val="00184590"/>
    <w:rsid w:val="001870D1"/>
    <w:rsid w:val="0018781E"/>
    <w:rsid w:val="001903FE"/>
    <w:rsid w:val="001910A2"/>
    <w:rsid w:val="001912F4"/>
    <w:rsid w:val="0019262D"/>
    <w:rsid w:val="00192A8C"/>
    <w:rsid w:val="0019372D"/>
    <w:rsid w:val="00194BFC"/>
    <w:rsid w:val="00196224"/>
    <w:rsid w:val="00196529"/>
    <w:rsid w:val="00196B77"/>
    <w:rsid w:val="0019791A"/>
    <w:rsid w:val="001A00B4"/>
    <w:rsid w:val="001A1B35"/>
    <w:rsid w:val="001A26C9"/>
    <w:rsid w:val="001A48A2"/>
    <w:rsid w:val="001A5894"/>
    <w:rsid w:val="001A5A94"/>
    <w:rsid w:val="001A6F61"/>
    <w:rsid w:val="001A72F7"/>
    <w:rsid w:val="001B40F1"/>
    <w:rsid w:val="001B4A2E"/>
    <w:rsid w:val="001B72B8"/>
    <w:rsid w:val="001C0C90"/>
    <w:rsid w:val="001C158B"/>
    <w:rsid w:val="001C3103"/>
    <w:rsid w:val="001C64E5"/>
    <w:rsid w:val="001C69B3"/>
    <w:rsid w:val="001C6CB0"/>
    <w:rsid w:val="001C7678"/>
    <w:rsid w:val="001C7BE3"/>
    <w:rsid w:val="001D15EA"/>
    <w:rsid w:val="001D1921"/>
    <w:rsid w:val="001D5595"/>
    <w:rsid w:val="001D7874"/>
    <w:rsid w:val="001D7F22"/>
    <w:rsid w:val="001E17AA"/>
    <w:rsid w:val="001E2D92"/>
    <w:rsid w:val="001E5C7D"/>
    <w:rsid w:val="001E6A78"/>
    <w:rsid w:val="001F0F17"/>
    <w:rsid w:val="001F3347"/>
    <w:rsid w:val="001F5F0E"/>
    <w:rsid w:val="001F69E4"/>
    <w:rsid w:val="002057C9"/>
    <w:rsid w:val="00206C0F"/>
    <w:rsid w:val="002125B4"/>
    <w:rsid w:val="00213BAD"/>
    <w:rsid w:val="0021416B"/>
    <w:rsid w:val="002155B8"/>
    <w:rsid w:val="002179F1"/>
    <w:rsid w:val="00221DA7"/>
    <w:rsid w:val="00222168"/>
    <w:rsid w:val="00222C1D"/>
    <w:rsid w:val="00224839"/>
    <w:rsid w:val="002249B2"/>
    <w:rsid w:val="00225825"/>
    <w:rsid w:val="00225B87"/>
    <w:rsid w:val="00226574"/>
    <w:rsid w:val="002278EC"/>
    <w:rsid w:val="002308DD"/>
    <w:rsid w:val="00231BAB"/>
    <w:rsid w:val="0023280E"/>
    <w:rsid w:val="002377D1"/>
    <w:rsid w:val="0023796E"/>
    <w:rsid w:val="00240636"/>
    <w:rsid w:val="0024128F"/>
    <w:rsid w:val="00241A4C"/>
    <w:rsid w:val="00241A84"/>
    <w:rsid w:val="002422CC"/>
    <w:rsid w:val="00243B3B"/>
    <w:rsid w:val="00243E07"/>
    <w:rsid w:val="002458B0"/>
    <w:rsid w:val="002503B4"/>
    <w:rsid w:val="002506BC"/>
    <w:rsid w:val="00250B68"/>
    <w:rsid w:val="00250E2B"/>
    <w:rsid w:val="002523ED"/>
    <w:rsid w:val="00254345"/>
    <w:rsid w:val="00254852"/>
    <w:rsid w:val="0025547E"/>
    <w:rsid w:val="002571C0"/>
    <w:rsid w:val="0025745E"/>
    <w:rsid w:val="00260E42"/>
    <w:rsid w:val="00260E65"/>
    <w:rsid w:val="00262351"/>
    <w:rsid w:val="0026273F"/>
    <w:rsid w:val="00264557"/>
    <w:rsid w:val="002650E3"/>
    <w:rsid w:val="00266946"/>
    <w:rsid w:val="00266D60"/>
    <w:rsid w:val="002716B0"/>
    <w:rsid w:val="00271B80"/>
    <w:rsid w:val="002775C8"/>
    <w:rsid w:val="002775ED"/>
    <w:rsid w:val="002805AB"/>
    <w:rsid w:val="00283378"/>
    <w:rsid w:val="00284204"/>
    <w:rsid w:val="0028456B"/>
    <w:rsid w:val="002846F5"/>
    <w:rsid w:val="00285527"/>
    <w:rsid w:val="00286EFD"/>
    <w:rsid w:val="00291773"/>
    <w:rsid w:val="00296D36"/>
    <w:rsid w:val="00297B3D"/>
    <w:rsid w:val="00297D44"/>
    <w:rsid w:val="002A168C"/>
    <w:rsid w:val="002A1BB4"/>
    <w:rsid w:val="002A3DC7"/>
    <w:rsid w:val="002A4370"/>
    <w:rsid w:val="002A4618"/>
    <w:rsid w:val="002B4275"/>
    <w:rsid w:val="002B47B4"/>
    <w:rsid w:val="002B49E2"/>
    <w:rsid w:val="002B4DFF"/>
    <w:rsid w:val="002B688A"/>
    <w:rsid w:val="002B7B00"/>
    <w:rsid w:val="002B7C44"/>
    <w:rsid w:val="002C0B08"/>
    <w:rsid w:val="002C2099"/>
    <w:rsid w:val="002C2B17"/>
    <w:rsid w:val="002C5AF2"/>
    <w:rsid w:val="002C5B9B"/>
    <w:rsid w:val="002C6A2A"/>
    <w:rsid w:val="002D0BB6"/>
    <w:rsid w:val="002D3398"/>
    <w:rsid w:val="002D3AEE"/>
    <w:rsid w:val="002D3DD0"/>
    <w:rsid w:val="002D60FA"/>
    <w:rsid w:val="002D704C"/>
    <w:rsid w:val="002E0690"/>
    <w:rsid w:val="002E0BC7"/>
    <w:rsid w:val="002E0C03"/>
    <w:rsid w:val="002E1F3A"/>
    <w:rsid w:val="002E298A"/>
    <w:rsid w:val="002E3F0F"/>
    <w:rsid w:val="002E44E2"/>
    <w:rsid w:val="002E452E"/>
    <w:rsid w:val="002E578E"/>
    <w:rsid w:val="002E63A6"/>
    <w:rsid w:val="002E7093"/>
    <w:rsid w:val="002F4F13"/>
    <w:rsid w:val="00300EDD"/>
    <w:rsid w:val="0030119F"/>
    <w:rsid w:val="00301978"/>
    <w:rsid w:val="00301F22"/>
    <w:rsid w:val="0030332C"/>
    <w:rsid w:val="00303E05"/>
    <w:rsid w:val="003051C2"/>
    <w:rsid w:val="003059F2"/>
    <w:rsid w:val="00306186"/>
    <w:rsid w:val="003070F6"/>
    <w:rsid w:val="00307FC5"/>
    <w:rsid w:val="00310185"/>
    <w:rsid w:val="00311074"/>
    <w:rsid w:val="00312296"/>
    <w:rsid w:val="00312544"/>
    <w:rsid w:val="00314F0E"/>
    <w:rsid w:val="0031649B"/>
    <w:rsid w:val="00321D8E"/>
    <w:rsid w:val="00323F5E"/>
    <w:rsid w:val="00325928"/>
    <w:rsid w:val="00330242"/>
    <w:rsid w:val="00332863"/>
    <w:rsid w:val="0033371E"/>
    <w:rsid w:val="0033490F"/>
    <w:rsid w:val="003367BD"/>
    <w:rsid w:val="0033684D"/>
    <w:rsid w:val="00337142"/>
    <w:rsid w:val="00337B42"/>
    <w:rsid w:val="00341B42"/>
    <w:rsid w:val="0034348F"/>
    <w:rsid w:val="00351D43"/>
    <w:rsid w:val="003530FC"/>
    <w:rsid w:val="00353C52"/>
    <w:rsid w:val="00356653"/>
    <w:rsid w:val="0035743F"/>
    <w:rsid w:val="00357BE2"/>
    <w:rsid w:val="0036170C"/>
    <w:rsid w:val="00366B31"/>
    <w:rsid w:val="00366E0F"/>
    <w:rsid w:val="003753AB"/>
    <w:rsid w:val="0037713D"/>
    <w:rsid w:val="003772F0"/>
    <w:rsid w:val="003779A4"/>
    <w:rsid w:val="00381A72"/>
    <w:rsid w:val="00383755"/>
    <w:rsid w:val="00384676"/>
    <w:rsid w:val="00385FC4"/>
    <w:rsid w:val="003863EC"/>
    <w:rsid w:val="00387504"/>
    <w:rsid w:val="00390857"/>
    <w:rsid w:val="003922D3"/>
    <w:rsid w:val="003926D3"/>
    <w:rsid w:val="003927F8"/>
    <w:rsid w:val="003A1B25"/>
    <w:rsid w:val="003A1FB8"/>
    <w:rsid w:val="003A4BF3"/>
    <w:rsid w:val="003A55A7"/>
    <w:rsid w:val="003A662A"/>
    <w:rsid w:val="003A6EB2"/>
    <w:rsid w:val="003B0345"/>
    <w:rsid w:val="003B235E"/>
    <w:rsid w:val="003B420D"/>
    <w:rsid w:val="003B4522"/>
    <w:rsid w:val="003C4D12"/>
    <w:rsid w:val="003C61B0"/>
    <w:rsid w:val="003C6C16"/>
    <w:rsid w:val="003D0DFB"/>
    <w:rsid w:val="003D1166"/>
    <w:rsid w:val="003D22F0"/>
    <w:rsid w:val="003D4E95"/>
    <w:rsid w:val="003D6BC2"/>
    <w:rsid w:val="003D794D"/>
    <w:rsid w:val="003E04C7"/>
    <w:rsid w:val="003E3058"/>
    <w:rsid w:val="003E476A"/>
    <w:rsid w:val="003E76A9"/>
    <w:rsid w:val="003F0809"/>
    <w:rsid w:val="003F1AB9"/>
    <w:rsid w:val="003F1ECE"/>
    <w:rsid w:val="003F25E6"/>
    <w:rsid w:val="003F27D5"/>
    <w:rsid w:val="003F33F8"/>
    <w:rsid w:val="003F499F"/>
    <w:rsid w:val="003F643D"/>
    <w:rsid w:val="003F6A8C"/>
    <w:rsid w:val="003F6A8F"/>
    <w:rsid w:val="003F755C"/>
    <w:rsid w:val="004025AD"/>
    <w:rsid w:val="00406F01"/>
    <w:rsid w:val="00406FE1"/>
    <w:rsid w:val="00407BC3"/>
    <w:rsid w:val="0041386D"/>
    <w:rsid w:val="00414481"/>
    <w:rsid w:val="00415861"/>
    <w:rsid w:val="00416D50"/>
    <w:rsid w:val="00416FD5"/>
    <w:rsid w:val="00417772"/>
    <w:rsid w:val="00420E6A"/>
    <w:rsid w:val="00421FDD"/>
    <w:rsid w:val="00423E50"/>
    <w:rsid w:val="00425A9E"/>
    <w:rsid w:val="00425B15"/>
    <w:rsid w:val="004267AB"/>
    <w:rsid w:val="00426867"/>
    <w:rsid w:val="00426CFD"/>
    <w:rsid w:val="00426D6B"/>
    <w:rsid w:val="00430166"/>
    <w:rsid w:val="00430F87"/>
    <w:rsid w:val="00431E6C"/>
    <w:rsid w:val="00433CE7"/>
    <w:rsid w:val="00435D04"/>
    <w:rsid w:val="004408CA"/>
    <w:rsid w:val="00440AE9"/>
    <w:rsid w:val="00441B5E"/>
    <w:rsid w:val="00442FC4"/>
    <w:rsid w:val="004452D1"/>
    <w:rsid w:val="00446943"/>
    <w:rsid w:val="00450E33"/>
    <w:rsid w:val="00452738"/>
    <w:rsid w:val="004555A6"/>
    <w:rsid w:val="00456091"/>
    <w:rsid w:val="004562E8"/>
    <w:rsid w:val="004578E1"/>
    <w:rsid w:val="00460417"/>
    <w:rsid w:val="004639FD"/>
    <w:rsid w:val="00466321"/>
    <w:rsid w:val="0046673E"/>
    <w:rsid w:val="00470813"/>
    <w:rsid w:val="00471D39"/>
    <w:rsid w:val="00473CAB"/>
    <w:rsid w:val="00474029"/>
    <w:rsid w:val="00477815"/>
    <w:rsid w:val="00477C3B"/>
    <w:rsid w:val="00480568"/>
    <w:rsid w:val="00483CC2"/>
    <w:rsid w:val="00484A78"/>
    <w:rsid w:val="00484B9B"/>
    <w:rsid w:val="00484F15"/>
    <w:rsid w:val="004855F6"/>
    <w:rsid w:val="0048661E"/>
    <w:rsid w:val="00487272"/>
    <w:rsid w:val="0049435B"/>
    <w:rsid w:val="00494670"/>
    <w:rsid w:val="0049479A"/>
    <w:rsid w:val="00495149"/>
    <w:rsid w:val="00497E30"/>
    <w:rsid w:val="004A018C"/>
    <w:rsid w:val="004A16B2"/>
    <w:rsid w:val="004A3823"/>
    <w:rsid w:val="004A5E3B"/>
    <w:rsid w:val="004A5F8C"/>
    <w:rsid w:val="004A7584"/>
    <w:rsid w:val="004B51C1"/>
    <w:rsid w:val="004C3BED"/>
    <w:rsid w:val="004C465F"/>
    <w:rsid w:val="004C6577"/>
    <w:rsid w:val="004C6811"/>
    <w:rsid w:val="004D1D5F"/>
    <w:rsid w:val="004D3059"/>
    <w:rsid w:val="004D61F5"/>
    <w:rsid w:val="004E2154"/>
    <w:rsid w:val="004E29D9"/>
    <w:rsid w:val="004E3DEE"/>
    <w:rsid w:val="004E6946"/>
    <w:rsid w:val="004F126B"/>
    <w:rsid w:val="004F1AD8"/>
    <w:rsid w:val="004F3590"/>
    <w:rsid w:val="004F3638"/>
    <w:rsid w:val="0050010A"/>
    <w:rsid w:val="005039CB"/>
    <w:rsid w:val="005048F1"/>
    <w:rsid w:val="0050558F"/>
    <w:rsid w:val="005059E9"/>
    <w:rsid w:val="00506286"/>
    <w:rsid w:val="00510813"/>
    <w:rsid w:val="00511990"/>
    <w:rsid w:val="00511DE0"/>
    <w:rsid w:val="00514870"/>
    <w:rsid w:val="00514B9B"/>
    <w:rsid w:val="0051596D"/>
    <w:rsid w:val="00515D08"/>
    <w:rsid w:val="00517F02"/>
    <w:rsid w:val="00520ED8"/>
    <w:rsid w:val="00521C98"/>
    <w:rsid w:val="0052429F"/>
    <w:rsid w:val="00524303"/>
    <w:rsid w:val="005258A2"/>
    <w:rsid w:val="0052611D"/>
    <w:rsid w:val="00526EF7"/>
    <w:rsid w:val="005277F1"/>
    <w:rsid w:val="0052798A"/>
    <w:rsid w:val="0053248A"/>
    <w:rsid w:val="00533D71"/>
    <w:rsid w:val="0053481D"/>
    <w:rsid w:val="00534999"/>
    <w:rsid w:val="00534ED3"/>
    <w:rsid w:val="00535749"/>
    <w:rsid w:val="005359EB"/>
    <w:rsid w:val="005400CE"/>
    <w:rsid w:val="005401AE"/>
    <w:rsid w:val="00542D2E"/>
    <w:rsid w:val="00542E07"/>
    <w:rsid w:val="00545424"/>
    <w:rsid w:val="00545A9E"/>
    <w:rsid w:val="00546E79"/>
    <w:rsid w:val="00550C7E"/>
    <w:rsid w:val="0055308B"/>
    <w:rsid w:val="00553DB7"/>
    <w:rsid w:val="00554A7B"/>
    <w:rsid w:val="0055572C"/>
    <w:rsid w:val="00557556"/>
    <w:rsid w:val="0055770B"/>
    <w:rsid w:val="00560E2A"/>
    <w:rsid w:val="0056106A"/>
    <w:rsid w:val="00562B0F"/>
    <w:rsid w:val="0056316F"/>
    <w:rsid w:val="00563C0B"/>
    <w:rsid w:val="005678DC"/>
    <w:rsid w:val="005720AE"/>
    <w:rsid w:val="00575246"/>
    <w:rsid w:val="00575650"/>
    <w:rsid w:val="00575EC9"/>
    <w:rsid w:val="00581259"/>
    <w:rsid w:val="00581E2A"/>
    <w:rsid w:val="0058400D"/>
    <w:rsid w:val="00584459"/>
    <w:rsid w:val="005844B9"/>
    <w:rsid w:val="005873F7"/>
    <w:rsid w:val="00592957"/>
    <w:rsid w:val="005930D2"/>
    <w:rsid w:val="00594369"/>
    <w:rsid w:val="00594615"/>
    <w:rsid w:val="00594D77"/>
    <w:rsid w:val="005969E4"/>
    <w:rsid w:val="005A06B7"/>
    <w:rsid w:val="005A1759"/>
    <w:rsid w:val="005A1A78"/>
    <w:rsid w:val="005A6330"/>
    <w:rsid w:val="005A68A7"/>
    <w:rsid w:val="005A7830"/>
    <w:rsid w:val="005A7CFB"/>
    <w:rsid w:val="005B0CF5"/>
    <w:rsid w:val="005B3E94"/>
    <w:rsid w:val="005B490C"/>
    <w:rsid w:val="005C0711"/>
    <w:rsid w:val="005C6227"/>
    <w:rsid w:val="005D04CD"/>
    <w:rsid w:val="005D36AB"/>
    <w:rsid w:val="005D5092"/>
    <w:rsid w:val="005E03DF"/>
    <w:rsid w:val="005E1587"/>
    <w:rsid w:val="005F2779"/>
    <w:rsid w:val="005F49E0"/>
    <w:rsid w:val="005F4B35"/>
    <w:rsid w:val="005F516A"/>
    <w:rsid w:val="00601696"/>
    <w:rsid w:val="00601A5A"/>
    <w:rsid w:val="0060242C"/>
    <w:rsid w:val="00602516"/>
    <w:rsid w:val="006048E0"/>
    <w:rsid w:val="00604D8F"/>
    <w:rsid w:val="00605FBC"/>
    <w:rsid w:val="00606670"/>
    <w:rsid w:val="006151CB"/>
    <w:rsid w:val="0061725D"/>
    <w:rsid w:val="00617CC3"/>
    <w:rsid w:val="00617D1B"/>
    <w:rsid w:val="0062064F"/>
    <w:rsid w:val="006225F4"/>
    <w:rsid w:val="00631941"/>
    <w:rsid w:val="00634CCC"/>
    <w:rsid w:val="006377A6"/>
    <w:rsid w:val="00637A3D"/>
    <w:rsid w:val="006411EF"/>
    <w:rsid w:val="00644670"/>
    <w:rsid w:val="006477D6"/>
    <w:rsid w:val="00650EC8"/>
    <w:rsid w:val="006522A9"/>
    <w:rsid w:val="006523FB"/>
    <w:rsid w:val="00655C83"/>
    <w:rsid w:val="0065658D"/>
    <w:rsid w:val="00656BD5"/>
    <w:rsid w:val="006624E1"/>
    <w:rsid w:val="00664310"/>
    <w:rsid w:val="00665A56"/>
    <w:rsid w:val="0067141E"/>
    <w:rsid w:val="00673360"/>
    <w:rsid w:val="00673747"/>
    <w:rsid w:val="006737C4"/>
    <w:rsid w:val="00674521"/>
    <w:rsid w:val="006748B8"/>
    <w:rsid w:val="00675941"/>
    <w:rsid w:val="00675DC4"/>
    <w:rsid w:val="006769A4"/>
    <w:rsid w:val="006775C3"/>
    <w:rsid w:val="0068146D"/>
    <w:rsid w:val="006829BC"/>
    <w:rsid w:val="00683AAD"/>
    <w:rsid w:val="00683ED3"/>
    <w:rsid w:val="00685125"/>
    <w:rsid w:val="00686B43"/>
    <w:rsid w:val="006921CB"/>
    <w:rsid w:val="0069290A"/>
    <w:rsid w:val="00693F36"/>
    <w:rsid w:val="0069775A"/>
    <w:rsid w:val="00697813"/>
    <w:rsid w:val="006A37F5"/>
    <w:rsid w:val="006A3EE8"/>
    <w:rsid w:val="006A72BF"/>
    <w:rsid w:val="006A7456"/>
    <w:rsid w:val="006B03F2"/>
    <w:rsid w:val="006B0F0D"/>
    <w:rsid w:val="006B1849"/>
    <w:rsid w:val="006B2E70"/>
    <w:rsid w:val="006B37DC"/>
    <w:rsid w:val="006B4F68"/>
    <w:rsid w:val="006B750D"/>
    <w:rsid w:val="006C04E7"/>
    <w:rsid w:val="006C0592"/>
    <w:rsid w:val="006C1330"/>
    <w:rsid w:val="006C272E"/>
    <w:rsid w:val="006C2FB5"/>
    <w:rsid w:val="006C5479"/>
    <w:rsid w:val="006D13B5"/>
    <w:rsid w:val="006D161A"/>
    <w:rsid w:val="006D3644"/>
    <w:rsid w:val="006D6769"/>
    <w:rsid w:val="006D6895"/>
    <w:rsid w:val="006D6A2F"/>
    <w:rsid w:val="006D6F4C"/>
    <w:rsid w:val="006D78EC"/>
    <w:rsid w:val="006E12FF"/>
    <w:rsid w:val="006E2A92"/>
    <w:rsid w:val="006E5CB3"/>
    <w:rsid w:val="006E5D1A"/>
    <w:rsid w:val="006E607E"/>
    <w:rsid w:val="006E69A8"/>
    <w:rsid w:val="006E6BB6"/>
    <w:rsid w:val="006E6D8E"/>
    <w:rsid w:val="006F036B"/>
    <w:rsid w:val="006F3870"/>
    <w:rsid w:val="006F3F63"/>
    <w:rsid w:val="006F41E3"/>
    <w:rsid w:val="006F519D"/>
    <w:rsid w:val="006F6250"/>
    <w:rsid w:val="00701EB1"/>
    <w:rsid w:val="00703157"/>
    <w:rsid w:val="00703CEA"/>
    <w:rsid w:val="00703DB7"/>
    <w:rsid w:val="007068B3"/>
    <w:rsid w:val="00706C5D"/>
    <w:rsid w:val="0070746C"/>
    <w:rsid w:val="00707A57"/>
    <w:rsid w:val="00712069"/>
    <w:rsid w:val="00712954"/>
    <w:rsid w:val="00716068"/>
    <w:rsid w:val="00721E89"/>
    <w:rsid w:val="00723D20"/>
    <w:rsid w:val="00723D4C"/>
    <w:rsid w:val="00725AE8"/>
    <w:rsid w:val="00726509"/>
    <w:rsid w:val="007313DD"/>
    <w:rsid w:val="00732922"/>
    <w:rsid w:val="00733C62"/>
    <w:rsid w:val="007345B4"/>
    <w:rsid w:val="00737DC4"/>
    <w:rsid w:val="00747BEE"/>
    <w:rsid w:val="0075162E"/>
    <w:rsid w:val="00754034"/>
    <w:rsid w:val="007544BC"/>
    <w:rsid w:val="00756556"/>
    <w:rsid w:val="00756A98"/>
    <w:rsid w:val="00757BA7"/>
    <w:rsid w:val="007605E8"/>
    <w:rsid w:val="00760A39"/>
    <w:rsid w:val="00760E27"/>
    <w:rsid w:val="007618C4"/>
    <w:rsid w:val="0076339A"/>
    <w:rsid w:val="00767980"/>
    <w:rsid w:val="00770B19"/>
    <w:rsid w:val="00771F17"/>
    <w:rsid w:val="0077463F"/>
    <w:rsid w:val="007749C7"/>
    <w:rsid w:val="00775983"/>
    <w:rsid w:val="00776D2D"/>
    <w:rsid w:val="00777B3F"/>
    <w:rsid w:val="007835AD"/>
    <w:rsid w:val="007836EA"/>
    <w:rsid w:val="00784CDA"/>
    <w:rsid w:val="00787A7F"/>
    <w:rsid w:val="007906C4"/>
    <w:rsid w:val="00790AE2"/>
    <w:rsid w:val="007918D3"/>
    <w:rsid w:val="00791C63"/>
    <w:rsid w:val="00793340"/>
    <w:rsid w:val="00793CF2"/>
    <w:rsid w:val="007940EA"/>
    <w:rsid w:val="007967E8"/>
    <w:rsid w:val="00796F21"/>
    <w:rsid w:val="007A2170"/>
    <w:rsid w:val="007A22BF"/>
    <w:rsid w:val="007A2D1E"/>
    <w:rsid w:val="007A3323"/>
    <w:rsid w:val="007A3428"/>
    <w:rsid w:val="007A5CBC"/>
    <w:rsid w:val="007A6559"/>
    <w:rsid w:val="007B0B1C"/>
    <w:rsid w:val="007B1438"/>
    <w:rsid w:val="007B72B8"/>
    <w:rsid w:val="007B7A58"/>
    <w:rsid w:val="007C0696"/>
    <w:rsid w:val="007C0785"/>
    <w:rsid w:val="007C21B5"/>
    <w:rsid w:val="007C2ABB"/>
    <w:rsid w:val="007C3BA4"/>
    <w:rsid w:val="007C57E7"/>
    <w:rsid w:val="007D0286"/>
    <w:rsid w:val="007D0AC3"/>
    <w:rsid w:val="007D191E"/>
    <w:rsid w:val="007D34CB"/>
    <w:rsid w:val="007D5D4F"/>
    <w:rsid w:val="007D7D0E"/>
    <w:rsid w:val="007D7F1C"/>
    <w:rsid w:val="007E0156"/>
    <w:rsid w:val="007E09D1"/>
    <w:rsid w:val="007E3996"/>
    <w:rsid w:val="007E4BD2"/>
    <w:rsid w:val="007E51A7"/>
    <w:rsid w:val="007E63B3"/>
    <w:rsid w:val="007F0D18"/>
    <w:rsid w:val="007F15E2"/>
    <w:rsid w:val="007F214E"/>
    <w:rsid w:val="00801393"/>
    <w:rsid w:val="00802630"/>
    <w:rsid w:val="008026D8"/>
    <w:rsid w:val="00802F88"/>
    <w:rsid w:val="00803095"/>
    <w:rsid w:val="0080440A"/>
    <w:rsid w:val="00804693"/>
    <w:rsid w:val="00811852"/>
    <w:rsid w:val="0081293E"/>
    <w:rsid w:val="00815009"/>
    <w:rsid w:val="00815465"/>
    <w:rsid w:val="00817E9A"/>
    <w:rsid w:val="00820A26"/>
    <w:rsid w:val="008221AD"/>
    <w:rsid w:val="00826625"/>
    <w:rsid w:val="00827CEC"/>
    <w:rsid w:val="008306BD"/>
    <w:rsid w:val="00831A80"/>
    <w:rsid w:val="00833743"/>
    <w:rsid w:val="008340A4"/>
    <w:rsid w:val="00834D0D"/>
    <w:rsid w:val="00834FAF"/>
    <w:rsid w:val="008372F6"/>
    <w:rsid w:val="00840B8A"/>
    <w:rsid w:val="00844604"/>
    <w:rsid w:val="00845B35"/>
    <w:rsid w:val="008525E8"/>
    <w:rsid w:val="00852CA6"/>
    <w:rsid w:val="0085451F"/>
    <w:rsid w:val="00857422"/>
    <w:rsid w:val="0085782F"/>
    <w:rsid w:val="00861569"/>
    <w:rsid w:val="008624EE"/>
    <w:rsid w:val="00862DA8"/>
    <w:rsid w:val="008636C4"/>
    <w:rsid w:val="0086384C"/>
    <w:rsid w:val="00867222"/>
    <w:rsid w:val="0087043C"/>
    <w:rsid w:val="0087073C"/>
    <w:rsid w:val="0087135F"/>
    <w:rsid w:val="00872D94"/>
    <w:rsid w:val="00875D3A"/>
    <w:rsid w:val="00876348"/>
    <w:rsid w:val="008769D4"/>
    <w:rsid w:val="00880364"/>
    <w:rsid w:val="00881DE1"/>
    <w:rsid w:val="00887B44"/>
    <w:rsid w:val="00890651"/>
    <w:rsid w:val="00891592"/>
    <w:rsid w:val="00891E9E"/>
    <w:rsid w:val="00895015"/>
    <w:rsid w:val="00896794"/>
    <w:rsid w:val="00897EE6"/>
    <w:rsid w:val="008A17D0"/>
    <w:rsid w:val="008A21A4"/>
    <w:rsid w:val="008A28B4"/>
    <w:rsid w:val="008A2F68"/>
    <w:rsid w:val="008A40B9"/>
    <w:rsid w:val="008A4362"/>
    <w:rsid w:val="008A5A8E"/>
    <w:rsid w:val="008B21B3"/>
    <w:rsid w:val="008B25DC"/>
    <w:rsid w:val="008B4FA6"/>
    <w:rsid w:val="008B5282"/>
    <w:rsid w:val="008B533A"/>
    <w:rsid w:val="008B7C17"/>
    <w:rsid w:val="008C2D01"/>
    <w:rsid w:val="008C40E6"/>
    <w:rsid w:val="008C4322"/>
    <w:rsid w:val="008C435B"/>
    <w:rsid w:val="008C7172"/>
    <w:rsid w:val="008C7D7E"/>
    <w:rsid w:val="008D0F7A"/>
    <w:rsid w:val="008D193B"/>
    <w:rsid w:val="008D20CF"/>
    <w:rsid w:val="008D3960"/>
    <w:rsid w:val="008D5B3F"/>
    <w:rsid w:val="008D5DF4"/>
    <w:rsid w:val="008D5E61"/>
    <w:rsid w:val="008D68E4"/>
    <w:rsid w:val="008D7120"/>
    <w:rsid w:val="008D7AED"/>
    <w:rsid w:val="008E02AF"/>
    <w:rsid w:val="008E0506"/>
    <w:rsid w:val="008E0CFF"/>
    <w:rsid w:val="008E0E03"/>
    <w:rsid w:val="008E2581"/>
    <w:rsid w:val="008E38C5"/>
    <w:rsid w:val="008E4CA7"/>
    <w:rsid w:val="008E5D6B"/>
    <w:rsid w:val="008E647D"/>
    <w:rsid w:val="008E6FBF"/>
    <w:rsid w:val="008E76F0"/>
    <w:rsid w:val="008F053E"/>
    <w:rsid w:val="008F15FE"/>
    <w:rsid w:val="008F2D29"/>
    <w:rsid w:val="008F2EB6"/>
    <w:rsid w:val="008F477C"/>
    <w:rsid w:val="008F5187"/>
    <w:rsid w:val="008F60D8"/>
    <w:rsid w:val="008F6E66"/>
    <w:rsid w:val="008F71D7"/>
    <w:rsid w:val="009019B4"/>
    <w:rsid w:val="00902727"/>
    <w:rsid w:val="0090312B"/>
    <w:rsid w:val="009044D6"/>
    <w:rsid w:val="00904B20"/>
    <w:rsid w:val="009057DF"/>
    <w:rsid w:val="009131BA"/>
    <w:rsid w:val="0091324B"/>
    <w:rsid w:val="009138A9"/>
    <w:rsid w:val="00914C33"/>
    <w:rsid w:val="00915DE8"/>
    <w:rsid w:val="009165CA"/>
    <w:rsid w:val="00916A07"/>
    <w:rsid w:val="00916BA9"/>
    <w:rsid w:val="0091736D"/>
    <w:rsid w:val="00917C1C"/>
    <w:rsid w:val="00920692"/>
    <w:rsid w:val="00920C60"/>
    <w:rsid w:val="00923C1F"/>
    <w:rsid w:val="00925B2C"/>
    <w:rsid w:val="00926089"/>
    <w:rsid w:val="0093037A"/>
    <w:rsid w:val="00930DBC"/>
    <w:rsid w:val="0093189F"/>
    <w:rsid w:val="00931DF5"/>
    <w:rsid w:val="00933C8F"/>
    <w:rsid w:val="00934921"/>
    <w:rsid w:val="009362C3"/>
    <w:rsid w:val="0093762D"/>
    <w:rsid w:val="00940F2D"/>
    <w:rsid w:val="0094154D"/>
    <w:rsid w:val="00942CEA"/>
    <w:rsid w:val="009439ED"/>
    <w:rsid w:val="009441C0"/>
    <w:rsid w:val="00946CF9"/>
    <w:rsid w:val="0095077B"/>
    <w:rsid w:val="0095155F"/>
    <w:rsid w:val="00951B0B"/>
    <w:rsid w:val="00952DB4"/>
    <w:rsid w:val="00954429"/>
    <w:rsid w:val="00955F10"/>
    <w:rsid w:val="009563CE"/>
    <w:rsid w:val="00962123"/>
    <w:rsid w:val="00964B2A"/>
    <w:rsid w:val="00965C9D"/>
    <w:rsid w:val="00966D45"/>
    <w:rsid w:val="00971EB2"/>
    <w:rsid w:val="009750BA"/>
    <w:rsid w:val="00976328"/>
    <w:rsid w:val="0097680D"/>
    <w:rsid w:val="009774FB"/>
    <w:rsid w:val="0098032E"/>
    <w:rsid w:val="009821A0"/>
    <w:rsid w:val="00982438"/>
    <w:rsid w:val="00982824"/>
    <w:rsid w:val="0098404C"/>
    <w:rsid w:val="00985283"/>
    <w:rsid w:val="00985908"/>
    <w:rsid w:val="0099238E"/>
    <w:rsid w:val="00993B9B"/>
    <w:rsid w:val="00993BF0"/>
    <w:rsid w:val="00994CCF"/>
    <w:rsid w:val="00995992"/>
    <w:rsid w:val="009A03E5"/>
    <w:rsid w:val="009A0F3B"/>
    <w:rsid w:val="009A1194"/>
    <w:rsid w:val="009A1BB4"/>
    <w:rsid w:val="009A1BE6"/>
    <w:rsid w:val="009A2628"/>
    <w:rsid w:val="009A3200"/>
    <w:rsid w:val="009A6A25"/>
    <w:rsid w:val="009A6F97"/>
    <w:rsid w:val="009B02A5"/>
    <w:rsid w:val="009B0560"/>
    <w:rsid w:val="009B0897"/>
    <w:rsid w:val="009B2201"/>
    <w:rsid w:val="009B32ED"/>
    <w:rsid w:val="009B4D31"/>
    <w:rsid w:val="009B4E1C"/>
    <w:rsid w:val="009B5DED"/>
    <w:rsid w:val="009B793B"/>
    <w:rsid w:val="009B7BD9"/>
    <w:rsid w:val="009B7EF9"/>
    <w:rsid w:val="009C17B9"/>
    <w:rsid w:val="009C2297"/>
    <w:rsid w:val="009C255B"/>
    <w:rsid w:val="009C2B1B"/>
    <w:rsid w:val="009C46DA"/>
    <w:rsid w:val="009C7DD5"/>
    <w:rsid w:val="009D2151"/>
    <w:rsid w:val="009D295D"/>
    <w:rsid w:val="009D42AD"/>
    <w:rsid w:val="009D47B3"/>
    <w:rsid w:val="009D59A4"/>
    <w:rsid w:val="009E011C"/>
    <w:rsid w:val="009E0D85"/>
    <w:rsid w:val="009E227D"/>
    <w:rsid w:val="009E2DD6"/>
    <w:rsid w:val="009E5019"/>
    <w:rsid w:val="009E5716"/>
    <w:rsid w:val="009E70F3"/>
    <w:rsid w:val="009F456E"/>
    <w:rsid w:val="009F4588"/>
    <w:rsid w:val="00A01942"/>
    <w:rsid w:val="00A04F1B"/>
    <w:rsid w:val="00A0501B"/>
    <w:rsid w:val="00A066E8"/>
    <w:rsid w:val="00A071E0"/>
    <w:rsid w:val="00A07951"/>
    <w:rsid w:val="00A102D2"/>
    <w:rsid w:val="00A113F0"/>
    <w:rsid w:val="00A12977"/>
    <w:rsid w:val="00A133E9"/>
    <w:rsid w:val="00A13506"/>
    <w:rsid w:val="00A14947"/>
    <w:rsid w:val="00A168A7"/>
    <w:rsid w:val="00A169A4"/>
    <w:rsid w:val="00A17D8B"/>
    <w:rsid w:val="00A203B6"/>
    <w:rsid w:val="00A24099"/>
    <w:rsid w:val="00A259FB"/>
    <w:rsid w:val="00A26932"/>
    <w:rsid w:val="00A27689"/>
    <w:rsid w:val="00A32A83"/>
    <w:rsid w:val="00A33186"/>
    <w:rsid w:val="00A368DB"/>
    <w:rsid w:val="00A4071A"/>
    <w:rsid w:val="00A423AA"/>
    <w:rsid w:val="00A4272C"/>
    <w:rsid w:val="00A4288E"/>
    <w:rsid w:val="00A42B74"/>
    <w:rsid w:val="00A47581"/>
    <w:rsid w:val="00A475BF"/>
    <w:rsid w:val="00A47B64"/>
    <w:rsid w:val="00A53EC6"/>
    <w:rsid w:val="00A54648"/>
    <w:rsid w:val="00A54BF4"/>
    <w:rsid w:val="00A55C0F"/>
    <w:rsid w:val="00A6377D"/>
    <w:rsid w:val="00A64E18"/>
    <w:rsid w:val="00A65A8C"/>
    <w:rsid w:val="00A71165"/>
    <w:rsid w:val="00A71699"/>
    <w:rsid w:val="00A71764"/>
    <w:rsid w:val="00A74181"/>
    <w:rsid w:val="00A75275"/>
    <w:rsid w:val="00A7595D"/>
    <w:rsid w:val="00A763DB"/>
    <w:rsid w:val="00A77D34"/>
    <w:rsid w:val="00A81A05"/>
    <w:rsid w:val="00A82A82"/>
    <w:rsid w:val="00A832C2"/>
    <w:rsid w:val="00A832EA"/>
    <w:rsid w:val="00A83A9E"/>
    <w:rsid w:val="00A85AE3"/>
    <w:rsid w:val="00A8713F"/>
    <w:rsid w:val="00A90BA1"/>
    <w:rsid w:val="00A91198"/>
    <w:rsid w:val="00A92212"/>
    <w:rsid w:val="00A922F4"/>
    <w:rsid w:val="00A940B6"/>
    <w:rsid w:val="00A9554F"/>
    <w:rsid w:val="00A97A9A"/>
    <w:rsid w:val="00AA0671"/>
    <w:rsid w:val="00AA1F09"/>
    <w:rsid w:val="00AA2531"/>
    <w:rsid w:val="00AA5075"/>
    <w:rsid w:val="00AA53F3"/>
    <w:rsid w:val="00AA55E3"/>
    <w:rsid w:val="00AA5F7E"/>
    <w:rsid w:val="00AA7530"/>
    <w:rsid w:val="00AB1E09"/>
    <w:rsid w:val="00AB4532"/>
    <w:rsid w:val="00AB4DE5"/>
    <w:rsid w:val="00AB4F89"/>
    <w:rsid w:val="00AB5330"/>
    <w:rsid w:val="00AB6F86"/>
    <w:rsid w:val="00AB7747"/>
    <w:rsid w:val="00AC14CE"/>
    <w:rsid w:val="00AC278B"/>
    <w:rsid w:val="00AC27AC"/>
    <w:rsid w:val="00AC2A56"/>
    <w:rsid w:val="00AC4BEF"/>
    <w:rsid w:val="00AC4C57"/>
    <w:rsid w:val="00AC5BA6"/>
    <w:rsid w:val="00AC6138"/>
    <w:rsid w:val="00AD055E"/>
    <w:rsid w:val="00AD0F73"/>
    <w:rsid w:val="00AD47A7"/>
    <w:rsid w:val="00AD6327"/>
    <w:rsid w:val="00AD6D9B"/>
    <w:rsid w:val="00AD7123"/>
    <w:rsid w:val="00AD77C5"/>
    <w:rsid w:val="00AE136C"/>
    <w:rsid w:val="00AE1437"/>
    <w:rsid w:val="00AE605A"/>
    <w:rsid w:val="00AE6A0D"/>
    <w:rsid w:val="00AF05EA"/>
    <w:rsid w:val="00AF0CBF"/>
    <w:rsid w:val="00AF257F"/>
    <w:rsid w:val="00AF2D3F"/>
    <w:rsid w:val="00AF33CF"/>
    <w:rsid w:val="00AF3C62"/>
    <w:rsid w:val="00AF4D50"/>
    <w:rsid w:val="00AF5090"/>
    <w:rsid w:val="00AF6179"/>
    <w:rsid w:val="00AF62B5"/>
    <w:rsid w:val="00AF64A0"/>
    <w:rsid w:val="00AF7720"/>
    <w:rsid w:val="00B01420"/>
    <w:rsid w:val="00B028C7"/>
    <w:rsid w:val="00B037A1"/>
    <w:rsid w:val="00B11C41"/>
    <w:rsid w:val="00B1295A"/>
    <w:rsid w:val="00B12A72"/>
    <w:rsid w:val="00B133A5"/>
    <w:rsid w:val="00B15AF9"/>
    <w:rsid w:val="00B15B28"/>
    <w:rsid w:val="00B17048"/>
    <w:rsid w:val="00B20A45"/>
    <w:rsid w:val="00B21141"/>
    <w:rsid w:val="00B22C5C"/>
    <w:rsid w:val="00B23D95"/>
    <w:rsid w:val="00B24F30"/>
    <w:rsid w:val="00B2563D"/>
    <w:rsid w:val="00B25ED9"/>
    <w:rsid w:val="00B30DDF"/>
    <w:rsid w:val="00B31ABF"/>
    <w:rsid w:val="00B31C10"/>
    <w:rsid w:val="00B33BE3"/>
    <w:rsid w:val="00B37DE4"/>
    <w:rsid w:val="00B42CD6"/>
    <w:rsid w:val="00B43705"/>
    <w:rsid w:val="00B43A22"/>
    <w:rsid w:val="00B47344"/>
    <w:rsid w:val="00B529BF"/>
    <w:rsid w:val="00B53B5D"/>
    <w:rsid w:val="00B552DB"/>
    <w:rsid w:val="00B56AFB"/>
    <w:rsid w:val="00B56FFF"/>
    <w:rsid w:val="00B6055E"/>
    <w:rsid w:val="00B61275"/>
    <w:rsid w:val="00B61B4A"/>
    <w:rsid w:val="00B62E42"/>
    <w:rsid w:val="00B6317D"/>
    <w:rsid w:val="00B65526"/>
    <w:rsid w:val="00B7119D"/>
    <w:rsid w:val="00B71CE0"/>
    <w:rsid w:val="00B72730"/>
    <w:rsid w:val="00B76637"/>
    <w:rsid w:val="00B76A04"/>
    <w:rsid w:val="00B7723F"/>
    <w:rsid w:val="00B80534"/>
    <w:rsid w:val="00B80A25"/>
    <w:rsid w:val="00B82DD6"/>
    <w:rsid w:val="00B8433C"/>
    <w:rsid w:val="00B84592"/>
    <w:rsid w:val="00B87491"/>
    <w:rsid w:val="00B87652"/>
    <w:rsid w:val="00B876E8"/>
    <w:rsid w:val="00B939AF"/>
    <w:rsid w:val="00BA126D"/>
    <w:rsid w:val="00BA1D8F"/>
    <w:rsid w:val="00BA204F"/>
    <w:rsid w:val="00BA29E9"/>
    <w:rsid w:val="00BA5793"/>
    <w:rsid w:val="00BA57F0"/>
    <w:rsid w:val="00BA61D7"/>
    <w:rsid w:val="00BA7142"/>
    <w:rsid w:val="00BA72E1"/>
    <w:rsid w:val="00BB0C82"/>
    <w:rsid w:val="00BB0DE3"/>
    <w:rsid w:val="00BB0DE9"/>
    <w:rsid w:val="00BB237C"/>
    <w:rsid w:val="00BB2593"/>
    <w:rsid w:val="00BB41A3"/>
    <w:rsid w:val="00BB43D0"/>
    <w:rsid w:val="00BB7C7F"/>
    <w:rsid w:val="00BC0232"/>
    <w:rsid w:val="00BC0961"/>
    <w:rsid w:val="00BC32DC"/>
    <w:rsid w:val="00BC35B6"/>
    <w:rsid w:val="00BC3B8E"/>
    <w:rsid w:val="00BC5A30"/>
    <w:rsid w:val="00BC5F7E"/>
    <w:rsid w:val="00BC72A6"/>
    <w:rsid w:val="00BD1B51"/>
    <w:rsid w:val="00BD4596"/>
    <w:rsid w:val="00BD76CE"/>
    <w:rsid w:val="00BD7995"/>
    <w:rsid w:val="00BE0452"/>
    <w:rsid w:val="00BE1405"/>
    <w:rsid w:val="00BE1617"/>
    <w:rsid w:val="00BE21C0"/>
    <w:rsid w:val="00BE312D"/>
    <w:rsid w:val="00BE6CE5"/>
    <w:rsid w:val="00BE7261"/>
    <w:rsid w:val="00BF1C20"/>
    <w:rsid w:val="00BF3F16"/>
    <w:rsid w:val="00BF477D"/>
    <w:rsid w:val="00BF6F5C"/>
    <w:rsid w:val="00BF7522"/>
    <w:rsid w:val="00C019B6"/>
    <w:rsid w:val="00C03394"/>
    <w:rsid w:val="00C067CA"/>
    <w:rsid w:val="00C10578"/>
    <w:rsid w:val="00C10C18"/>
    <w:rsid w:val="00C10D56"/>
    <w:rsid w:val="00C13388"/>
    <w:rsid w:val="00C135BC"/>
    <w:rsid w:val="00C14F01"/>
    <w:rsid w:val="00C15A3D"/>
    <w:rsid w:val="00C15AB7"/>
    <w:rsid w:val="00C15C95"/>
    <w:rsid w:val="00C167C6"/>
    <w:rsid w:val="00C16828"/>
    <w:rsid w:val="00C20588"/>
    <w:rsid w:val="00C2596A"/>
    <w:rsid w:val="00C27537"/>
    <w:rsid w:val="00C30FE1"/>
    <w:rsid w:val="00C31C7B"/>
    <w:rsid w:val="00C328FE"/>
    <w:rsid w:val="00C33507"/>
    <w:rsid w:val="00C34F12"/>
    <w:rsid w:val="00C36233"/>
    <w:rsid w:val="00C377CD"/>
    <w:rsid w:val="00C408C7"/>
    <w:rsid w:val="00C40B2D"/>
    <w:rsid w:val="00C42944"/>
    <w:rsid w:val="00C42C89"/>
    <w:rsid w:val="00C438B1"/>
    <w:rsid w:val="00C4409D"/>
    <w:rsid w:val="00C449FC"/>
    <w:rsid w:val="00C44E72"/>
    <w:rsid w:val="00C45A06"/>
    <w:rsid w:val="00C47E5B"/>
    <w:rsid w:val="00C502FF"/>
    <w:rsid w:val="00C5110E"/>
    <w:rsid w:val="00C5165A"/>
    <w:rsid w:val="00C516B8"/>
    <w:rsid w:val="00C519A2"/>
    <w:rsid w:val="00C5238B"/>
    <w:rsid w:val="00C53712"/>
    <w:rsid w:val="00C53E58"/>
    <w:rsid w:val="00C54C24"/>
    <w:rsid w:val="00C54D3E"/>
    <w:rsid w:val="00C55CAB"/>
    <w:rsid w:val="00C60308"/>
    <w:rsid w:val="00C619B5"/>
    <w:rsid w:val="00C61E4B"/>
    <w:rsid w:val="00C64BFF"/>
    <w:rsid w:val="00C65B82"/>
    <w:rsid w:val="00C664FA"/>
    <w:rsid w:val="00C704E9"/>
    <w:rsid w:val="00C70BCD"/>
    <w:rsid w:val="00C71408"/>
    <w:rsid w:val="00C72162"/>
    <w:rsid w:val="00C72EBB"/>
    <w:rsid w:val="00C763C9"/>
    <w:rsid w:val="00C80057"/>
    <w:rsid w:val="00C82232"/>
    <w:rsid w:val="00C82913"/>
    <w:rsid w:val="00C82B34"/>
    <w:rsid w:val="00C85A2C"/>
    <w:rsid w:val="00C872A8"/>
    <w:rsid w:val="00C916AD"/>
    <w:rsid w:val="00C96401"/>
    <w:rsid w:val="00C972B1"/>
    <w:rsid w:val="00CA2CCE"/>
    <w:rsid w:val="00CA3061"/>
    <w:rsid w:val="00CA3F7B"/>
    <w:rsid w:val="00CA43FD"/>
    <w:rsid w:val="00CA57C4"/>
    <w:rsid w:val="00CA7EF8"/>
    <w:rsid w:val="00CB14D4"/>
    <w:rsid w:val="00CB3426"/>
    <w:rsid w:val="00CB47AD"/>
    <w:rsid w:val="00CB4F7E"/>
    <w:rsid w:val="00CB6DEF"/>
    <w:rsid w:val="00CB6E29"/>
    <w:rsid w:val="00CB75BC"/>
    <w:rsid w:val="00CB7CE0"/>
    <w:rsid w:val="00CC0527"/>
    <w:rsid w:val="00CC275F"/>
    <w:rsid w:val="00CC489B"/>
    <w:rsid w:val="00CC6395"/>
    <w:rsid w:val="00CC65EC"/>
    <w:rsid w:val="00CD0204"/>
    <w:rsid w:val="00CD02D9"/>
    <w:rsid w:val="00CD2BCD"/>
    <w:rsid w:val="00CD3A4C"/>
    <w:rsid w:val="00CD3FC7"/>
    <w:rsid w:val="00CD6193"/>
    <w:rsid w:val="00CD65CC"/>
    <w:rsid w:val="00CE0C19"/>
    <w:rsid w:val="00CE0E95"/>
    <w:rsid w:val="00CE10E9"/>
    <w:rsid w:val="00CE14A7"/>
    <w:rsid w:val="00CE1C25"/>
    <w:rsid w:val="00CE2910"/>
    <w:rsid w:val="00CE40DB"/>
    <w:rsid w:val="00CE5393"/>
    <w:rsid w:val="00CF0F75"/>
    <w:rsid w:val="00CF226F"/>
    <w:rsid w:val="00CF36BE"/>
    <w:rsid w:val="00CF6000"/>
    <w:rsid w:val="00D003F3"/>
    <w:rsid w:val="00D0364F"/>
    <w:rsid w:val="00D06096"/>
    <w:rsid w:val="00D06658"/>
    <w:rsid w:val="00D06834"/>
    <w:rsid w:val="00D07977"/>
    <w:rsid w:val="00D13005"/>
    <w:rsid w:val="00D13CD8"/>
    <w:rsid w:val="00D16949"/>
    <w:rsid w:val="00D16CBA"/>
    <w:rsid w:val="00D25788"/>
    <w:rsid w:val="00D26433"/>
    <w:rsid w:val="00D308ED"/>
    <w:rsid w:val="00D33F70"/>
    <w:rsid w:val="00D35289"/>
    <w:rsid w:val="00D36676"/>
    <w:rsid w:val="00D36D86"/>
    <w:rsid w:val="00D428AA"/>
    <w:rsid w:val="00D4784F"/>
    <w:rsid w:val="00D47ECE"/>
    <w:rsid w:val="00D500CA"/>
    <w:rsid w:val="00D505EA"/>
    <w:rsid w:val="00D50A34"/>
    <w:rsid w:val="00D527CF"/>
    <w:rsid w:val="00D53A40"/>
    <w:rsid w:val="00D53EFA"/>
    <w:rsid w:val="00D55F1D"/>
    <w:rsid w:val="00D61043"/>
    <w:rsid w:val="00D61B76"/>
    <w:rsid w:val="00D654EE"/>
    <w:rsid w:val="00D7084A"/>
    <w:rsid w:val="00D71206"/>
    <w:rsid w:val="00D7246C"/>
    <w:rsid w:val="00D81747"/>
    <w:rsid w:val="00D86E80"/>
    <w:rsid w:val="00D90A0D"/>
    <w:rsid w:val="00D94A7C"/>
    <w:rsid w:val="00D9583B"/>
    <w:rsid w:val="00D95896"/>
    <w:rsid w:val="00D964F3"/>
    <w:rsid w:val="00D96A5A"/>
    <w:rsid w:val="00DA4B9B"/>
    <w:rsid w:val="00DA6318"/>
    <w:rsid w:val="00DB1D3C"/>
    <w:rsid w:val="00DB2444"/>
    <w:rsid w:val="00DB2983"/>
    <w:rsid w:val="00DB4877"/>
    <w:rsid w:val="00DB55D4"/>
    <w:rsid w:val="00DB5F72"/>
    <w:rsid w:val="00DC1257"/>
    <w:rsid w:val="00DC2DEE"/>
    <w:rsid w:val="00DC36F3"/>
    <w:rsid w:val="00DC3D40"/>
    <w:rsid w:val="00DC3DC0"/>
    <w:rsid w:val="00DC48AB"/>
    <w:rsid w:val="00DC5620"/>
    <w:rsid w:val="00DC5B2B"/>
    <w:rsid w:val="00DC6599"/>
    <w:rsid w:val="00DC6E32"/>
    <w:rsid w:val="00DC7236"/>
    <w:rsid w:val="00DC7460"/>
    <w:rsid w:val="00DD274C"/>
    <w:rsid w:val="00DD318D"/>
    <w:rsid w:val="00DD50A7"/>
    <w:rsid w:val="00DD5670"/>
    <w:rsid w:val="00DD580B"/>
    <w:rsid w:val="00DD5A0D"/>
    <w:rsid w:val="00DE6DE1"/>
    <w:rsid w:val="00DE6F70"/>
    <w:rsid w:val="00DF2B50"/>
    <w:rsid w:val="00DF2E12"/>
    <w:rsid w:val="00DF303E"/>
    <w:rsid w:val="00DF37DC"/>
    <w:rsid w:val="00DF3954"/>
    <w:rsid w:val="00DF490D"/>
    <w:rsid w:val="00DF514A"/>
    <w:rsid w:val="00DF6690"/>
    <w:rsid w:val="00DF6804"/>
    <w:rsid w:val="00E0190A"/>
    <w:rsid w:val="00E0358D"/>
    <w:rsid w:val="00E04323"/>
    <w:rsid w:val="00E070A2"/>
    <w:rsid w:val="00E11F2B"/>
    <w:rsid w:val="00E122E8"/>
    <w:rsid w:val="00E14AA0"/>
    <w:rsid w:val="00E155DE"/>
    <w:rsid w:val="00E178CE"/>
    <w:rsid w:val="00E22B34"/>
    <w:rsid w:val="00E2656A"/>
    <w:rsid w:val="00E27D96"/>
    <w:rsid w:val="00E3382F"/>
    <w:rsid w:val="00E34394"/>
    <w:rsid w:val="00E355F8"/>
    <w:rsid w:val="00E4014A"/>
    <w:rsid w:val="00E40EFE"/>
    <w:rsid w:val="00E412D0"/>
    <w:rsid w:val="00E42A45"/>
    <w:rsid w:val="00E448EC"/>
    <w:rsid w:val="00E462BF"/>
    <w:rsid w:val="00E462EC"/>
    <w:rsid w:val="00E50FC3"/>
    <w:rsid w:val="00E50FD5"/>
    <w:rsid w:val="00E51401"/>
    <w:rsid w:val="00E53641"/>
    <w:rsid w:val="00E53F4D"/>
    <w:rsid w:val="00E541FC"/>
    <w:rsid w:val="00E5448D"/>
    <w:rsid w:val="00E56322"/>
    <w:rsid w:val="00E60982"/>
    <w:rsid w:val="00E61E8E"/>
    <w:rsid w:val="00E62C62"/>
    <w:rsid w:val="00E636F2"/>
    <w:rsid w:val="00E654C1"/>
    <w:rsid w:val="00E65D97"/>
    <w:rsid w:val="00E679D7"/>
    <w:rsid w:val="00E72A5A"/>
    <w:rsid w:val="00E73354"/>
    <w:rsid w:val="00E737CD"/>
    <w:rsid w:val="00E75E67"/>
    <w:rsid w:val="00E82382"/>
    <w:rsid w:val="00E8575F"/>
    <w:rsid w:val="00E85CB8"/>
    <w:rsid w:val="00E90702"/>
    <w:rsid w:val="00E912F6"/>
    <w:rsid w:val="00E9242D"/>
    <w:rsid w:val="00E926DC"/>
    <w:rsid w:val="00EA0A2C"/>
    <w:rsid w:val="00EA0B0F"/>
    <w:rsid w:val="00EA1287"/>
    <w:rsid w:val="00EA23EB"/>
    <w:rsid w:val="00EA2946"/>
    <w:rsid w:val="00EA29C9"/>
    <w:rsid w:val="00EA5121"/>
    <w:rsid w:val="00EB021B"/>
    <w:rsid w:val="00EB2852"/>
    <w:rsid w:val="00EB2BD3"/>
    <w:rsid w:val="00EB3146"/>
    <w:rsid w:val="00EB4A07"/>
    <w:rsid w:val="00EB4B22"/>
    <w:rsid w:val="00EB5255"/>
    <w:rsid w:val="00EB5C47"/>
    <w:rsid w:val="00EC129C"/>
    <w:rsid w:val="00EC200C"/>
    <w:rsid w:val="00EC5380"/>
    <w:rsid w:val="00EC5FDF"/>
    <w:rsid w:val="00EC688F"/>
    <w:rsid w:val="00EC7C7B"/>
    <w:rsid w:val="00ED0639"/>
    <w:rsid w:val="00ED1F90"/>
    <w:rsid w:val="00ED3C05"/>
    <w:rsid w:val="00ED5C6E"/>
    <w:rsid w:val="00EE04BB"/>
    <w:rsid w:val="00EE0686"/>
    <w:rsid w:val="00EE12A9"/>
    <w:rsid w:val="00EE3275"/>
    <w:rsid w:val="00EE5693"/>
    <w:rsid w:val="00EF054E"/>
    <w:rsid w:val="00EF13CA"/>
    <w:rsid w:val="00EF4755"/>
    <w:rsid w:val="00EF5BCC"/>
    <w:rsid w:val="00EF7135"/>
    <w:rsid w:val="00EF75A0"/>
    <w:rsid w:val="00EF7754"/>
    <w:rsid w:val="00F00ACD"/>
    <w:rsid w:val="00F0142C"/>
    <w:rsid w:val="00F027DB"/>
    <w:rsid w:val="00F03A9E"/>
    <w:rsid w:val="00F05014"/>
    <w:rsid w:val="00F06031"/>
    <w:rsid w:val="00F07549"/>
    <w:rsid w:val="00F14A7A"/>
    <w:rsid w:val="00F15DD0"/>
    <w:rsid w:val="00F16F51"/>
    <w:rsid w:val="00F216E5"/>
    <w:rsid w:val="00F22628"/>
    <w:rsid w:val="00F22985"/>
    <w:rsid w:val="00F24170"/>
    <w:rsid w:val="00F24586"/>
    <w:rsid w:val="00F250AB"/>
    <w:rsid w:val="00F2558E"/>
    <w:rsid w:val="00F25D43"/>
    <w:rsid w:val="00F25F68"/>
    <w:rsid w:val="00F30257"/>
    <w:rsid w:val="00F3138F"/>
    <w:rsid w:val="00F325AE"/>
    <w:rsid w:val="00F3383E"/>
    <w:rsid w:val="00F342BA"/>
    <w:rsid w:val="00F37CE1"/>
    <w:rsid w:val="00F431DC"/>
    <w:rsid w:val="00F465A7"/>
    <w:rsid w:val="00F50B7C"/>
    <w:rsid w:val="00F542B6"/>
    <w:rsid w:val="00F550E6"/>
    <w:rsid w:val="00F55D4C"/>
    <w:rsid w:val="00F55DB2"/>
    <w:rsid w:val="00F575D7"/>
    <w:rsid w:val="00F66FCE"/>
    <w:rsid w:val="00F7390E"/>
    <w:rsid w:val="00F73FBE"/>
    <w:rsid w:val="00F74345"/>
    <w:rsid w:val="00F7455A"/>
    <w:rsid w:val="00F76D0D"/>
    <w:rsid w:val="00F7784E"/>
    <w:rsid w:val="00F77FA5"/>
    <w:rsid w:val="00F80A0A"/>
    <w:rsid w:val="00F815FD"/>
    <w:rsid w:val="00F82B19"/>
    <w:rsid w:val="00F83DCB"/>
    <w:rsid w:val="00F914EA"/>
    <w:rsid w:val="00F9212D"/>
    <w:rsid w:val="00F93484"/>
    <w:rsid w:val="00F9361C"/>
    <w:rsid w:val="00F941B2"/>
    <w:rsid w:val="00F94D9F"/>
    <w:rsid w:val="00F965DA"/>
    <w:rsid w:val="00FA0DD4"/>
    <w:rsid w:val="00FA10E7"/>
    <w:rsid w:val="00FA1A6C"/>
    <w:rsid w:val="00FA30AD"/>
    <w:rsid w:val="00FA406A"/>
    <w:rsid w:val="00FA6474"/>
    <w:rsid w:val="00FB3B71"/>
    <w:rsid w:val="00FB4274"/>
    <w:rsid w:val="00FB503A"/>
    <w:rsid w:val="00FB516C"/>
    <w:rsid w:val="00FC478A"/>
    <w:rsid w:val="00FC581C"/>
    <w:rsid w:val="00FC6456"/>
    <w:rsid w:val="00FC77B9"/>
    <w:rsid w:val="00FD0236"/>
    <w:rsid w:val="00FD0397"/>
    <w:rsid w:val="00FD09E5"/>
    <w:rsid w:val="00FD1308"/>
    <w:rsid w:val="00FD18F4"/>
    <w:rsid w:val="00FD1F35"/>
    <w:rsid w:val="00FD32C6"/>
    <w:rsid w:val="00FD54DB"/>
    <w:rsid w:val="00FD616A"/>
    <w:rsid w:val="00FD619F"/>
    <w:rsid w:val="00FE265F"/>
    <w:rsid w:val="00FE28C4"/>
    <w:rsid w:val="00FE6595"/>
    <w:rsid w:val="00FE6F9B"/>
    <w:rsid w:val="00FF03B1"/>
    <w:rsid w:val="00FF1A67"/>
    <w:rsid w:val="00FF36E7"/>
    <w:rsid w:val="00FF3961"/>
    <w:rsid w:val="00FF40D6"/>
    <w:rsid w:val="00FF4EF3"/>
    <w:rsid w:val="00FF6C2E"/>
    <w:rsid w:val="00FF6F18"/>
    <w:rsid w:val="01290F7E"/>
    <w:rsid w:val="015D1E09"/>
    <w:rsid w:val="02697903"/>
    <w:rsid w:val="02F96569"/>
    <w:rsid w:val="03D251BA"/>
    <w:rsid w:val="03EA7B21"/>
    <w:rsid w:val="05F83EAE"/>
    <w:rsid w:val="063E7D85"/>
    <w:rsid w:val="07293586"/>
    <w:rsid w:val="07295285"/>
    <w:rsid w:val="07636392"/>
    <w:rsid w:val="076E3F95"/>
    <w:rsid w:val="07770C56"/>
    <w:rsid w:val="092217DD"/>
    <w:rsid w:val="093A7294"/>
    <w:rsid w:val="0A263993"/>
    <w:rsid w:val="0A2D3AC2"/>
    <w:rsid w:val="0AA755DF"/>
    <w:rsid w:val="0B120D44"/>
    <w:rsid w:val="0BD27BF6"/>
    <w:rsid w:val="0C3B3C7D"/>
    <w:rsid w:val="0CAB2EAE"/>
    <w:rsid w:val="0CF05A47"/>
    <w:rsid w:val="0D621C7D"/>
    <w:rsid w:val="0E73034D"/>
    <w:rsid w:val="0F13775A"/>
    <w:rsid w:val="0F5F45FE"/>
    <w:rsid w:val="0F9A112B"/>
    <w:rsid w:val="106D2F64"/>
    <w:rsid w:val="10B63710"/>
    <w:rsid w:val="10F10820"/>
    <w:rsid w:val="111C2F7A"/>
    <w:rsid w:val="11665CA1"/>
    <w:rsid w:val="13951726"/>
    <w:rsid w:val="14396509"/>
    <w:rsid w:val="14D47C33"/>
    <w:rsid w:val="14DD2C3C"/>
    <w:rsid w:val="15A00CFE"/>
    <w:rsid w:val="16087E1D"/>
    <w:rsid w:val="16E3789C"/>
    <w:rsid w:val="17701D14"/>
    <w:rsid w:val="17735226"/>
    <w:rsid w:val="189F624C"/>
    <w:rsid w:val="18FD7B8B"/>
    <w:rsid w:val="1A1C66C0"/>
    <w:rsid w:val="1A42393B"/>
    <w:rsid w:val="1AAD45DE"/>
    <w:rsid w:val="1B046F80"/>
    <w:rsid w:val="1B3267B5"/>
    <w:rsid w:val="1B40161D"/>
    <w:rsid w:val="1B441859"/>
    <w:rsid w:val="1B6606B1"/>
    <w:rsid w:val="1C5E7925"/>
    <w:rsid w:val="1CFD070F"/>
    <w:rsid w:val="1D5F6196"/>
    <w:rsid w:val="1D6132A5"/>
    <w:rsid w:val="1D8E56D5"/>
    <w:rsid w:val="1E7A43DA"/>
    <w:rsid w:val="1FE7539E"/>
    <w:rsid w:val="20671BE0"/>
    <w:rsid w:val="20963CB8"/>
    <w:rsid w:val="20A81A1B"/>
    <w:rsid w:val="20B07FB6"/>
    <w:rsid w:val="20B646FB"/>
    <w:rsid w:val="213B74B1"/>
    <w:rsid w:val="215A2310"/>
    <w:rsid w:val="21DE318A"/>
    <w:rsid w:val="21EF5B80"/>
    <w:rsid w:val="22576990"/>
    <w:rsid w:val="22F47480"/>
    <w:rsid w:val="23DE1C48"/>
    <w:rsid w:val="240210CD"/>
    <w:rsid w:val="24BF09F7"/>
    <w:rsid w:val="252D53FE"/>
    <w:rsid w:val="25EC2D81"/>
    <w:rsid w:val="263A2200"/>
    <w:rsid w:val="26764C24"/>
    <w:rsid w:val="27535F07"/>
    <w:rsid w:val="277057A2"/>
    <w:rsid w:val="2798551E"/>
    <w:rsid w:val="28E026ED"/>
    <w:rsid w:val="29206EB8"/>
    <w:rsid w:val="29595666"/>
    <w:rsid w:val="29874881"/>
    <w:rsid w:val="29E325E0"/>
    <w:rsid w:val="2A452503"/>
    <w:rsid w:val="2BA936A8"/>
    <w:rsid w:val="2C315A5A"/>
    <w:rsid w:val="2C4B1C25"/>
    <w:rsid w:val="2D9E56F5"/>
    <w:rsid w:val="2E667F96"/>
    <w:rsid w:val="2E8226AB"/>
    <w:rsid w:val="2FD065E6"/>
    <w:rsid w:val="2FD96870"/>
    <w:rsid w:val="30580BC9"/>
    <w:rsid w:val="311E2ED7"/>
    <w:rsid w:val="315619EE"/>
    <w:rsid w:val="315C449C"/>
    <w:rsid w:val="31B82709"/>
    <w:rsid w:val="31D05482"/>
    <w:rsid w:val="32400B34"/>
    <w:rsid w:val="329E6876"/>
    <w:rsid w:val="333015F2"/>
    <w:rsid w:val="334B6320"/>
    <w:rsid w:val="33D934D4"/>
    <w:rsid w:val="33FE2F6A"/>
    <w:rsid w:val="340E07E5"/>
    <w:rsid w:val="34235BF7"/>
    <w:rsid w:val="346F005B"/>
    <w:rsid w:val="358C5FA8"/>
    <w:rsid w:val="35C15DF1"/>
    <w:rsid w:val="35F851D7"/>
    <w:rsid w:val="36074A7F"/>
    <w:rsid w:val="36923549"/>
    <w:rsid w:val="36B75FBF"/>
    <w:rsid w:val="36BD0C45"/>
    <w:rsid w:val="37E00298"/>
    <w:rsid w:val="38B302F9"/>
    <w:rsid w:val="38F12CD3"/>
    <w:rsid w:val="38F94775"/>
    <w:rsid w:val="392971ED"/>
    <w:rsid w:val="39325651"/>
    <w:rsid w:val="3A872856"/>
    <w:rsid w:val="3B3763D1"/>
    <w:rsid w:val="3C2F6E1E"/>
    <w:rsid w:val="3C4F64BA"/>
    <w:rsid w:val="3CDA245A"/>
    <w:rsid w:val="3D1E06B7"/>
    <w:rsid w:val="3E6F0EB2"/>
    <w:rsid w:val="3EDA0523"/>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984C43"/>
    <w:rsid w:val="45A47C0E"/>
    <w:rsid w:val="46577FD6"/>
    <w:rsid w:val="46D955A7"/>
    <w:rsid w:val="47133957"/>
    <w:rsid w:val="47A07E0C"/>
    <w:rsid w:val="4870272E"/>
    <w:rsid w:val="49DC7715"/>
    <w:rsid w:val="4A023139"/>
    <w:rsid w:val="4A7B576F"/>
    <w:rsid w:val="4AF561A9"/>
    <w:rsid w:val="4C4A0649"/>
    <w:rsid w:val="4C7E5ECA"/>
    <w:rsid w:val="4C876AA5"/>
    <w:rsid w:val="4D0E00FB"/>
    <w:rsid w:val="4D176606"/>
    <w:rsid w:val="4DEC4FB0"/>
    <w:rsid w:val="4E075D8A"/>
    <w:rsid w:val="4EC00FAD"/>
    <w:rsid w:val="4F9843DC"/>
    <w:rsid w:val="4FC62A8C"/>
    <w:rsid w:val="4FE20F0D"/>
    <w:rsid w:val="4FE51552"/>
    <w:rsid w:val="50504C4B"/>
    <w:rsid w:val="509C6E7C"/>
    <w:rsid w:val="5162104E"/>
    <w:rsid w:val="53A039CC"/>
    <w:rsid w:val="53A1505A"/>
    <w:rsid w:val="54063E08"/>
    <w:rsid w:val="543437E8"/>
    <w:rsid w:val="54A64585"/>
    <w:rsid w:val="54F73313"/>
    <w:rsid w:val="54F80955"/>
    <w:rsid w:val="555170A7"/>
    <w:rsid w:val="5587536D"/>
    <w:rsid w:val="559B174B"/>
    <w:rsid w:val="55CE0CF4"/>
    <w:rsid w:val="56B22A9C"/>
    <w:rsid w:val="57B72A76"/>
    <w:rsid w:val="57C3426C"/>
    <w:rsid w:val="57CE1F93"/>
    <w:rsid w:val="588743D1"/>
    <w:rsid w:val="5887701A"/>
    <w:rsid w:val="59C0439F"/>
    <w:rsid w:val="5ABE2233"/>
    <w:rsid w:val="5BDF5D95"/>
    <w:rsid w:val="5BFE7528"/>
    <w:rsid w:val="5E2467F1"/>
    <w:rsid w:val="5F1A2B43"/>
    <w:rsid w:val="5F5C5FB8"/>
    <w:rsid w:val="5FB837BB"/>
    <w:rsid w:val="60CC405A"/>
    <w:rsid w:val="61E215D8"/>
    <w:rsid w:val="621B3775"/>
    <w:rsid w:val="62364782"/>
    <w:rsid w:val="6394356A"/>
    <w:rsid w:val="63C61B2C"/>
    <w:rsid w:val="63D40BE9"/>
    <w:rsid w:val="64102431"/>
    <w:rsid w:val="64A5243A"/>
    <w:rsid w:val="64F531DE"/>
    <w:rsid w:val="65373578"/>
    <w:rsid w:val="671F124A"/>
    <w:rsid w:val="677A33C6"/>
    <w:rsid w:val="681F6961"/>
    <w:rsid w:val="68610A2F"/>
    <w:rsid w:val="68805514"/>
    <w:rsid w:val="69316E2F"/>
    <w:rsid w:val="694E2071"/>
    <w:rsid w:val="69766163"/>
    <w:rsid w:val="697A3B33"/>
    <w:rsid w:val="69D44760"/>
    <w:rsid w:val="6A520EC7"/>
    <w:rsid w:val="6AF87E20"/>
    <w:rsid w:val="6B322639"/>
    <w:rsid w:val="6C636C38"/>
    <w:rsid w:val="6DB34098"/>
    <w:rsid w:val="6DB545B6"/>
    <w:rsid w:val="6DE02FB4"/>
    <w:rsid w:val="6E514CED"/>
    <w:rsid w:val="6E601782"/>
    <w:rsid w:val="6EB563D5"/>
    <w:rsid w:val="6ED92677"/>
    <w:rsid w:val="6F225983"/>
    <w:rsid w:val="6FFC5590"/>
    <w:rsid w:val="706D1DD0"/>
    <w:rsid w:val="70856B87"/>
    <w:rsid w:val="70D527EE"/>
    <w:rsid w:val="715B5300"/>
    <w:rsid w:val="71D27F8A"/>
    <w:rsid w:val="72553024"/>
    <w:rsid w:val="73122968"/>
    <w:rsid w:val="731F5D5E"/>
    <w:rsid w:val="73C51AD5"/>
    <w:rsid w:val="741E793C"/>
    <w:rsid w:val="745E3944"/>
    <w:rsid w:val="7635099D"/>
    <w:rsid w:val="77762421"/>
    <w:rsid w:val="77B56B1F"/>
    <w:rsid w:val="780F09F4"/>
    <w:rsid w:val="78A90480"/>
    <w:rsid w:val="7A364017"/>
    <w:rsid w:val="7A8265E1"/>
    <w:rsid w:val="7B686D42"/>
    <w:rsid w:val="7B841746"/>
    <w:rsid w:val="7C6C5AC7"/>
    <w:rsid w:val="7CC6544B"/>
    <w:rsid w:val="7D0239FF"/>
    <w:rsid w:val="7D5E40CD"/>
    <w:rsid w:val="7DCD56F2"/>
    <w:rsid w:val="7F001CE7"/>
    <w:rsid w:val="7F4F457C"/>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iPriority="9" w:semiHidden="0" w:name="heading 2" w:locked="1"/>
    <w:lsdException w:qFormat="1" w:uiPriority="9" w:semiHidden="0" w:name="heading 3" w:locked="1"/>
    <w:lsdException w:qFormat="1" w:uiPriority="9" w:semiHidden="0" w:name="heading 4" w:locked="1"/>
    <w:lsdException w:qFormat="1"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qFormat="1"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qFormat="1"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qFormat="1" w:unhideWhenUsed="0" w:uiPriority="0" w:semiHidden="0" w:name="Table Elegant" w:locked="1"/>
    <w:lsdException w:qFormat="1" w:unhideWhenUsed="0" w:uiPriority="0" w:semiHidden="0" w:name="Table Professional" w:locked="1"/>
    <w:lsdException w:uiPriority="0" w:name="Table Subtle 1" w:locked="1"/>
    <w:lsdException w:uiPriority="0" w:name="Table Subtle 2" w:locked="1"/>
    <w:lsdException w:uiPriority="0" w:name="Table Web 1" w:locked="1"/>
    <w:lsdException w:qFormat="1" w:unhideWhenUsed="0" w:uiPriority="0" w:semiHidden="0" w:name="Table Web 2" w:locked="1"/>
    <w:lsdException w:qFormat="1" w:unhideWhenUsed="0" w:uiPriority="0" w:semiHidden="0" w:name="Table Web 3" w:locked="1"/>
    <w:lsdException w:qFormat="1" w:unhideWhenUsed="0" w:uiPriority="0" w:name="Balloon Text"/>
    <w:lsdException w:qFormat="1" w:unhideWhenUsed="0" w:uiPriority="39" w:semiHidden="0" w:name="Table Grid"/>
    <w:lsdException w:uiPriority="0" w:name="Table Theme" w:locked="1"/>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Times New Roman" w:hAnsi="Times New Roman" w:eastAsia="宋体" w:cs="Times New Roman"/>
      <w:sz w:val="21"/>
      <w:szCs w:val="21"/>
      <w:lang w:val="en-US" w:eastAsia="zh-CN" w:bidi="ar-SA"/>
    </w:rPr>
  </w:style>
  <w:style w:type="paragraph" w:styleId="2">
    <w:name w:val="heading 1"/>
    <w:basedOn w:val="1"/>
    <w:next w:val="3"/>
    <w:link w:val="52"/>
    <w:autoRedefine/>
    <w:qFormat/>
    <w:locked/>
    <w:uiPriority w:val="9"/>
    <w:pPr>
      <w:keepNext/>
      <w:keepLines/>
      <w:pageBreakBefore/>
      <w:numPr>
        <w:ilvl w:val="0"/>
        <w:numId w:val="1"/>
      </w:numPr>
      <w:spacing w:line="360" w:lineRule="auto"/>
      <w:jc w:val="center"/>
      <w:outlineLvl w:val="0"/>
    </w:pPr>
    <w:rPr>
      <w:rFonts w:eastAsia="黑体"/>
      <w:b/>
      <w:bCs/>
      <w:kern w:val="44"/>
      <w:sz w:val="30"/>
      <w:szCs w:val="44"/>
    </w:rPr>
  </w:style>
  <w:style w:type="paragraph" w:styleId="4">
    <w:name w:val="heading 2"/>
    <w:basedOn w:val="1"/>
    <w:next w:val="3"/>
    <w:link w:val="53"/>
    <w:unhideWhenUsed/>
    <w:qFormat/>
    <w:locked/>
    <w:uiPriority w:val="9"/>
    <w:pPr>
      <w:keepNext/>
      <w:keepLines/>
      <w:numPr>
        <w:ilvl w:val="1"/>
        <w:numId w:val="1"/>
      </w:numPr>
      <w:spacing w:line="360" w:lineRule="auto"/>
      <w:outlineLvl w:val="1"/>
    </w:pPr>
    <w:rPr>
      <w:b/>
      <w:bCs/>
      <w:sz w:val="24"/>
      <w:szCs w:val="32"/>
    </w:rPr>
  </w:style>
  <w:style w:type="paragraph" w:styleId="5">
    <w:name w:val="heading 3"/>
    <w:basedOn w:val="1"/>
    <w:next w:val="3"/>
    <w:link w:val="54"/>
    <w:unhideWhenUsed/>
    <w:qFormat/>
    <w:locked/>
    <w:uiPriority w:val="9"/>
    <w:pPr>
      <w:numPr>
        <w:ilvl w:val="2"/>
        <w:numId w:val="1"/>
      </w:numPr>
      <w:spacing w:line="360" w:lineRule="auto"/>
      <w:ind w:firstLine="0"/>
      <w:outlineLvl w:val="2"/>
    </w:pPr>
    <w:rPr>
      <w:b/>
      <w:bCs/>
      <w:sz w:val="24"/>
      <w:szCs w:val="32"/>
    </w:rPr>
  </w:style>
  <w:style w:type="paragraph" w:styleId="6">
    <w:name w:val="heading 4"/>
    <w:basedOn w:val="1"/>
    <w:next w:val="3"/>
    <w:link w:val="55"/>
    <w:unhideWhenUsed/>
    <w:qFormat/>
    <w:locked/>
    <w:uiPriority w:val="9"/>
    <w:pPr>
      <w:keepNext/>
      <w:keepLines/>
      <w:numPr>
        <w:ilvl w:val="3"/>
        <w:numId w:val="1"/>
      </w:numPr>
      <w:spacing w:line="360" w:lineRule="auto"/>
      <w:outlineLvl w:val="3"/>
    </w:pPr>
    <w:rPr>
      <w:b/>
      <w:bCs/>
      <w:sz w:val="24"/>
      <w:szCs w:val="28"/>
    </w:rPr>
  </w:style>
  <w:style w:type="paragraph" w:styleId="7">
    <w:name w:val="heading 5"/>
    <w:basedOn w:val="1"/>
    <w:next w:val="3"/>
    <w:link w:val="57"/>
    <w:unhideWhenUsed/>
    <w:qFormat/>
    <w:locked/>
    <w:uiPriority w:val="0"/>
    <w:pPr>
      <w:widowControl w:val="0"/>
      <w:spacing w:line="360" w:lineRule="auto"/>
      <w:outlineLvl w:val="4"/>
    </w:pPr>
    <w:rPr>
      <w:b/>
      <w:bCs/>
      <w:sz w:val="24"/>
      <w:szCs w:val="28"/>
    </w:rPr>
  </w:style>
  <w:style w:type="character" w:default="1" w:styleId="26">
    <w:name w:val="Default Paragraph Font"/>
    <w:semiHidden/>
    <w:unhideWhenUsed/>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customStyle="1" w:styleId="3">
    <w:name w:val="报告正文"/>
    <w:basedOn w:val="1"/>
    <w:link w:val="47"/>
    <w:qFormat/>
    <w:uiPriority w:val="0"/>
    <w:pPr>
      <w:widowControl w:val="0"/>
      <w:adjustRightInd w:val="0"/>
      <w:snapToGrid w:val="0"/>
      <w:spacing w:line="360" w:lineRule="auto"/>
      <w:ind w:firstLine="200" w:firstLineChars="200"/>
    </w:pPr>
    <w:rPr>
      <w:snapToGrid w:val="0"/>
      <w:sz w:val="24"/>
      <w14:ligatures w14:val="standardContextual"/>
    </w:rPr>
  </w:style>
  <w:style w:type="paragraph" w:styleId="8">
    <w:name w:val="Normal Indent"/>
    <w:basedOn w:val="1"/>
    <w:next w:val="1"/>
    <w:autoRedefine/>
    <w:qFormat/>
    <w:locked/>
    <w:uiPriority w:val="0"/>
    <w:pPr>
      <w:widowControl w:val="0"/>
      <w:ind w:firstLine="420"/>
    </w:pPr>
    <w:rPr>
      <w:kern w:val="2"/>
      <w:szCs w:val="20"/>
    </w:rPr>
  </w:style>
  <w:style w:type="paragraph" w:styleId="9">
    <w:name w:val="caption"/>
    <w:basedOn w:val="1"/>
    <w:next w:val="1"/>
    <w:unhideWhenUsed/>
    <w:qFormat/>
    <w:locked/>
    <w:uiPriority w:val="0"/>
    <w:pPr>
      <w:spacing w:line="360" w:lineRule="auto"/>
    </w:pPr>
    <w:rPr>
      <w:sz w:val="18"/>
      <w:szCs w:val="20"/>
    </w:rPr>
  </w:style>
  <w:style w:type="paragraph" w:styleId="10">
    <w:name w:val="annotation text"/>
    <w:basedOn w:val="1"/>
    <w:link w:val="30"/>
    <w:autoRedefine/>
    <w:semiHidden/>
    <w:qFormat/>
    <w:uiPriority w:val="0"/>
    <w:pPr>
      <w:jc w:val="left"/>
    </w:pPr>
    <w:rPr>
      <w:sz w:val="24"/>
      <w:szCs w:val="20"/>
    </w:rPr>
  </w:style>
  <w:style w:type="paragraph" w:styleId="11">
    <w:name w:val="Body Text"/>
    <w:basedOn w:val="1"/>
    <w:link w:val="31"/>
    <w:autoRedefine/>
    <w:qFormat/>
    <w:uiPriority w:val="0"/>
    <w:pPr>
      <w:snapToGrid w:val="0"/>
      <w:spacing w:before="60" w:after="160" w:line="259" w:lineRule="auto"/>
      <w:ind w:right="113"/>
    </w:pPr>
    <w:rPr>
      <w:sz w:val="18"/>
      <w:szCs w:val="20"/>
    </w:rPr>
  </w:style>
  <w:style w:type="paragraph" w:styleId="12">
    <w:name w:val="Body Text Indent"/>
    <w:basedOn w:val="1"/>
    <w:link w:val="32"/>
    <w:autoRedefine/>
    <w:qFormat/>
    <w:uiPriority w:val="0"/>
    <w:pPr>
      <w:spacing w:after="120"/>
      <w:ind w:left="420" w:leftChars="200"/>
    </w:pPr>
    <w:rPr>
      <w:sz w:val="24"/>
      <w:szCs w:val="20"/>
    </w:rPr>
  </w:style>
  <w:style w:type="paragraph" w:styleId="13">
    <w:name w:val="Date"/>
    <w:basedOn w:val="1"/>
    <w:next w:val="1"/>
    <w:link w:val="33"/>
    <w:autoRedefine/>
    <w:qFormat/>
    <w:uiPriority w:val="0"/>
    <w:pPr>
      <w:ind w:left="100" w:leftChars="2500"/>
    </w:pPr>
    <w:rPr>
      <w:sz w:val="24"/>
      <w:szCs w:val="20"/>
    </w:rPr>
  </w:style>
  <w:style w:type="paragraph" w:styleId="14">
    <w:name w:val="Balloon Text"/>
    <w:basedOn w:val="1"/>
    <w:link w:val="34"/>
    <w:autoRedefine/>
    <w:semiHidden/>
    <w:qFormat/>
    <w:uiPriority w:val="0"/>
    <w:rPr>
      <w:sz w:val="18"/>
      <w:szCs w:val="20"/>
    </w:rPr>
  </w:style>
  <w:style w:type="paragraph" w:styleId="15">
    <w:name w:val="footer"/>
    <w:basedOn w:val="1"/>
    <w:link w:val="35"/>
    <w:autoRedefine/>
    <w:qFormat/>
    <w:uiPriority w:val="99"/>
    <w:pPr>
      <w:tabs>
        <w:tab w:val="center" w:pos="4153"/>
        <w:tab w:val="right" w:pos="8306"/>
      </w:tabs>
      <w:snapToGrid w:val="0"/>
      <w:jc w:val="left"/>
    </w:pPr>
    <w:rPr>
      <w:sz w:val="18"/>
      <w:szCs w:val="20"/>
    </w:rPr>
  </w:style>
  <w:style w:type="paragraph" w:styleId="16">
    <w:name w:val="header"/>
    <w:basedOn w:val="1"/>
    <w:link w:val="36"/>
    <w:autoRedefine/>
    <w:qFormat/>
    <w:uiPriority w:val="0"/>
    <w:pPr>
      <w:pBdr>
        <w:bottom w:val="single" w:color="auto" w:sz="6" w:space="1"/>
      </w:pBdr>
      <w:tabs>
        <w:tab w:val="center" w:pos="4153"/>
        <w:tab w:val="right" w:pos="8306"/>
      </w:tabs>
      <w:snapToGrid w:val="0"/>
      <w:jc w:val="center"/>
    </w:pPr>
    <w:rPr>
      <w:sz w:val="18"/>
      <w:szCs w:val="20"/>
    </w:rPr>
  </w:style>
  <w:style w:type="paragraph" w:styleId="17">
    <w:name w:val="toc 1"/>
    <w:basedOn w:val="1"/>
    <w:next w:val="1"/>
    <w:autoRedefine/>
    <w:qFormat/>
    <w:locked/>
    <w:uiPriority w:val="39"/>
    <w:pPr>
      <w:tabs>
        <w:tab w:val="right" w:leader="dot" w:pos="8834"/>
      </w:tabs>
      <w:spacing w:line="360" w:lineRule="auto"/>
    </w:pPr>
    <w:rPr>
      <w:sz w:val="24"/>
    </w:rPr>
  </w:style>
  <w:style w:type="paragraph" w:styleId="18">
    <w:name w:val="Normal (Web)"/>
    <w:basedOn w:val="1"/>
    <w:link w:val="37"/>
    <w:autoRedefine/>
    <w:qFormat/>
    <w:uiPriority w:val="0"/>
    <w:pPr>
      <w:snapToGrid w:val="0"/>
      <w:jc w:val="left"/>
      <w:outlineLvl w:val="0"/>
    </w:pPr>
    <w:rPr>
      <w:rFonts w:ascii="宋体" w:hAnsi="宋体"/>
      <w:sz w:val="24"/>
      <w:szCs w:val="20"/>
    </w:rPr>
  </w:style>
  <w:style w:type="paragraph" w:styleId="19">
    <w:name w:val="annotation subject"/>
    <w:basedOn w:val="10"/>
    <w:next w:val="10"/>
    <w:link w:val="38"/>
    <w:autoRedefine/>
    <w:semiHidden/>
    <w:qFormat/>
    <w:uiPriority w:val="0"/>
    <w:rPr>
      <w:b/>
    </w:rPr>
  </w:style>
  <w:style w:type="table" w:styleId="21">
    <w:name w:val="Table Grid"/>
    <w:basedOn w:val="20"/>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styleId="22">
    <w:name w:val="Table Elegant"/>
    <w:basedOn w:val="20"/>
    <w:qFormat/>
    <w:locked/>
    <w:uiPriority w:val="0"/>
    <w:pPr>
      <w:adjustRightInd w:val="0"/>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23">
    <w:name w:val="Table Web 2"/>
    <w:basedOn w:val="20"/>
    <w:autoRedefine/>
    <w:qFormat/>
    <w:locked/>
    <w:uiPriority w:val="0"/>
    <w:pPr>
      <w:adjustRightInd w:val="0"/>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24">
    <w:name w:val="Table Web 3"/>
    <w:basedOn w:val="20"/>
    <w:autoRedefine/>
    <w:qFormat/>
    <w:locked/>
    <w:uiPriority w:val="0"/>
    <w:pPr>
      <w:adjustRightInd w:val="0"/>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25">
    <w:name w:val="Table Professional"/>
    <w:basedOn w:val="20"/>
    <w:autoRedefine/>
    <w:qFormat/>
    <w:locked/>
    <w:uiPriority w:val="0"/>
    <w:pPr>
      <w:adjustRightInd w:val="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27">
    <w:name w:val="page number"/>
    <w:autoRedefine/>
    <w:qFormat/>
    <w:locked/>
    <w:uiPriority w:val="0"/>
  </w:style>
  <w:style w:type="character" w:styleId="28">
    <w:name w:val="Hyperlink"/>
    <w:basedOn w:val="26"/>
    <w:unhideWhenUsed/>
    <w:qFormat/>
    <w:locked/>
    <w:uiPriority w:val="99"/>
    <w:rPr>
      <w:color w:val="0563C1" w:themeColor="hyperlink"/>
      <w:u w:val="single"/>
      <w14:textFill>
        <w14:solidFill>
          <w14:schemeClr w14:val="hlink"/>
        </w14:solidFill>
      </w14:textFill>
    </w:rPr>
  </w:style>
  <w:style w:type="character" w:styleId="29">
    <w:name w:val="annotation reference"/>
    <w:autoRedefine/>
    <w:semiHidden/>
    <w:qFormat/>
    <w:uiPriority w:val="0"/>
    <w:rPr>
      <w:sz w:val="21"/>
    </w:rPr>
  </w:style>
  <w:style w:type="character" w:customStyle="1" w:styleId="30">
    <w:name w:val="批注文字 字符"/>
    <w:link w:val="10"/>
    <w:autoRedefine/>
    <w:qFormat/>
    <w:locked/>
    <w:uiPriority w:val="0"/>
    <w:rPr>
      <w:rFonts w:ascii="Times New Roman" w:hAnsi="Times New Roman" w:eastAsia="宋体"/>
      <w:sz w:val="24"/>
    </w:rPr>
  </w:style>
  <w:style w:type="character" w:customStyle="1" w:styleId="31">
    <w:name w:val="正文文本 字符"/>
    <w:link w:val="11"/>
    <w:autoRedefine/>
    <w:qFormat/>
    <w:locked/>
    <w:uiPriority w:val="0"/>
    <w:rPr>
      <w:sz w:val="18"/>
    </w:rPr>
  </w:style>
  <w:style w:type="character" w:customStyle="1" w:styleId="32">
    <w:name w:val="正文文本缩进 字符"/>
    <w:link w:val="12"/>
    <w:autoRedefine/>
    <w:semiHidden/>
    <w:qFormat/>
    <w:locked/>
    <w:uiPriority w:val="0"/>
    <w:rPr>
      <w:rFonts w:ascii="Times New Roman" w:hAnsi="Times New Roman" w:eastAsia="宋体"/>
      <w:sz w:val="24"/>
    </w:rPr>
  </w:style>
  <w:style w:type="character" w:customStyle="1" w:styleId="33">
    <w:name w:val="日期 字符1"/>
    <w:link w:val="13"/>
    <w:autoRedefine/>
    <w:qFormat/>
    <w:locked/>
    <w:uiPriority w:val="0"/>
    <w:rPr>
      <w:rFonts w:ascii="Times New Roman" w:hAnsi="Times New Roman" w:eastAsia="宋体"/>
      <w:sz w:val="24"/>
    </w:rPr>
  </w:style>
  <w:style w:type="character" w:customStyle="1" w:styleId="34">
    <w:name w:val="批注框文本 字符"/>
    <w:link w:val="14"/>
    <w:autoRedefine/>
    <w:semiHidden/>
    <w:qFormat/>
    <w:locked/>
    <w:uiPriority w:val="0"/>
    <w:rPr>
      <w:rFonts w:ascii="Times New Roman" w:hAnsi="Times New Roman" w:eastAsia="宋体"/>
      <w:sz w:val="18"/>
    </w:rPr>
  </w:style>
  <w:style w:type="character" w:customStyle="1" w:styleId="35">
    <w:name w:val="页脚 字符1"/>
    <w:link w:val="15"/>
    <w:autoRedefine/>
    <w:qFormat/>
    <w:locked/>
    <w:uiPriority w:val="99"/>
    <w:rPr>
      <w:sz w:val="18"/>
    </w:rPr>
  </w:style>
  <w:style w:type="character" w:customStyle="1" w:styleId="36">
    <w:name w:val="页眉 字符"/>
    <w:link w:val="16"/>
    <w:autoRedefine/>
    <w:qFormat/>
    <w:locked/>
    <w:uiPriority w:val="0"/>
    <w:rPr>
      <w:sz w:val="18"/>
    </w:rPr>
  </w:style>
  <w:style w:type="character" w:customStyle="1" w:styleId="37">
    <w:name w:val="普通(网站) 字符"/>
    <w:link w:val="18"/>
    <w:autoRedefine/>
    <w:qFormat/>
    <w:locked/>
    <w:uiPriority w:val="0"/>
    <w:rPr>
      <w:rFonts w:ascii="宋体" w:hAnsi="宋体"/>
      <w:sz w:val="24"/>
      <w:szCs w:val="20"/>
    </w:rPr>
  </w:style>
  <w:style w:type="character" w:customStyle="1" w:styleId="38">
    <w:name w:val="批注主题 字符"/>
    <w:link w:val="19"/>
    <w:autoRedefine/>
    <w:semiHidden/>
    <w:qFormat/>
    <w:locked/>
    <w:uiPriority w:val="0"/>
    <w:rPr>
      <w:rFonts w:ascii="Times New Roman" w:hAnsi="Times New Roman" w:eastAsia="宋体"/>
      <w:b/>
      <w:kern w:val="2"/>
      <w:sz w:val="24"/>
    </w:rPr>
  </w:style>
  <w:style w:type="character" w:customStyle="1" w:styleId="39">
    <w:name w:val="页脚 字符"/>
    <w:autoRedefine/>
    <w:qFormat/>
    <w:uiPriority w:val="99"/>
  </w:style>
  <w:style w:type="character" w:customStyle="1" w:styleId="40">
    <w:name w:val="正文文本 字符1"/>
    <w:autoRedefine/>
    <w:semiHidden/>
    <w:qFormat/>
    <w:uiPriority w:val="0"/>
    <w:rPr>
      <w:rFonts w:ascii="Times New Roman" w:hAnsi="Times New Roman" w:eastAsia="宋体"/>
      <w:sz w:val="24"/>
    </w:rPr>
  </w:style>
  <w:style w:type="character" w:customStyle="1" w:styleId="41">
    <w:name w:val="表格 Char"/>
    <w:link w:val="42"/>
    <w:autoRedefine/>
    <w:qFormat/>
    <w:locked/>
    <w:uiPriority w:val="0"/>
    <w:rPr>
      <w:rFonts w:ascii="宋体"/>
      <w:sz w:val="21"/>
    </w:rPr>
  </w:style>
  <w:style w:type="paragraph" w:customStyle="1" w:styleId="42">
    <w:name w:val="表格"/>
    <w:basedOn w:val="1"/>
    <w:next w:val="1"/>
    <w:link w:val="41"/>
    <w:qFormat/>
    <w:uiPriority w:val="0"/>
    <w:pPr>
      <w:adjustRightInd w:val="0"/>
      <w:snapToGrid w:val="0"/>
      <w:spacing w:beforeLines="10" w:afterLines="10" w:line="259" w:lineRule="auto"/>
      <w:jc w:val="center"/>
    </w:pPr>
    <w:rPr>
      <w:rFonts w:ascii="宋体"/>
      <w:szCs w:val="20"/>
    </w:rPr>
  </w:style>
  <w:style w:type="character" w:customStyle="1" w:styleId="43">
    <w:name w:val="日期 字符"/>
    <w:semiHidden/>
    <w:qFormat/>
    <w:uiPriority w:val="0"/>
    <w:rPr>
      <w:rFonts w:ascii="Times New Roman" w:hAnsi="Times New Roman" w:eastAsia="宋体"/>
      <w:sz w:val="24"/>
    </w:rPr>
  </w:style>
  <w:style w:type="character" w:customStyle="1" w:styleId="44">
    <w:name w:val="批注文字 字符1"/>
    <w:semiHidden/>
    <w:qFormat/>
    <w:uiPriority w:val="0"/>
    <w:rPr>
      <w:rFonts w:ascii="Times New Roman" w:hAnsi="Times New Roman" w:eastAsia="宋体"/>
      <w:sz w:val="24"/>
    </w:rPr>
  </w:style>
  <w:style w:type="paragraph" w:customStyle="1" w:styleId="45">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6">
    <w:name w:val="普通(网站)2"/>
    <w:basedOn w:val="1"/>
    <w:qFormat/>
    <w:uiPriority w:val="0"/>
    <w:pPr>
      <w:spacing w:before="100" w:beforeAutospacing="1" w:after="100" w:afterAutospacing="1"/>
      <w:jc w:val="left"/>
    </w:pPr>
    <w:rPr>
      <w:rFonts w:ascii="宋体" w:hAnsi="宋体"/>
      <w:sz w:val="24"/>
      <w:szCs w:val="20"/>
    </w:rPr>
  </w:style>
  <w:style w:type="character" w:customStyle="1" w:styleId="47">
    <w:name w:val="报告正文 字符"/>
    <w:link w:val="3"/>
    <w:qFormat/>
    <w:uiPriority w:val="0"/>
    <w:rPr>
      <w:snapToGrid w:val="0"/>
      <w:sz w:val="24"/>
      <w:szCs w:val="21"/>
      <w14:ligatures w14:val="standardContextual"/>
    </w:rPr>
  </w:style>
  <w:style w:type="paragraph" w:customStyle="1" w:styleId="48">
    <w:name w:val="LV-表头"/>
    <w:basedOn w:val="3"/>
    <w:next w:val="3"/>
    <w:qFormat/>
    <w:uiPriority w:val="0"/>
    <w:pPr>
      <w:ind w:firstLine="0" w:firstLineChars="0"/>
      <w:jc w:val="center"/>
    </w:pPr>
    <w:rPr>
      <w:b/>
      <w:bCs/>
      <w:snapToGrid/>
    </w:rPr>
  </w:style>
  <w:style w:type="table" w:customStyle="1" w:styleId="49">
    <w:name w:val="LV-三线表"/>
    <w:basedOn w:val="20"/>
    <w:qFormat/>
    <w:uiPriority w:val="99"/>
    <w:pPr>
      <w:widowControl w:val="0"/>
      <w:overflowPunct w:val="0"/>
      <w:autoSpaceDE w:val="0"/>
      <w:autoSpaceDN w:val="0"/>
      <w:snapToGrid w:val="0"/>
      <w:jc w:val="center"/>
    </w:pPr>
    <w:rPr>
      <w14:ligatures w14:val="standardContextual"/>
    </w:rPr>
    <w:tblPr>
      <w:jc w:val="center"/>
      <w:tblBorders>
        <w:top w:val="single" w:color="auto" w:sz="12" w:space="0"/>
        <w:bottom w:val="single" w:color="auto" w:sz="12" w:space="0"/>
        <w:insideH w:val="single" w:color="auto" w:sz="4" w:space="0"/>
        <w:insideV w:val="single" w:color="auto" w:sz="4" w:space="0"/>
      </w:tblBorders>
      <w:tblCellMar>
        <w:left w:w="57" w:type="dxa"/>
        <w:right w:w="57" w:type="dxa"/>
      </w:tblCellMar>
    </w:tblPr>
    <w:trPr>
      <w:jc w:val="center"/>
    </w:trPr>
    <w:tcPr>
      <w:vAlign w:val="center"/>
    </w:tcPr>
    <w:tblStylePr w:type="firstRow">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pPr>
      <w:rPr>
        <w:rFonts w:hint="default" w:ascii="Times New Roman" w:hAnsi="Times New Roman" w:eastAsia="宋体" w:cs="Times New Roman"/>
        <w:b/>
        <w:i w:val="0"/>
        <w:sz w:val="21"/>
        <w:szCs w:val="21"/>
      </w:rPr>
      <w:tcPr>
        <w:tcBorders>
          <w:top w:val="single" w:color="auto" w:sz="12" w:space="0"/>
          <w:left w:val="nil"/>
          <w:bottom w:val="single" w:color="auto" w:sz="12" w:space="0"/>
          <w:right w:val="nil"/>
          <w:insideH w:val="nil"/>
          <w:insideV w:val="single" w:sz="4" w:space="0"/>
          <w:tl2br w:val="nil"/>
          <w:tr2bl w:val="nil"/>
        </w:tcBorders>
      </w:tcPr>
    </w:tblStylePr>
    <w:tblStylePr w:type="lastRow">
      <w:tcPr>
        <w:tcBorders>
          <w:bottom w:val="single" w:color="auto" w:sz="12" w:space="0"/>
        </w:tcBorders>
      </w:tcPr>
    </w:tblStylePr>
  </w:style>
  <w:style w:type="paragraph" w:customStyle="1" w:styleId="50">
    <w:name w:val="LV图"/>
    <w:basedOn w:val="1"/>
    <w:next w:val="48"/>
    <w:qFormat/>
    <w:uiPriority w:val="99"/>
    <w:pPr>
      <w:jc w:val="center"/>
    </w:pPr>
    <w:rPr>
      <w:rFonts w:cstheme="minorBidi"/>
      <w:kern w:val="2"/>
      <w14:ligatures w14:val="standardContextual"/>
    </w:rPr>
  </w:style>
  <w:style w:type="paragraph" w:customStyle="1" w:styleId="51">
    <w:name w:val="报告加粗"/>
    <w:basedOn w:val="3"/>
    <w:next w:val="3"/>
    <w:qFormat/>
    <w:uiPriority w:val="0"/>
    <w:pPr>
      <w:ind w:firstLine="482"/>
      <w:jc w:val="left"/>
    </w:pPr>
    <w:rPr>
      <w:b/>
    </w:rPr>
  </w:style>
  <w:style w:type="character" w:customStyle="1" w:styleId="52">
    <w:name w:val="标题 1 字符"/>
    <w:link w:val="2"/>
    <w:qFormat/>
    <w:uiPriority w:val="9"/>
    <w:rPr>
      <w:rFonts w:eastAsia="黑体"/>
      <w:b/>
      <w:bCs/>
      <w:kern w:val="44"/>
      <w:sz w:val="30"/>
      <w:szCs w:val="44"/>
    </w:rPr>
  </w:style>
  <w:style w:type="character" w:customStyle="1" w:styleId="53">
    <w:name w:val="标题 2 字符"/>
    <w:link w:val="4"/>
    <w:qFormat/>
    <w:uiPriority w:val="9"/>
    <w:rPr>
      <w:b/>
      <w:bCs/>
      <w:kern w:val="2"/>
      <w:sz w:val="24"/>
      <w:szCs w:val="32"/>
    </w:rPr>
  </w:style>
  <w:style w:type="character" w:customStyle="1" w:styleId="54">
    <w:name w:val="标题 3 字符"/>
    <w:link w:val="5"/>
    <w:qFormat/>
    <w:uiPriority w:val="9"/>
    <w:rPr>
      <w:b/>
      <w:bCs/>
      <w:kern w:val="2"/>
      <w:sz w:val="24"/>
      <w:szCs w:val="32"/>
    </w:rPr>
  </w:style>
  <w:style w:type="character" w:customStyle="1" w:styleId="55">
    <w:name w:val="标题 4 字符"/>
    <w:link w:val="6"/>
    <w:qFormat/>
    <w:uiPriority w:val="9"/>
    <w:rPr>
      <w:b/>
      <w:bCs/>
      <w:kern w:val="2"/>
      <w:sz w:val="24"/>
      <w:szCs w:val="28"/>
    </w:rPr>
  </w:style>
  <w:style w:type="paragraph" w:customStyle="1" w:styleId="56">
    <w:name w:val="Table Paragraph"/>
    <w:basedOn w:val="1"/>
    <w:qFormat/>
    <w:uiPriority w:val="1"/>
    <w:pPr>
      <w:widowControl w:val="0"/>
      <w:autoSpaceDE w:val="0"/>
      <w:autoSpaceDN w:val="0"/>
      <w:jc w:val="left"/>
    </w:pPr>
    <w:rPr>
      <w:rFonts w:ascii="宋体" w:hAnsi="宋体" w:cs="宋体"/>
      <w:sz w:val="22"/>
      <w:szCs w:val="22"/>
      <w:lang w:eastAsia="en-US"/>
    </w:rPr>
  </w:style>
  <w:style w:type="character" w:customStyle="1" w:styleId="57">
    <w:name w:val="标题 5 字符"/>
    <w:link w:val="7"/>
    <w:qFormat/>
    <w:uiPriority w:val="0"/>
    <w:rPr>
      <w:b/>
      <w:bCs/>
      <w:sz w:val="24"/>
      <w:szCs w:val="28"/>
    </w:rPr>
  </w:style>
  <w:style w:type="table" w:customStyle="1" w:styleId="58">
    <w:name w:val="Table Normal"/>
    <w:semiHidden/>
    <w:unhideWhenUsed/>
    <w:qFormat/>
    <w:uiPriority w:val="2"/>
    <w:pPr>
      <w:widowControl w:val="0"/>
      <w:autoSpaceDE w:val="0"/>
      <w:autoSpaceDN w:val="0"/>
    </w:pPr>
    <w:rPr>
      <w:lang w:eastAsia="en-US"/>
    </w:rPr>
    <w:tblPr>
      <w:tblCellMar>
        <w:top w:w="0" w:type="dxa"/>
        <w:left w:w="0" w:type="dxa"/>
        <w:bottom w:w="0" w:type="dxa"/>
        <w:right w:w="0" w:type="dxa"/>
      </w:tblCellMar>
    </w:tblPr>
  </w:style>
  <w:style w:type="paragraph" w:customStyle="1" w:styleId="59">
    <w:name w:val="0-1正文"/>
    <w:basedOn w:val="1"/>
    <w:link w:val="60"/>
    <w:autoRedefine/>
    <w:qFormat/>
    <w:uiPriority w:val="0"/>
    <w:pPr>
      <w:widowControl w:val="0"/>
      <w:autoSpaceDE w:val="0"/>
      <w:autoSpaceDN w:val="0"/>
      <w:adjustRightInd w:val="0"/>
      <w:snapToGrid w:val="0"/>
      <w:spacing w:line="360" w:lineRule="auto"/>
      <w:ind w:firstLine="200" w:firstLineChars="200"/>
    </w:pPr>
    <w:rPr>
      <w:rFonts w:cs="宋体"/>
    </w:rPr>
  </w:style>
  <w:style w:type="character" w:customStyle="1" w:styleId="60">
    <w:name w:val="0-1正文 Char"/>
    <w:link w:val="59"/>
    <w:qFormat/>
    <w:uiPriority w:val="0"/>
    <w:rPr>
      <w:rFonts w:cs="宋体"/>
      <w:sz w:val="21"/>
      <w:szCs w:val="21"/>
    </w:rPr>
  </w:style>
  <w:style w:type="paragraph" w:customStyle="1" w:styleId="61">
    <w:name w:val="小四表中"/>
    <w:basedOn w:val="1"/>
    <w:qFormat/>
    <w:uiPriority w:val="0"/>
    <w:pPr>
      <w:snapToGrid w:val="0"/>
      <w:jc w:val="center"/>
    </w:pPr>
    <w:rPr>
      <w:sz w:val="24"/>
    </w:rPr>
  </w:style>
  <w:style w:type="paragraph" w:customStyle="1" w:styleId="62">
    <w:name w:val="L-附图附件"/>
    <w:basedOn w:val="1"/>
    <w:next w:val="3"/>
    <w:qFormat/>
    <w:uiPriority w:val="0"/>
    <w:pPr>
      <w:adjustRightInd w:val="0"/>
      <w:snapToGrid w:val="0"/>
      <w:spacing w:line="360" w:lineRule="auto"/>
      <w:outlineLvl w:val="0"/>
    </w:pPr>
    <w:rPr>
      <w:rFonts w:eastAsia="黑体"/>
      <w:sz w:val="28"/>
      <w14:ligatures w14:val="standardContextual"/>
    </w:rPr>
  </w:style>
  <w:style w:type="paragraph" w:customStyle="1" w:styleId="63">
    <w:name w:val="备注"/>
    <w:basedOn w:val="3"/>
    <w:next w:val="3"/>
    <w:qFormat/>
    <w:uiPriority w:val="0"/>
    <w:pPr>
      <w:overflowPunct w:val="0"/>
      <w:spacing w:after="50" w:afterLines="50" w:line="240" w:lineRule="auto"/>
      <w:ind w:firstLine="0" w:firstLineChars="0"/>
    </w:pPr>
    <w:rPr>
      <w:sz w:val="18"/>
    </w:rPr>
  </w:style>
  <w:style w:type="paragraph" w:customStyle="1" w:styleId="64">
    <w:name w:val="表中文字"/>
    <w:basedOn w:val="18"/>
    <w:autoRedefine/>
    <w:qFormat/>
    <w:uiPriority w:val="0"/>
  </w:style>
  <w:style w:type="paragraph" w:styleId="65">
    <w:name w:val="List Paragraph"/>
    <w:basedOn w:val="1"/>
    <w:unhideWhenUsed/>
    <w:qFormat/>
    <w:uiPriority w:val="99"/>
    <w:pPr>
      <w:ind w:firstLine="420" w:firstLineChars="200"/>
    </w:pPr>
  </w:style>
  <w:style w:type="paragraph" w:customStyle="1" w:styleId="66">
    <w:name w:val="D表内"/>
    <w:basedOn w:val="42"/>
    <w:qFormat/>
    <w:uiPriority w:val="0"/>
    <w:pPr>
      <w:widowControl w:val="0"/>
      <w:spacing w:beforeLines="0" w:afterLines="0" w:line="240" w:lineRule="auto"/>
    </w:pPr>
    <w:rPr>
      <w:rFonts w:ascii="Times New Roman"/>
    </w:rPr>
  </w:style>
  <w:style w:type="paragraph" w:customStyle="1" w:styleId="67">
    <w:name w:val="TOC 标题1"/>
    <w:basedOn w:val="2"/>
    <w:next w:val="1"/>
    <w:unhideWhenUsed/>
    <w:qFormat/>
    <w:uiPriority w:val="39"/>
    <w:pPr>
      <w:pageBreakBefore w:val="0"/>
      <w:numPr>
        <w:numId w:val="0"/>
      </w:numPr>
      <w:spacing w:before="24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styleId="68">
    <w:name w:val="Placeholder Text"/>
    <w:basedOn w:val="26"/>
    <w:unhideWhenUsed/>
    <w:qFormat/>
    <w:uiPriority w:val="99"/>
    <w:rPr>
      <w:color w:val="666666"/>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0" Type="http://schemas.openxmlformats.org/officeDocument/2006/relationships/fontTable" Target="fontTable.xml"/><Relationship Id="rId4" Type="http://schemas.openxmlformats.org/officeDocument/2006/relationships/footer" Target="footer2.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footer" Target="footer1.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w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0A8114-CC0A-4813-B9FC-AF4B088E5F47}">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80</Pages>
  <Words>16890</Words>
  <Characters>18148</Characters>
  <Lines>85</Lines>
  <Paragraphs>108</Paragraphs>
  <TotalTime>8</TotalTime>
  <ScaleCrop>false</ScaleCrop>
  <LinksUpToDate>false</LinksUpToDate>
  <CharactersWithSpaces>18239</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2024-01-03T08:04:00Z</dcterms:created>
  <dc:creator>lhj</dc:creator>
  <cp:lastModifiedBy>20314</cp:lastModifiedBy>
  <cp:lastPrinted>2024-01-26T02:20:00Z</cp:lastPrinted>
  <dcterms:modified xsi:type="dcterms:W3CDTF">2025-08-11T07:47:17Z</dcterms:modified>
  <dc:title>附件2</dc:title>
  <cp:revision>602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312AC0C1741247FEB627ADC585A2FD27_13</vt:lpwstr>
  </property>
  <property fmtid="{D5CDD505-2E9C-101B-9397-08002B2CF9AE}" pid="4" name="KSOTemplateDocerSaveRecord">
    <vt:lpwstr>eyJoZGlkIjoiN2I4YzVlMmUyMjc0YjZhY2E1YmJiMWRiMWI0YzAwNTIiLCJ1c2VySWQiOiIxMDM3NjMxMjY0In0=</vt:lpwstr>
  </property>
</Properties>
</file>