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5C45D4">
      <w:pPr>
        <w:spacing w:line="360" w:lineRule="auto"/>
        <w:jc w:val="center"/>
        <w:rPr>
          <w:bCs/>
          <w:color w:val="000000" w:themeColor="text1"/>
          <w:kern w:val="36"/>
          <w:sz w:val="30"/>
          <w:szCs w:val="30"/>
          <w14:textFill>
            <w14:solidFill>
              <w14:schemeClr w14:val="tx1"/>
            </w14:solidFill>
          </w14:textFill>
        </w:rPr>
      </w:pPr>
    </w:p>
    <w:p w14:paraId="0BEFA285">
      <w:pPr>
        <w:spacing w:line="360" w:lineRule="auto"/>
        <w:jc w:val="center"/>
        <w:rPr>
          <w:bCs/>
          <w:color w:val="000000" w:themeColor="text1"/>
          <w:kern w:val="36"/>
          <w:sz w:val="30"/>
          <w:szCs w:val="30"/>
          <w14:textFill>
            <w14:solidFill>
              <w14:schemeClr w14:val="tx1"/>
            </w14:solidFill>
          </w14:textFill>
        </w:rPr>
      </w:pPr>
    </w:p>
    <w:p w14:paraId="033A8D41">
      <w:pPr>
        <w:adjustRightInd w:val="0"/>
        <w:snapToGrid w:val="0"/>
        <w:spacing w:line="360" w:lineRule="auto"/>
        <w:jc w:val="center"/>
        <w:rPr>
          <w:b/>
          <w:bCs/>
          <w:color w:val="000000" w:themeColor="text1"/>
          <w:spacing w:val="10"/>
          <w:kern w:val="36"/>
          <w:sz w:val="52"/>
          <w:szCs w:val="52"/>
          <w14:textFill>
            <w14:solidFill>
              <w14:schemeClr w14:val="tx1"/>
            </w14:solidFill>
          </w14:textFill>
        </w:rPr>
      </w:pPr>
      <w:r>
        <w:rPr>
          <w:rFonts w:ascii="Times New Roman" w:hAnsi="Times New Roman" w:eastAsia="黑体"/>
          <w:b/>
          <w:color w:val="000000" w:themeColor="text1"/>
          <w:spacing w:val="-2"/>
          <w:sz w:val="52"/>
          <w:szCs w:val="52"/>
          <w14:textFill>
            <w14:solidFill>
              <w14:schemeClr w14:val="tx1"/>
            </w14:solidFill>
          </w14:textFill>
        </w:rPr>
        <w:t>锆钛矿石分选加工项目</w:t>
      </w:r>
    </w:p>
    <w:p w14:paraId="7849AE48">
      <w:pPr>
        <w:adjustRightInd w:val="0"/>
        <w:snapToGrid w:val="0"/>
        <w:spacing w:line="360" w:lineRule="auto"/>
        <w:jc w:val="center"/>
        <w:rPr>
          <w:rFonts w:ascii="Times New Roman" w:hAnsi="Times New Roman" w:eastAsia="黑体"/>
          <w:b/>
          <w:color w:val="000000" w:themeColor="text1"/>
          <w:spacing w:val="-2"/>
          <w:sz w:val="72"/>
          <w:szCs w:val="72"/>
          <w14:textFill>
            <w14:solidFill>
              <w14:schemeClr w14:val="tx1"/>
            </w14:solidFill>
          </w14:textFill>
        </w:rPr>
      </w:pPr>
      <w:r>
        <w:rPr>
          <w:rFonts w:ascii="Times New Roman" w:hAnsi="Times New Roman" w:eastAsia="黑体"/>
          <w:b/>
          <w:color w:val="000000" w:themeColor="text1"/>
          <w:spacing w:val="-2"/>
          <w:sz w:val="72"/>
          <w:szCs w:val="72"/>
          <w14:textFill>
            <w14:solidFill>
              <w14:schemeClr w14:val="tx1"/>
            </w14:solidFill>
          </w14:textFill>
        </w:rPr>
        <w:t>辐射环境影响评价专篇</w:t>
      </w:r>
    </w:p>
    <w:p w14:paraId="6CAA5AFA">
      <w:pPr>
        <w:spacing w:line="1000" w:lineRule="exact"/>
        <w:jc w:val="center"/>
        <w:rPr>
          <w:rFonts w:ascii="Times New Roman" w:hAnsi="Times New Roman" w:eastAsia="黑体"/>
          <w:b/>
          <w:color w:val="000000" w:themeColor="text1"/>
          <w:spacing w:val="-2"/>
          <w:sz w:val="36"/>
          <w:szCs w:val="36"/>
          <w14:textFill>
            <w14:solidFill>
              <w14:schemeClr w14:val="tx1"/>
            </w14:solidFill>
          </w14:textFill>
        </w:rPr>
      </w:pPr>
      <w:r>
        <w:rPr>
          <w:rFonts w:ascii="Times New Roman" w:hAnsi="Times New Roman" w:eastAsia="黑体"/>
          <w:b/>
          <w:color w:val="000000" w:themeColor="text1"/>
          <w:spacing w:val="-2"/>
          <w:sz w:val="36"/>
          <w:szCs w:val="36"/>
          <w14:textFill>
            <w14:solidFill>
              <w14:schemeClr w14:val="tx1"/>
            </w14:solidFill>
          </w14:textFill>
        </w:rPr>
        <w:t>（</w:t>
      </w:r>
      <w:r>
        <w:rPr>
          <w:rFonts w:hint="eastAsia" w:ascii="Times New Roman" w:hAnsi="Times New Roman" w:eastAsia="黑体"/>
          <w:b/>
          <w:color w:val="000000" w:themeColor="text1"/>
          <w:spacing w:val="-2"/>
          <w:sz w:val="36"/>
          <w:szCs w:val="36"/>
          <w14:textFill>
            <w14:solidFill>
              <w14:schemeClr w14:val="tx1"/>
            </w14:solidFill>
          </w14:textFill>
        </w:rPr>
        <w:t>公示本</w:t>
      </w:r>
      <w:r>
        <w:rPr>
          <w:rFonts w:ascii="Times New Roman" w:hAnsi="Times New Roman" w:eastAsia="黑体"/>
          <w:b/>
          <w:color w:val="000000" w:themeColor="text1"/>
          <w:spacing w:val="-2"/>
          <w:sz w:val="36"/>
          <w:szCs w:val="36"/>
          <w14:textFill>
            <w14:solidFill>
              <w14:schemeClr w14:val="tx1"/>
            </w14:solidFill>
          </w14:textFill>
        </w:rPr>
        <w:t>）</w:t>
      </w:r>
    </w:p>
    <w:p w14:paraId="23CE54E4">
      <w:pPr>
        <w:ind w:firstLine="1044"/>
        <w:jc w:val="center"/>
        <w:rPr>
          <w:rFonts w:ascii="Times New Roman" w:hAnsi="Times New Roman" w:eastAsia="黑体"/>
          <w:b/>
          <w:color w:val="000000" w:themeColor="text1"/>
          <w:spacing w:val="-2"/>
          <w:sz w:val="50"/>
          <w:szCs w:val="50"/>
          <w14:textFill>
            <w14:solidFill>
              <w14:schemeClr w14:val="tx1"/>
            </w14:solidFill>
          </w14:textFill>
        </w:rPr>
      </w:pPr>
    </w:p>
    <w:p w14:paraId="3D9B6993">
      <w:pPr>
        <w:ind w:firstLine="1044"/>
        <w:jc w:val="center"/>
        <w:rPr>
          <w:rFonts w:ascii="Times New Roman" w:hAnsi="Times New Roman" w:eastAsia="黑体"/>
          <w:b/>
          <w:color w:val="000000" w:themeColor="text1"/>
          <w:spacing w:val="-2"/>
          <w:sz w:val="50"/>
          <w:szCs w:val="50"/>
          <w14:textFill>
            <w14:solidFill>
              <w14:schemeClr w14:val="tx1"/>
            </w14:solidFill>
          </w14:textFill>
        </w:rPr>
      </w:pPr>
    </w:p>
    <w:p w14:paraId="0E2DEF77">
      <w:pPr>
        <w:pStyle w:val="2"/>
        <w:rPr>
          <w:color w:val="000000" w:themeColor="text1"/>
          <w14:textFill>
            <w14:solidFill>
              <w14:schemeClr w14:val="tx1"/>
            </w14:solidFill>
          </w14:textFill>
        </w:rPr>
      </w:pPr>
    </w:p>
    <w:p w14:paraId="13487183">
      <w:pPr>
        <w:pStyle w:val="2"/>
        <w:rPr>
          <w:color w:val="000000" w:themeColor="text1"/>
          <w14:textFill>
            <w14:solidFill>
              <w14:schemeClr w14:val="tx1"/>
            </w14:solidFill>
          </w14:textFill>
        </w:rPr>
      </w:pPr>
    </w:p>
    <w:p w14:paraId="5D377ACA">
      <w:pPr>
        <w:ind w:firstLine="1044"/>
        <w:jc w:val="center"/>
        <w:rPr>
          <w:rFonts w:ascii="Times New Roman" w:hAnsi="Times New Roman" w:eastAsia="黑体"/>
          <w:b/>
          <w:color w:val="000000" w:themeColor="text1"/>
          <w:spacing w:val="-2"/>
          <w:sz w:val="50"/>
          <w:szCs w:val="50"/>
          <w14:textFill>
            <w14:solidFill>
              <w14:schemeClr w14:val="tx1"/>
            </w14:solidFill>
          </w14:textFill>
        </w:rPr>
      </w:pPr>
    </w:p>
    <w:p w14:paraId="346E8D2C">
      <w:pPr>
        <w:ind w:firstLine="1044"/>
        <w:jc w:val="center"/>
        <w:rPr>
          <w:rFonts w:ascii="Times New Roman" w:hAnsi="Times New Roman" w:eastAsia="黑体"/>
          <w:b/>
          <w:color w:val="000000" w:themeColor="text1"/>
          <w:spacing w:val="-2"/>
          <w:sz w:val="32"/>
          <w:szCs w:val="32"/>
          <w14:textFill>
            <w14:solidFill>
              <w14:schemeClr w14:val="tx1"/>
            </w14:solidFill>
          </w14:textFill>
        </w:rPr>
      </w:pPr>
    </w:p>
    <w:p w14:paraId="102A9925">
      <w:pPr>
        <w:spacing w:after="0" w:line="360" w:lineRule="auto"/>
        <w:ind w:firstLine="939" w:firstLineChars="296"/>
        <w:rPr>
          <w:rFonts w:ascii="Times New Roman" w:hAnsi="Times New Roman" w:eastAsia="黑体"/>
          <w:b/>
          <w:color w:val="000000" w:themeColor="text1"/>
          <w:spacing w:val="-2"/>
          <w:sz w:val="32"/>
          <w:szCs w:val="32"/>
          <w14:textFill>
            <w14:solidFill>
              <w14:schemeClr w14:val="tx1"/>
            </w14:solidFill>
          </w14:textFill>
        </w:rPr>
      </w:pPr>
      <w:r>
        <w:rPr>
          <w:rFonts w:ascii="Times New Roman" w:hAnsi="Times New Roman" w:eastAsia="黑体"/>
          <w:b/>
          <w:color w:val="000000" w:themeColor="text1"/>
          <w:spacing w:val="-2"/>
          <w:sz w:val="32"/>
          <w:szCs w:val="32"/>
          <w14:textFill>
            <w14:solidFill>
              <w14:schemeClr w14:val="tx1"/>
            </w14:solidFill>
          </w14:textFill>
        </w:rPr>
        <w:t>建设单位：广西瑞腾贸易有限公司</w:t>
      </w:r>
    </w:p>
    <w:p w14:paraId="4D41D0D8">
      <w:pPr>
        <w:spacing w:after="0" w:line="360" w:lineRule="auto"/>
        <w:ind w:firstLine="939" w:firstLineChars="296"/>
        <w:rPr>
          <w:rFonts w:ascii="Times New Roman" w:hAnsi="Times New Roman" w:eastAsia="黑体"/>
          <w:b/>
          <w:color w:val="000000" w:themeColor="text1"/>
          <w:spacing w:val="-2"/>
          <w:sz w:val="32"/>
          <w:szCs w:val="32"/>
          <w14:textFill>
            <w14:solidFill>
              <w14:schemeClr w14:val="tx1"/>
            </w14:solidFill>
          </w14:textFill>
        </w:rPr>
      </w:pPr>
    </w:p>
    <w:p w14:paraId="70F5D558">
      <w:pPr>
        <w:spacing w:after="0" w:line="360" w:lineRule="auto"/>
        <w:ind w:firstLine="939" w:firstLineChars="296"/>
        <w:rPr>
          <w:rFonts w:ascii="Times New Roman" w:hAnsi="Times New Roman" w:eastAsia="黑体"/>
          <w:b/>
          <w:color w:val="000000" w:themeColor="text1"/>
          <w:spacing w:val="-2"/>
          <w:sz w:val="32"/>
          <w:szCs w:val="32"/>
          <w14:textFill>
            <w14:solidFill>
              <w14:schemeClr w14:val="tx1"/>
            </w14:solidFill>
          </w14:textFill>
        </w:rPr>
      </w:pPr>
      <w:r>
        <w:rPr>
          <w:rFonts w:ascii="Times New Roman" w:hAnsi="Times New Roman" w:eastAsia="黑体"/>
          <w:b/>
          <w:color w:val="000000" w:themeColor="text1"/>
          <w:spacing w:val="-2"/>
          <w:sz w:val="32"/>
          <w:szCs w:val="32"/>
          <w14:textFill>
            <w14:solidFill>
              <w14:schemeClr w14:val="tx1"/>
            </w14:solidFill>
          </w14:textFill>
        </w:rPr>
        <w:t>编制单位：广西绿港环保科技有限公司</w:t>
      </w:r>
    </w:p>
    <w:p w14:paraId="220679DF">
      <w:pPr>
        <w:spacing w:after="0" w:line="360" w:lineRule="auto"/>
        <w:ind w:firstLine="939" w:firstLineChars="296"/>
        <w:rPr>
          <w:rFonts w:ascii="Times New Roman" w:hAnsi="Times New Roman" w:eastAsia="黑体"/>
          <w:b/>
          <w:color w:val="000000" w:themeColor="text1"/>
          <w:spacing w:val="-2"/>
          <w:sz w:val="32"/>
          <w:szCs w:val="32"/>
          <w14:textFill>
            <w14:solidFill>
              <w14:schemeClr w14:val="tx1"/>
            </w14:solidFill>
          </w14:textFill>
        </w:rPr>
      </w:pPr>
    </w:p>
    <w:p w14:paraId="6D7E1EE0">
      <w:pPr>
        <w:jc w:val="center"/>
        <w:rPr>
          <w:rFonts w:hint="eastAsia" w:ascii="宋体" w:hAnsi="宋体" w:eastAsia="宋体" w:cs="宋体"/>
          <w:b/>
          <w:color w:val="000000" w:themeColor="text1"/>
          <w:sz w:val="32"/>
          <w:szCs w:val="32"/>
          <w14:textFill>
            <w14:solidFill>
              <w14:schemeClr w14:val="tx1"/>
            </w14:solidFill>
          </w14:textFill>
        </w:rPr>
      </w:pPr>
      <w:r>
        <w:rPr>
          <w:rFonts w:ascii="Times New Roman" w:hAnsi="Times New Roman"/>
          <w:b/>
          <w:bCs/>
          <w:caps/>
          <w:snapToGrid w:val="0"/>
          <w:color w:val="000000" w:themeColor="text1"/>
          <w:spacing w:val="-2"/>
          <w:sz w:val="30"/>
          <w:szCs w:val="30"/>
          <w14:textFill>
            <w14:solidFill>
              <w14:schemeClr w14:val="tx1"/>
            </w14:solidFill>
          </w14:textFill>
        </w:rPr>
        <w:t>二〇二</w:t>
      </w:r>
      <w:r>
        <w:rPr>
          <w:rFonts w:hint="eastAsia" w:ascii="Times New Roman" w:hAnsi="Times New Roman"/>
          <w:b/>
          <w:bCs/>
          <w:caps/>
          <w:snapToGrid w:val="0"/>
          <w:color w:val="000000" w:themeColor="text1"/>
          <w:spacing w:val="-2"/>
          <w:sz w:val="30"/>
          <w:szCs w:val="30"/>
          <w14:textFill>
            <w14:solidFill>
              <w14:schemeClr w14:val="tx1"/>
            </w14:solidFill>
          </w14:textFill>
        </w:rPr>
        <w:t>五</w:t>
      </w:r>
      <w:r>
        <w:rPr>
          <w:rFonts w:ascii="Times New Roman" w:hAnsi="Times New Roman"/>
          <w:b/>
          <w:bCs/>
          <w:caps/>
          <w:snapToGrid w:val="0"/>
          <w:color w:val="000000" w:themeColor="text1"/>
          <w:spacing w:val="-2"/>
          <w:sz w:val="30"/>
          <w:szCs w:val="30"/>
          <w14:textFill>
            <w14:solidFill>
              <w14:schemeClr w14:val="tx1"/>
            </w14:solidFill>
          </w14:textFill>
        </w:rPr>
        <w:t>年</w:t>
      </w:r>
      <w:r>
        <w:rPr>
          <w:rFonts w:hint="eastAsia" w:ascii="Times New Roman" w:hAnsi="Times New Roman"/>
          <w:b/>
          <w:bCs/>
          <w:caps/>
          <w:snapToGrid w:val="0"/>
          <w:color w:val="000000" w:themeColor="text1"/>
          <w:spacing w:val="-2"/>
          <w:sz w:val="30"/>
          <w:szCs w:val="30"/>
          <w14:textFill>
            <w14:solidFill>
              <w14:schemeClr w14:val="tx1"/>
            </w14:solidFill>
          </w14:textFill>
        </w:rPr>
        <w:t>四</w:t>
      </w:r>
      <w:r>
        <w:rPr>
          <w:rFonts w:ascii="Times New Roman" w:hAnsi="Times New Roman"/>
          <w:b/>
          <w:bCs/>
          <w:caps/>
          <w:snapToGrid w:val="0"/>
          <w:color w:val="000000" w:themeColor="text1"/>
          <w:spacing w:val="-2"/>
          <w:sz w:val="30"/>
          <w:szCs w:val="30"/>
          <w14:textFill>
            <w14:solidFill>
              <w14:schemeClr w14:val="tx1"/>
            </w14:solidFill>
          </w14:textFill>
        </w:rPr>
        <w:t>月</w:t>
      </w:r>
    </w:p>
    <w:p w14:paraId="1A73606D">
      <w:pPr>
        <w:spacing w:before="156" w:beforeLines="50" w:line="360" w:lineRule="auto"/>
        <w:jc w:val="center"/>
        <w:textAlignment w:val="baseline"/>
        <w:rPr>
          <w:rFonts w:hint="eastAsia" w:ascii="黑体" w:hAnsi="黑体" w:eastAsia="黑体"/>
          <w:b/>
          <w:color w:val="000000" w:themeColor="text1"/>
          <w:kern w:val="18"/>
          <w:sz w:val="48"/>
          <w:szCs w:val="48"/>
          <w14:textFill>
            <w14:solidFill>
              <w14:schemeClr w14:val="tx1"/>
            </w14:solidFill>
          </w14:textFill>
        </w:rPr>
      </w:pPr>
    </w:p>
    <w:p w14:paraId="5747028C">
      <w:pPr>
        <w:spacing w:before="156" w:beforeLines="50" w:line="360" w:lineRule="auto"/>
        <w:jc w:val="center"/>
        <w:textAlignment w:val="baseline"/>
        <w:rPr>
          <w:b/>
          <w:color w:val="000000" w:themeColor="text1"/>
          <w:sz w:val="52"/>
          <w:szCs w:val="52"/>
          <w14:textFill>
            <w14:solidFill>
              <w14:schemeClr w14:val="tx1"/>
            </w14:solidFill>
          </w14:textFill>
        </w:rPr>
        <w:sectPr>
          <w:footerReference r:id="rId8" w:type="first"/>
          <w:footerReference r:id="rId6" w:type="default"/>
          <w:headerReference r:id="rId5" w:type="even"/>
          <w:footerReference r:id="rId7" w:type="even"/>
          <w:pgSz w:w="11906" w:h="16838"/>
          <w:pgMar w:top="1440" w:right="1800" w:bottom="1440" w:left="1800" w:header="851" w:footer="992" w:gutter="0"/>
          <w:pgNumType w:start="0"/>
          <w:cols w:space="425" w:num="1"/>
          <w:titlePg/>
          <w:docGrid w:type="lines" w:linePitch="312" w:charSpace="0"/>
        </w:sectPr>
      </w:pPr>
    </w:p>
    <w:sdt>
      <w:sdtPr>
        <w:rPr>
          <w:rFonts w:asciiTheme="minorHAnsi" w:hAnsiTheme="minorHAnsi" w:eastAsiaTheme="minorEastAsia" w:cstheme="minorBidi"/>
          <w:caps w:val="0"/>
          <w:color w:val="000000" w:themeColor="text1"/>
          <w:spacing w:val="0"/>
          <w:sz w:val="21"/>
          <w:szCs w:val="21"/>
          <w:lang w:val="zh-CN"/>
          <w14:textFill>
            <w14:solidFill>
              <w14:schemeClr w14:val="tx1"/>
            </w14:solidFill>
          </w14:textFill>
        </w:rPr>
        <w:id w:val="477431557"/>
        <w:docPartObj>
          <w:docPartGallery w:val="Table of Contents"/>
          <w:docPartUnique/>
        </w:docPartObj>
      </w:sdtPr>
      <w:sdtEndPr>
        <w:rPr>
          <w:rFonts w:asciiTheme="minorHAnsi" w:hAnsiTheme="minorHAnsi" w:eastAsiaTheme="minorEastAsia" w:cstheme="minorBidi"/>
          <w:b/>
          <w:bCs/>
          <w:caps w:val="0"/>
          <w:color w:val="000000" w:themeColor="text1"/>
          <w:spacing w:val="0"/>
          <w:sz w:val="21"/>
          <w:szCs w:val="21"/>
          <w:lang w:val="zh-CN"/>
          <w14:textFill>
            <w14:solidFill>
              <w14:schemeClr w14:val="tx1"/>
            </w14:solidFill>
          </w14:textFill>
        </w:rPr>
      </w:sdtEndPr>
      <w:sdtContent>
        <w:p w14:paraId="5A39A39A">
          <w:pPr>
            <w:pStyle w:val="83"/>
            <w:jc w:val="center"/>
            <w:rPr>
              <w:b/>
              <w:bCs/>
              <w:color w:val="000000" w:themeColor="text1"/>
              <w14:textFill>
                <w14:solidFill>
                  <w14:schemeClr w14:val="tx1"/>
                </w14:solidFill>
              </w14:textFill>
            </w:rPr>
          </w:pPr>
          <w:r>
            <w:rPr>
              <w:b/>
              <w:bCs/>
              <w:color w:val="000000" w:themeColor="text1"/>
              <w:lang w:val="zh-CN"/>
              <w14:textFill>
                <w14:solidFill>
                  <w14:schemeClr w14:val="tx1"/>
                </w14:solidFill>
              </w14:textFill>
            </w:rPr>
            <w:t>目</w:t>
          </w:r>
          <w:r>
            <w:rPr>
              <w:rFonts w:hint="eastAsia"/>
              <w:b/>
              <w:bCs/>
              <w:color w:val="000000" w:themeColor="text1"/>
              <w:lang w:val="zh-CN"/>
              <w14:textFill>
                <w14:solidFill>
                  <w14:schemeClr w14:val="tx1"/>
                </w14:solidFill>
              </w14:textFill>
            </w:rPr>
            <w:t xml:space="preserve"> </w:t>
          </w:r>
          <w:r>
            <w:rPr>
              <w:b/>
              <w:bCs/>
              <w:color w:val="000000" w:themeColor="text1"/>
              <w:lang w:val="zh-CN"/>
              <w14:textFill>
                <w14:solidFill>
                  <w14:schemeClr w14:val="tx1"/>
                </w14:solidFill>
              </w14:textFill>
            </w:rPr>
            <w:t xml:space="preserve"> 录</w:t>
          </w:r>
        </w:p>
        <w:p w14:paraId="7046369D">
          <w:pPr>
            <w:pStyle w:val="31"/>
            <w:tabs>
              <w:tab w:val="right" w:leader="dot" w:pos="8296"/>
            </w:tabs>
            <w:spacing w:before="0" w:after="0"/>
            <w:rPr>
              <w:rFonts w:ascii="Times New Roman" w:hAnsi="Times New Roman"/>
              <w:caps w:val="0"/>
              <w:color w:val="000000" w:themeColor="text1"/>
              <w:sz w:val="24"/>
              <w:szCs w:val="24"/>
              <w14:textFill>
                <w14:solidFill>
                  <w14:schemeClr w14:val="tx1"/>
                </w14:solidFill>
              </w14:textFill>
              <w14:ligatures w14:val="standardContextual"/>
            </w:rPr>
          </w:pPr>
          <w:r>
            <w:rPr>
              <w:rFonts w:ascii="Times New Roman" w:hAnsi="Times New Roman"/>
              <w:b w:val="0"/>
              <w:bCs w:val="0"/>
              <w:caps w:val="0"/>
              <w:color w:val="000000" w:themeColor="text1"/>
              <w:sz w:val="24"/>
              <w:szCs w:val="24"/>
              <w:lang w:val="zh-CN"/>
              <w14:textFill>
                <w14:solidFill>
                  <w14:schemeClr w14:val="tx1"/>
                </w14:solidFill>
              </w14:textFill>
            </w:rPr>
            <w:fldChar w:fldCharType="begin"/>
          </w:r>
          <w:r>
            <w:rPr>
              <w:rFonts w:ascii="Times New Roman" w:hAnsi="Times New Roman"/>
              <w:b w:val="0"/>
              <w:bCs w:val="0"/>
              <w:caps w:val="0"/>
              <w:color w:val="000000" w:themeColor="text1"/>
              <w:sz w:val="24"/>
              <w:szCs w:val="24"/>
              <w:lang w:val="zh-CN"/>
              <w14:textFill>
                <w14:solidFill>
                  <w14:schemeClr w14:val="tx1"/>
                </w14:solidFill>
              </w14:textFill>
            </w:rPr>
            <w:instrText xml:space="preserve"> TOC \o "1-2" \h \z \u </w:instrText>
          </w:r>
          <w:r>
            <w:rPr>
              <w:rFonts w:ascii="Times New Roman" w:hAnsi="Times New Roman"/>
              <w:b w:val="0"/>
              <w:bCs w:val="0"/>
              <w:caps w:val="0"/>
              <w:color w:val="000000" w:themeColor="text1"/>
              <w:sz w:val="24"/>
              <w:szCs w:val="24"/>
              <w:lang w:val="zh-CN"/>
              <w14:textFill>
                <w14:solidFill>
                  <w14:schemeClr w14:val="tx1"/>
                </w14:solidFill>
              </w14:textFill>
            </w:rPr>
            <w:fldChar w:fldCharType="separate"/>
          </w:r>
          <w:r>
            <w:fldChar w:fldCharType="begin"/>
          </w:r>
          <w:r>
            <w:instrText xml:space="preserve"> HYPERLINK \l "_Toc187653455" </w:instrText>
          </w:r>
          <w:r>
            <w:fldChar w:fldCharType="separate"/>
          </w:r>
          <w:r>
            <w:rPr>
              <w:rStyle w:val="56"/>
              <w:rFonts w:ascii="Times New Roman" w:hAnsi="Times New Roman"/>
              <w:color w:val="000000" w:themeColor="text1"/>
              <w:spacing w:val="-2"/>
              <w:kern w:val="44"/>
              <w:sz w:val="24"/>
              <w:szCs w:val="24"/>
              <w14:textFill>
                <w14:solidFill>
                  <w14:schemeClr w14:val="tx1"/>
                </w14:solidFill>
              </w14:textFill>
            </w:rPr>
            <w:t>前言</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fldChar w:fldCharType="begin"/>
          </w:r>
          <w:r>
            <w:rPr>
              <w:rFonts w:ascii="Times New Roman" w:hAnsi="Times New Roman"/>
              <w:color w:val="000000" w:themeColor="text1"/>
              <w:sz w:val="24"/>
              <w:szCs w:val="24"/>
              <w14:textFill>
                <w14:solidFill>
                  <w14:schemeClr w14:val="tx1"/>
                </w14:solidFill>
              </w14:textFill>
            </w:rPr>
            <w:instrText xml:space="preserve"> PAGEREF _Toc187653455 \h </w:instrText>
          </w:r>
          <w:r>
            <w:rPr>
              <w:rFonts w:ascii="Times New Roman" w:hAnsi="Times New Roman"/>
              <w:color w:val="000000" w:themeColor="text1"/>
              <w:sz w:val="24"/>
              <w:szCs w:val="24"/>
              <w14:textFill>
                <w14:solidFill>
                  <w14:schemeClr w14:val="tx1"/>
                </w14:solidFill>
              </w14:textFill>
            </w:rPr>
            <w:fldChar w:fldCharType="separate"/>
          </w:r>
          <w:r>
            <w:rPr>
              <w:rFonts w:ascii="Times New Roman" w:hAnsi="Times New Roman"/>
              <w:color w:val="000000" w:themeColor="text1"/>
              <w:sz w:val="24"/>
              <w:szCs w:val="24"/>
              <w14:textFill>
                <w14:solidFill>
                  <w14:schemeClr w14:val="tx1"/>
                </w14:solidFill>
              </w14:textFill>
            </w:rPr>
            <w:t>1</w:t>
          </w:r>
          <w:r>
            <w:rPr>
              <w:rFonts w:ascii="Times New Roman" w:hAnsi="Times New Roman"/>
              <w:color w:val="000000" w:themeColor="text1"/>
              <w:sz w:val="24"/>
              <w:szCs w:val="24"/>
              <w14:textFill>
                <w14:solidFill>
                  <w14:schemeClr w14:val="tx1"/>
                </w14:solidFill>
              </w14:textFill>
            </w:rPr>
            <w:fldChar w:fldCharType="end"/>
          </w:r>
          <w:r>
            <w:rPr>
              <w:rFonts w:ascii="Times New Roman" w:hAnsi="Times New Roman"/>
              <w:color w:val="000000" w:themeColor="text1"/>
              <w:sz w:val="24"/>
              <w:szCs w:val="24"/>
              <w14:textFill>
                <w14:solidFill>
                  <w14:schemeClr w14:val="tx1"/>
                </w14:solidFill>
              </w14:textFill>
            </w:rPr>
            <w:fldChar w:fldCharType="end"/>
          </w:r>
        </w:p>
        <w:p w14:paraId="50AA25E9">
          <w:pPr>
            <w:pStyle w:val="31"/>
            <w:tabs>
              <w:tab w:val="left" w:pos="480"/>
              <w:tab w:val="right" w:leader="dot" w:pos="8296"/>
            </w:tabs>
            <w:spacing w:before="0" w:after="0"/>
            <w:rPr>
              <w:rFonts w:ascii="Times New Roman" w:hAnsi="Times New Roman"/>
              <w:caps w:val="0"/>
              <w:color w:val="000000" w:themeColor="text1"/>
              <w:sz w:val="24"/>
              <w:szCs w:val="24"/>
              <w14:textFill>
                <w14:solidFill>
                  <w14:schemeClr w14:val="tx1"/>
                </w14:solidFill>
              </w14:textFill>
              <w14:ligatures w14:val="standardContextual"/>
            </w:rPr>
          </w:pPr>
          <w:r>
            <w:fldChar w:fldCharType="begin"/>
          </w:r>
          <w:r>
            <w:instrText xml:space="preserve"> HYPERLINK \l "_Toc187653456" </w:instrText>
          </w:r>
          <w:r>
            <w:fldChar w:fldCharType="separate"/>
          </w:r>
          <w:r>
            <w:rPr>
              <w:rStyle w:val="56"/>
              <w:rFonts w:ascii="Times New Roman" w:hAnsi="Times New Roman"/>
              <w:color w:val="000000" w:themeColor="text1"/>
              <w:kern w:val="44"/>
              <w:sz w:val="24"/>
              <w:szCs w:val="24"/>
              <w14:textFill>
                <w14:solidFill>
                  <w14:schemeClr w14:val="tx1"/>
                </w14:solidFill>
              </w14:textFill>
            </w:rPr>
            <w:t>1.</w:t>
          </w:r>
          <w:r>
            <w:rPr>
              <w:rFonts w:ascii="Times New Roman" w:hAnsi="Times New Roman"/>
              <w:caps w:val="0"/>
              <w:color w:val="000000" w:themeColor="text1"/>
              <w:sz w:val="24"/>
              <w:szCs w:val="24"/>
              <w14:textFill>
                <w14:solidFill>
                  <w14:schemeClr w14:val="tx1"/>
                </w14:solidFill>
              </w14:textFill>
              <w14:ligatures w14:val="standardContextual"/>
            </w:rPr>
            <w:tab/>
          </w:r>
          <w:r>
            <w:rPr>
              <w:rStyle w:val="56"/>
              <w:rFonts w:ascii="Times New Roman" w:hAnsi="Times New Roman"/>
              <w:color w:val="000000" w:themeColor="text1"/>
              <w:kern w:val="44"/>
              <w:sz w:val="24"/>
              <w:szCs w:val="24"/>
              <w14:textFill>
                <w14:solidFill>
                  <w14:schemeClr w14:val="tx1"/>
                </w14:solidFill>
              </w14:textFill>
            </w:rPr>
            <w:t>概述</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fldChar w:fldCharType="begin"/>
          </w:r>
          <w:r>
            <w:rPr>
              <w:rFonts w:ascii="Times New Roman" w:hAnsi="Times New Roman"/>
              <w:color w:val="000000" w:themeColor="text1"/>
              <w:sz w:val="24"/>
              <w:szCs w:val="24"/>
              <w14:textFill>
                <w14:solidFill>
                  <w14:schemeClr w14:val="tx1"/>
                </w14:solidFill>
              </w14:textFill>
            </w:rPr>
            <w:instrText xml:space="preserve"> PAGEREF _Toc187653456 \h </w:instrText>
          </w:r>
          <w:r>
            <w:rPr>
              <w:rFonts w:ascii="Times New Roman" w:hAnsi="Times New Roman"/>
              <w:color w:val="000000" w:themeColor="text1"/>
              <w:sz w:val="24"/>
              <w:szCs w:val="24"/>
              <w14:textFill>
                <w14:solidFill>
                  <w14:schemeClr w14:val="tx1"/>
                </w14:solidFill>
              </w14:textFill>
            </w:rPr>
            <w:fldChar w:fldCharType="separate"/>
          </w:r>
          <w:r>
            <w:rPr>
              <w:rFonts w:ascii="Times New Roman" w:hAnsi="Times New Roman"/>
              <w:color w:val="000000" w:themeColor="text1"/>
              <w:sz w:val="24"/>
              <w:szCs w:val="24"/>
              <w14:textFill>
                <w14:solidFill>
                  <w14:schemeClr w14:val="tx1"/>
                </w14:solidFill>
              </w14:textFill>
            </w:rPr>
            <w:t>3</w:t>
          </w:r>
          <w:r>
            <w:rPr>
              <w:rFonts w:ascii="Times New Roman" w:hAnsi="Times New Roman"/>
              <w:color w:val="000000" w:themeColor="text1"/>
              <w:sz w:val="24"/>
              <w:szCs w:val="24"/>
              <w14:textFill>
                <w14:solidFill>
                  <w14:schemeClr w14:val="tx1"/>
                </w14:solidFill>
              </w14:textFill>
            </w:rPr>
            <w:fldChar w:fldCharType="end"/>
          </w:r>
          <w:r>
            <w:rPr>
              <w:rFonts w:ascii="Times New Roman" w:hAnsi="Times New Roman"/>
              <w:color w:val="000000" w:themeColor="text1"/>
              <w:sz w:val="24"/>
              <w:szCs w:val="24"/>
              <w14:textFill>
                <w14:solidFill>
                  <w14:schemeClr w14:val="tx1"/>
                </w14:solidFill>
              </w14:textFill>
            </w:rPr>
            <w:fldChar w:fldCharType="end"/>
          </w:r>
        </w:p>
        <w:p w14:paraId="2A7D45AB">
          <w:pPr>
            <w:pStyle w:val="37"/>
            <w:tabs>
              <w:tab w:val="left" w:pos="960"/>
              <w:tab w:val="right" w:leader="dot" w:pos="8296"/>
            </w:tabs>
            <w:ind w:left="0" w:firstLine="400" w:firstLineChars="200"/>
            <w:rPr>
              <w:rFonts w:ascii="Times New Roman" w:hAnsi="Times New Roman"/>
              <w:smallCaps w:val="0"/>
              <w:color w:val="000000" w:themeColor="text1"/>
              <w:sz w:val="24"/>
              <w:szCs w:val="24"/>
              <w14:textFill>
                <w14:solidFill>
                  <w14:schemeClr w14:val="tx1"/>
                </w14:solidFill>
              </w14:textFill>
              <w14:ligatures w14:val="standardContextual"/>
            </w:rPr>
          </w:pPr>
          <w:r>
            <w:fldChar w:fldCharType="begin"/>
          </w:r>
          <w:r>
            <w:instrText xml:space="preserve"> HYPERLINK \l "_Toc187653457" </w:instrText>
          </w:r>
          <w:r>
            <w:fldChar w:fldCharType="separate"/>
          </w:r>
          <w:r>
            <w:rPr>
              <w:rStyle w:val="56"/>
              <w:rFonts w:ascii="Times New Roman" w:hAnsi="Times New Roman"/>
              <w:color w:val="000000" w:themeColor="text1"/>
              <w:sz w:val="24"/>
              <w:szCs w:val="24"/>
              <w14:textFill>
                <w14:solidFill>
                  <w14:schemeClr w14:val="tx1"/>
                </w14:solidFill>
              </w14:textFill>
            </w:rPr>
            <w:t>1.1</w:t>
          </w:r>
          <w:r>
            <w:rPr>
              <w:rFonts w:ascii="Times New Roman" w:hAnsi="Times New Roman"/>
              <w:smallCaps w:val="0"/>
              <w:color w:val="000000" w:themeColor="text1"/>
              <w:sz w:val="24"/>
              <w:szCs w:val="24"/>
              <w14:textFill>
                <w14:solidFill>
                  <w14:schemeClr w14:val="tx1"/>
                </w14:solidFill>
              </w14:textFill>
              <w14:ligatures w14:val="standardContextual"/>
            </w:rPr>
            <w:tab/>
          </w:r>
          <w:r>
            <w:rPr>
              <w:rStyle w:val="56"/>
              <w:rFonts w:ascii="Times New Roman" w:hAnsi="Times New Roman"/>
              <w:color w:val="000000" w:themeColor="text1"/>
              <w:sz w:val="24"/>
              <w:szCs w:val="24"/>
              <w14:textFill>
                <w14:solidFill>
                  <w14:schemeClr w14:val="tx1"/>
                </w14:solidFill>
              </w14:textFill>
            </w:rPr>
            <w:t>编制依据</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fldChar w:fldCharType="begin"/>
          </w:r>
          <w:r>
            <w:rPr>
              <w:rFonts w:ascii="Times New Roman" w:hAnsi="Times New Roman"/>
              <w:color w:val="000000" w:themeColor="text1"/>
              <w:sz w:val="24"/>
              <w:szCs w:val="24"/>
              <w14:textFill>
                <w14:solidFill>
                  <w14:schemeClr w14:val="tx1"/>
                </w14:solidFill>
              </w14:textFill>
            </w:rPr>
            <w:instrText xml:space="preserve"> PAGEREF _Toc187653457 \h </w:instrText>
          </w:r>
          <w:r>
            <w:rPr>
              <w:rFonts w:ascii="Times New Roman" w:hAnsi="Times New Roman"/>
              <w:color w:val="000000" w:themeColor="text1"/>
              <w:sz w:val="24"/>
              <w:szCs w:val="24"/>
              <w14:textFill>
                <w14:solidFill>
                  <w14:schemeClr w14:val="tx1"/>
                </w14:solidFill>
              </w14:textFill>
            </w:rPr>
            <w:fldChar w:fldCharType="separate"/>
          </w:r>
          <w:r>
            <w:rPr>
              <w:rFonts w:ascii="Times New Roman" w:hAnsi="Times New Roman"/>
              <w:color w:val="000000" w:themeColor="text1"/>
              <w:sz w:val="24"/>
              <w:szCs w:val="24"/>
              <w14:textFill>
                <w14:solidFill>
                  <w14:schemeClr w14:val="tx1"/>
                </w14:solidFill>
              </w14:textFill>
            </w:rPr>
            <w:t>3</w:t>
          </w:r>
          <w:r>
            <w:rPr>
              <w:rFonts w:ascii="Times New Roman" w:hAnsi="Times New Roman"/>
              <w:color w:val="000000" w:themeColor="text1"/>
              <w:sz w:val="24"/>
              <w:szCs w:val="24"/>
              <w14:textFill>
                <w14:solidFill>
                  <w14:schemeClr w14:val="tx1"/>
                </w14:solidFill>
              </w14:textFill>
            </w:rPr>
            <w:fldChar w:fldCharType="end"/>
          </w:r>
          <w:r>
            <w:rPr>
              <w:rFonts w:ascii="Times New Roman" w:hAnsi="Times New Roman"/>
              <w:color w:val="000000" w:themeColor="text1"/>
              <w:sz w:val="24"/>
              <w:szCs w:val="24"/>
              <w14:textFill>
                <w14:solidFill>
                  <w14:schemeClr w14:val="tx1"/>
                </w14:solidFill>
              </w14:textFill>
            </w:rPr>
            <w:fldChar w:fldCharType="end"/>
          </w:r>
        </w:p>
        <w:p w14:paraId="22E68BC9">
          <w:pPr>
            <w:pStyle w:val="37"/>
            <w:tabs>
              <w:tab w:val="left" w:pos="960"/>
              <w:tab w:val="right" w:leader="dot" w:pos="8296"/>
            </w:tabs>
            <w:ind w:left="0" w:firstLine="400" w:firstLineChars="200"/>
            <w:rPr>
              <w:rFonts w:ascii="Times New Roman" w:hAnsi="Times New Roman"/>
              <w:smallCaps w:val="0"/>
              <w:color w:val="000000" w:themeColor="text1"/>
              <w:sz w:val="24"/>
              <w:szCs w:val="24"/>
              <w14:textFill>
                <w14:solidFill>
                  <w14:schemeClr w14:val="tx1"/>
                </w14:solidFill>
              </w14:textFill>
              <w14:ligatures w14:val="standardContextual"/>
            </w:rPr>
          </w:pPr>
          <w:r>
            <w:fldChar w:fldCharType="begin"/>
          </w:r>
          <w:r>
            <w:instrText xml:space="preserve"> HYPERLINK \l "_Toc187653458" </w:instrText>
          </w:r>
          <w:r>
            <w:fldChar w:fldCharType="separate"/>
          </w:r>
          <w:r>
            <w:rPr>
              <w:rStyle w:val="56"/>
              <w:rFonts w:ascii="Times New Roman" w:hAnsi="Times New Roman"/>
              <w:color w:val="000000" w:themeColor="text1"/>
              <w:sz w:val="24"/>
              <w:szCs w:val="24"/>
              <w14:textFill>
                <w14:solidFill>
                  <w14:schemeClr w14:val="tx1"/>
                </w14:solidFill>
              </w14:textFill>
            </w:rPr>
            <w:t>1.2</w:t>
          </w:r>
          <w:r>
            <w:rPr>
              <w:rFonts w:ascii="Times New Roman" w:hAnsi="Times New Roman"/>
              <w:smallCaps w:val="0"/>
              <w:color w:val="000000" w:themeColor="text1"/>
              <w:sz w:val="24"/>
              <w:szCs w:val="24"/>
              <w14:textFill>
                <w14:solidFill>
                  <w14:schemeClr w14:val="tx1"/>
                </w14:solidFill>
              </w14:textFill>
              <w14:ligatures w14:val="standardContextual"/>
            </w:rPr>
            <w:tab/>
          </w:r>
          <w:r>
            <w:rPr>
              <w:rStyle w:val="56"/>
              <w:rFonts w:ascii="Times New Roman" w:hAnsi="Times New Roman"/>
              <w:color w:val="000000" w:themeColor="text1"/>
              <w:sz w:val="24"/>
              <w:szCs w:val="24"/>
              <w14:textFill>
                <w14:solidFill>
                  <w14:schemeClr w14:val="tx1"/>
                </w14:solidFill>
              </w14:textFill>
            </w:rPr>
            <w:t>控制指标</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fldChar w:fldCharType="begin"/>
          </w:r>
          <w:r>
            <w:rPr>
              <w:rFonts w:ascii="Times New Roman" w:hAnsi="Times New Roman"/>
              <w:color w:val="000000" w:themeColor="text1"/>
              <w:sz w:val="24"/>
              <w:szCs w:val="24"/>
              <w14:textFill>
                <w14:solidFill>
                  <w14:schemeClr w14:val="tx1"/>
                </w14:solidFill>
              </w14:textFill>
            </w:rPr>
            <w:instrText xml:space="preserve"> PAGEREF _Toc187653458 \h </w:instrText>
          </w:r>
          <w:r>
            <w:rPr>
              <w:rFonts w:ascii="Times New Roman" w:hAnsi="Times New Roman"/>
              <w:color w:val="000000" w:themeColor="text1"/>
              <w:sz w:val="24"/>
              <w:szCs w:val="24"/>
              <w14:textFill>
                <w14:solidFill>
                  <w14:schemeClr w14:val="tx1"/>
                </w14:solidFill>
              </w14:textFill>
            </w:rPr>
            <w:fldChar w:fldCharType="separate"/>
          </w:r>
          <w:r>
            <w:rPr>
              <w:rFonts w:ascii="Times New Roman" w:hAnsi="Times New Roman"/>
              <w:color w:val="000000" w:themeColor="text1"/>
              <w:sz w:val="24"/>
              <w:szCs w:val="24"/>
              <w14:textFill>
                <w14:solidFill>
                  <w14:schemeClr w14:val="tx1"/>
                </w14:solidFill>
              </w14:textFill>
            </w:rPr>
            <w:t>4</w:t>
          </w:r>
          <w:r>
            <w:rPr>
              <w:rFonts w:ascii="Times New Roman" w:hAnsi="Times New Roman"/>
              <w:color w:val="000000" w:themeColor="text1"/>
              <w:sz w:val="24"/>
              <w:szCs w:val="24"/>
              <w14:textFill>
                <w14:solidFill>
                  <w14:schemeClr w14:val="tx1"/>
                </w14:solidFill>
              </w14:textFill>
            </w:rPr>
            <w:fldChar w:fldCharType="end"/>
          </w:r>
          <w:r>
            <w:rPr>
              <w:rFonts w:ascii="Times New Roman" w:hAnsi="Times New Roman"/>
              <w:color w:val="000000" w:themeColor="text1"/>
              <w:sz w:val="24"/>
              <w:szCs w:val="24"/>
              <w14:textFill>
                <w14:solidFill>
                  <w14:schemeClr w14:val="tx1"/>
                </w14:solidFill>
              </w14:textFill>
            </w:rPr>
            <w:fldChar w:fldCharType="end"/>
          </w:r>
        </w:p>
        <w:p w14:paraId="018D6F9F">
          <w:pPr>
            <w:pStyle w:val="37"/>
            <w:tabs>
              <w:tab w:val="left" w:pos="960"/>
              <w:tab w:val="right" w:leader="dot" w:pos="8296"/>
            </w:tabs>
            <w:ind w:left="0" w:firstLine="400" w:firstLineChars="200"/>
            <w:rPr>
              <w:rFonts w:ascii="Times New Roman" w:hAnsi="Times New Roman"/>
              <w:smallCaps w:val="0"/>
              <w:color w:val="000000" w:themeColor="text1"/>
              <w:sz w:val="24"/>
              <w:szCs w:val="24"/>
              <w14:textFill>
                <w14:solidFill>
                  <w14:schemeClr w14:val="tx1"/>
                </w14:solidFill>
              </w14:textFill>
              <w14:ligatures w14:val="standardContextual"/>
            </w:rPr>
          </w:pPr>
          <w:r>
            <w:fldChar w:fldCharType="begin"/>
          </w:r>
          <w:r>
            <w:instrText xml:space="preserve"> HYPERLINK \l "_Toc187653459" </w:instrText>
          </w:r>
          <w:r>
            <w:fldChar w:fldCharType="separate"/>
          </w:r>
          <w:r>
            <w:rPr>
              <w:rStyle w:val="56"/>
              <w:rFonts w:ascii="Times New Roman" w:hAnsi="Times New Roman"/>
              <w:color w:val="000000" w:themeColor="text1"/>
              <w:sz w:val="24"/>
              <w:szCs w:val="24"/>
              <w14:textFill>
                <w14:solidFill>
                  <w14:schemeClr w14:val="tx1"/>
                </w14:solidFill>
              </w14:textFill>
            </w:rPr>
            <w:t>1.3</w:t>
          </w:r>
          <w:r>
            <w:rPr>
              <w:rFonts w:ascii="Times New Roman" w:hAnsi="Times New Roman"/>
              <w:smallCaps w:val="0"/>
              <w:color w:val="000000" w:themeColor="text1"/>
              <w:sz w:val="24"/>
              <w:szCs w:val="24"/>
              <w14:textFill>
                <w14:solidFill>
                  <w14:schemeClr w14:val="tx1"/>
                </w14:solidFill>
              </w14:textFill>
              <w14:ligatures w14:val="standardContextual"/>
            </w:rPr>
            <w:tab/>
          </w:r>
          <w:r>
            <w:rPr>
              <w:rStyle w:val="56"/>
              <w:rFonts w:ascii="Times New Roman" w:hAnsi="Times New Roman"/>
              <w:color w:val="000000" w:themeColor="text1"/>
              <w:sz w:val="24"/>
              <w:szCs w:val="24"/>
              <w14:textFill>
                <w14:solidFill>
                  <w14:schemeClr w14:val="tx1"/>
                </w14:solidFill>
              </w14:textFill>
            </w:rPr>
            <w:t>评价核素</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fldChar w:fldCharType="begin"/>
          </w:r>
          <w:r>
            <w:rPr>
              <w:rFonts w:ascii="Times New Roman" w:hAnsi="Times New Roman"/>
              <w:color w:val="000000" w:themeColor="text1"/>
              <w:sz w:val="24"/>
              <w:szCs w:val="24"/>
              <w14:textFill>
                <w14:solidFill>
                  <w14:schemeClr w14:val="tx1"/>
                </w14:solidFill>
              </w14:textFill>
            </w:rPr>
            <w:instrText xml:space="preserve"> PAGEREF _Toc187653459 \h </w:instrText>
          </w:r>
          <w:r>
            <w:rPr>
              <w:rFonts w:ascii="Times New Roman" w:hAnsi="Times New Roman"/>
              <w:color w:val="000000" w:themeColor="text1"/>
              <w:sz w:val="24"/>
              <w:szCs w:val="24"/>
              <w14:textFill>
                <w14:solidFill>
                  <w14:schemeClr w14:val="tx1"/>
                </w14:solidFill>
              </w14:textFill>
            </w:rPr>
            <w:fldChar w:fldCharType="separate"/>
          </w:r>
          <w:r>
            <w:rPr>
              <w:rFonts w:ascii="Times New Roman" w:hAnsi="Times New Roman"/>
              <w:color w:val="000000" w:themeColor="text1"/>
              <w:sz w:val="24"/>
              <w:szCs w:val="24"/>
              <w14:textFill>
                <w14:solidFill>
                  <w14:schemeClr w14:val="tx1"/>
                </w14:solidFill>
              </w14:textFill>
            </w:rPr>
            <w:t>6</w:t>
          </w:r>
          <w:r>
            <w:rPr>
              <w:rFonts w:ascii="Times New Roman" w:hAnsi="Times New Roman"/>
              <w:color w:val="000000" w:themeColor="text1"/>
              <w:sz w:val="24"/>
              <w:szCs w:val="24"/>
              <w14:textFill>
                <w14:solidFill>
                  <w14:schemeClr w14:val="tx1"/>
                </w14:solidFill>
              </w14:textFill>
            </w:rPr>
            <w:fldChar w:fldCharType="end"/>
          </w:r>
          <w:r>
            <w:rPr>
              <w:rFonts w:ascii="Times New Roman" w:hAnsi="Times New Roman"/>
              <w:color w:val="000000" w:themeColor="text1"/>
              <w:sz w:val="24"/>
              <w:szCs w:val="24"/>
              <w14:textFill>
                <w14:solidFill>
                  <w14:schemeClr w14:val="tx1"/>
                </w14:solidFill>
              </w14:textFill>
            </w:rPr>
            <w:fldChar w:fldCharType="end"/>
          </w:r>
        </w:p>
        <w:p w14:paraId="29FFD2D2">
          <w:pPr>
            <w:pStyle w:val="37"/>
            <w:tabs>
              <w:tab w:val="left" w:pos="960"/>
              <w:tab w:val="right" w:leader="dot" w:pos="8296"/>
            </w:tabs>
            <w:ind w:left="0" w:firstLine="400" w:firstLineChars="200"/>
            <w:rPr>
              <w:rFonts w:ascii="Times New Roman" w:hAnsi="Times New Roman"/>
              <w:smallCaps w:val="0"/>
              <w:color w:val="000000" w:themeColor="text1"/>
              <w:sz w:val="24"/>
              <w:szCs w:val="24"/>
              <w14:textFill>
                <w14:solidFill>
                  <w14:schemeClr w14:val="tx1"/>
                </w14:solidFill>
              </w14:textFill>
              <w14:ligatures w14:val="standardContextual"/>
            </w:rPr>
          </w:pPr>
          <w:r>
            <w:fldChar w:fldCharType="begin"/>
          </w:r>
          <w:r>
            <w:instrText xml:space="preserve"> HYPERLINK \l "_Toc187653460" </w:instrText>
          </w:r>
          <w:r>
            <w:fldChar w:fldCharType="separate"/>
          </w:r>
          <w:r>
            <w:rPr>
              <w:rStyle w:val="56"/>
              <w:rFonts w:ascii="Times New Roman" w:hAnsi="Times New Roman"/>
              <w:color w:val="000000" w:themeColor="text1"/>
              <w:sz w:val="24"/>
              <w:szCs w:val="24"/>
              <w14:textFill>
                <w14:solidFill>
                  <w14:schemeClr w14:val="tx1"/>
                </w14:solidFill>
              </w14:textFill>
            </w:rPr>
            <w:t>1.4</w:t>
          </w:r>
          <w:r>
            <w:rPr>
              <w:rFonts w:ascii="Times New Roman" w:hAnsi="Times New Roman"/>
              <w:smallCaps w:val="0"/>
              <w:color w:val="000000" w:themeColor="text1"/>
              <w:sz w:val="24"/>
              <w:szCs w:val="24"/>
              <w14:textFill>
                <w14:solidFill>
                  <w14:schemeClr w14:val="tx1"/>
                </w14:solidFill>
              </w14:textFill>
              <w14:ligatures w14:val="standardContextual"/>
            </w:rPr>
            <w:tab/>
          </w:r>
          <w:r>
            <w:rPr>
              <w:rStyle w:val="56"/>
              <w:rFonts w:ascii="Times New Roman" w:hAnsi="Times New Roman"/>
              <w:color w:val="000000" w:themeColor="text1"/>
              <w:sz w:val="24"/>
              <w:szCs w:val="24"/>
              <w14:textFill>
                <w14:solidFill>
                  <w14:schemeClr w14:val="tx1"/>
                </w14:solidFill>
              </w14:textFill>
            </w:rPr>
            <w:t>评价范围及环境保护目标</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fldChar w:fldCharType="begin"/>
          </w:r>
          <w:r>
            <w:rPr>
              <w:rFonts w:ascii="Times New Roman" w:hAnsi="Times New Roman"/>
              <w:color w:val="000000" w:themeColor="text1"/>
              <w:sz w:val="24"/>
              <w:szCs w:val="24"/>
              <w14:textFill>
                <w14:solidFill>
                  <w14:schemeClr w14:val="tx1"/>
                </w14:solidFill>
              </w14:textFill>
            </w:rPr>
            <w:instrText xml:space="preserve"> PAGEREF _Toc187653460 \h </w:instrText>
          </w:r>
          <w:r>
            <w:rPr>
              <w:rFonts w:ascii="Times New Roman" w:hAnsi="Times New Roman"/>
              <w:color w:val="000000" w:themeColor="text1"/>
              <w:sz w:val="24"/>
              <w:szCs w:val="24"/>
              <w14:textFill>
                <w14:solidFill>
                  <w14:schemeClr w14:val="tx1"/>
                </w14:solidFill>
              </w14:textFill>
            </w:rPr>
            <w:fldChar w:fldCharType="separate"/>
          </w:r>
          <w:r>
            <w:rPr>
              <w:rFonts w:ascii="Times New Roman" w:hAnsi="Times New Roman"/>
              <w:color w:val="000000" w:themeColor="text1"/>
              <w:sz w:val="24"/>
              <w:szCs w:val="24"/>
              <w14:textFill>
                <w14:solidFill>
                  <w14:schemeClr w14:val="tx1"/>
                </w14:solidFill>
              </w14:textFill>
            </w:rPr>
            <w:t>6</w:t>
          </w:r>
          <w:r>
            <w:rPr>
              <w:rFonts w:ascii="Times New Roman" w:hAnsi="Times New Roman"/>
              <w:color w:val="000000" w:themeColor="text1"/>
              <w:sz w:val="24"/>
              <w:szCs w:val="24"/>
              <w14:textFill>
                <w14:solidFill>
                  <w14:schemeClr w14:val="tx1"/>
                </w14:solidFill>
              </w14:textFill>
            </w:rPr>
            <w:fldChar w:fldCharType="end"/>
          </w:r>
          <w:r>
            <w:rPr>
              <w:rFonts w:ascii="Times New Roman" w:hAnsi="Times New Roman"/>
              <w:color w:val="000000" w:themeColor="text1"/>
              <w:sz w:val="24"/>
              <w:szCs w:val="24"/>
              <w14:textFill>
                <w14:solidFill>
                  <w14:schemeClr w14:val="tx1"/>
                </w14:solidFill>
              </w14:textFill>
            </w:rPr>
            <w:fldChar w:fldCharType="end"/>
          </w:r>
        </w:p>
        <w:p w14:paraId="564794A3">
          <w:pPr>
            <w:pStyle w:val="37"/>
            <w:tabs>
              <w:tab w:val="left" w:pos="960"/>
              <w:tab w:val="right" w:leader="dot" w:pos="8296"/>
            </w:tabs>
            <w:ind w:left="0" w:firstLine="400" w:firstLineChars="200"/>
            <w:rPr>
              <w:rFonts w:ascii="Times New Roman" w:hAnsi="Times New Roman"/>
              <w:smallCaps w:val="0"/>
              <w:color w:val="000000" w:themeColor="text1"/>
              <w:sz w:val="24"/>
              <w:szCs w:val="24"/>
              <w14:textFill>
                <w14:solidFill>
                  <w14:schemeClr w14:val="tx1"/>
                </w14:solidFill>
              </w14:textFill>
              <w14:ligatures w14:val="standardContextual"/>
            </w:rPr>
          </w:pPr>
          <w:r>
            <w:fldChar w:fldCharType="begin"/>
          </w:r>
          <w:r>
            <w:instrText xml:space="preserve"> HYPERLINK \l "_Toc187653461" </w:instrText>
          </w:r>
          <w:r>
            <w:fldChar w:fldCharType="separate"/>
          </w:r>
          <w:r>
            <w:rPr>
              <w:rStyle w:val="56"/>
              <w:rFonts w:ascii="Times New Roman" w:hAnsi="Times New Roman"/>
              <w:color w:val="000000" w:themeColor="text1"/>
              <w:sz w:val="24"/>
              <w:szCs w:val="24"/>
              <w14:textFill>
                <w14:solidFill>
                  <w14:schemeClr w14:val="tx1"/>
                </w14:solidFill>
              </w14:textFill>
            </w:rPr>
            <w:t>1.5</w:t>
          </w:r>
          <w:r>
            <w:rPr>
              <w:rFonts w:ascii="Times New Roman" w:hAnsi="Times New Roman"/>
              <w:smallCaps w:val="0"/>
              <w:color w:val="000000" w:themeColor="text1"/>
              <w:sz w:val="24"/>
              <w:szCs w:val="24"/>
              <w14:textFill>
                <w14:solidFill>
                  <w14:schemeClr w14:val="tx1"/>
                </w14:solidFill>
              </w14:textFill>
              <w14:ligatures w14:val="standardContextual"/>
            </w:rPr>
            <w:tab/>
          </w:r>
          <w:r>
            <w:rPr>
              <w:rStyle w:val="56"/>
              <w:rFonts w:ascii="Times New Roman" w:hAnsi="Times New Roman"/>
              <w:color w:val="000000" w:themeColor="text1"/>
              <w:sz w:val="24"/>
              <w:szCs w:val="24"/>
              <w14:textFill>
                <w14:solidFill>
                  <w14:schemeClr w14:val="tx1"/>
                </w14:solidFill>
              </w14:textFill>
            </w:rPr>
            <w:t>选址合理性</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fldChar w:fldCharType="begin"/>
          </w:r>
          <w:r>
            <w:rPr>
              <w:rFonts w:ascii="Times New Roman" w:hAnsi="Times New Roman"/>
              <w:color w:val="000000" w:themeColor="text1"/>
              <w:sz w:val="24"/>
              <w:szCs w:val="24"/>
              <w14:textFill>
                <w14:solidFill>
                  <w14:schemeClr w14:val="tx1"/>
                </w14:solidFill>
              </w14:textFill>
            </w:rPr>
            <w:instrText xml:space="preserve"> PAGEREF _Toc187653461 \h </w:instrText>
          </w:r>
          <w:r>
            <w:rPr>
              <w:rFonts w:ascii="Times New Roman" w:hAnsi="Times New Roman"/>
              <w:color w:val="000000" w:themeColor="text1"/>
              <w:sz w:val="24"/>
              <w:szCs w:val="24"/>
              <w14:textFill>
                <w14:solidFill>
                  <w14:schemeClr w14:val="tx1"/>
                </w14:solidFill>
              </w14:textFill>
            </w:rPr>
            <w:fldChar w:fldCharType="separate"/>
          </w:r>
          <w:r>
            <w:rPr>
              <w:rFonts w:ascii="Times New Roman" w:hAnsi="Times New Roman"/>
              <w:color w:val="000000" w:themeColor="text1"/>
              <w:sz w:val="24"/>
              <w:szCs w:val="24"/>
              <w14:textFill>
                <w14:solidFill>
                  <w14:schemeClr w14:val="tx1"/>
                </w14:solidFill>
              </w14:textFill>
            </w:rPr>
            <w:t>8</w:t>
          </w:r>
          <w:r>
            <w:rPr>
              <w:rFonts w:ascii="Times New Roman" w:hAnsi="Times New Roman"/>
              <w:color w:val="000000" w:themeColor="text1"/>
              <w:sz w:val="24"/>
              <w:szCs w:val="24"/>
              <w14:textFill>
                <w14:solidFill>
                  <w14:schemeClr w14:val="tx1"/>
                </w14:solidFill>
              </w14:textFill>
            </w:rPr>
            <w:fldChar w:fldCharType="end"/>
          </w:r>
          <w:r>
            <w:rPr>
              <w:rFonts w:ascii="Times New Roman" w:hAnsi="Times New Roman"/>
              <w:color w:val="000000" w:themeColor="text1"/>
              <w:sz w:val="24"/>
              <w:szCs w:val="24"/>
              <w14:textFill>
                <w14:solidFill>
                  <w14:schemeClr w14:val="tx1"/>
                </w14:solidFill>
              </w14:textFill>
            </w:rPr>
            <w:fldChar w:fldCharType="end"/>
          </w:r>
        </w:p>
        <w:p w14:paraId="131E0819">
          <w:pPr>
            <w:pStyle w:val="31"/>
            <w:tabs>
              <w:tab w:val="left" w:pos="480"/>
              <w:tab w:val="right" w:leader="dot" w:pos="8296"/>
            </w:tabs>
            <w:spacing w:before="0" w:after="0"/>
            <w:rPr>
              <w:rFonts w:ascii="Times New Roman" w:hAnsi="Times New Roman"/>
              <w:caps w:val="0"/>
              <w:color w:val="000000" w:themeColor="text1"/>
              <w:sz w:val="24"/>
              <w:szCs w:val="24"/>
              <w14:textFill>
                <w14:solidFill>
                  <w14:schemeClr w14:val="tx1"/>
                </w14:solidFill>
              </w14:textFill>
              <w14:ligatures w14:val="standardContextual"/>
            </w:rPr>
          </w:pPr>
          <w:r>
            <w:fldChar w:fldCharType="begin"/>
          </w:r>
          <w:r>
            <w:instrText xml:space="preserve"> HYPERLINK \l "_Toc187653462" </w:instrText>
          </w:r>
          <w:r>
            <w:fldChar w:fldCharType="separate"/>
          </w:r>
          <w:r>
            <w:rPr>
              <w:rStyle w:val="56"/>
              <w:rFonts w:ascii="Times New Roman" w:hAnsi="Times New Roman"/>
              <w:color w:val="000000" w:themeColor="text1"/>
              <w:kern w:val="44"/>
              <w:sz w:val="24"/>
              <w:szCs w:val="24"/>
              <w14:textFill>
                <w14:solidFill>
                  <w14:schemeClr w14:val="tx1"/>
                </w14:solidFill>
              </w14:textFill>
            </w:rPr>
            <w:t>2.</w:t>
          </w:r>
          <w:r>
            <w:rPr>
              <w:rFonts w:ascii="Times New Roman" w:hAnsi="Times New Roman"/>
              <w:caps w:val="0"/>
              <w:color w:val="000000" w:themeColor="text1"/>
              <w:sz w:val="24"/>
              <w:szCs w:val="24"/>
              <w14:textFill>
                <w14:solidFill>
                  <w14:schemeClr w14:val="tx1"/>
                </w14:solidFill>
              </w14:textFill>
              <w14:ligatures w14:val="standardContextual"/>
            </w:rPr>
            <w:tab/>
          </w:r>
          <w:r>
            <w:rPr>
              <w:rStyle w:val="56"/>
              <w:rFonts w:ascii="Times New Roman" w:hAnsi="Times New Roman"/>
              <w:color w:val="000000" w:themeColor="text1"/>
              <w:kern w:val="44"/>
              <w:sz w:val="24"/>
              <w:szCs w:val="24"/>
              <w14:textFill>
                <w14:solidFill>
                  <w14:schemeClr w14:val="tx1"/>
                </w14:solidFill>
              </w14:textFill>
            </w:rPr>
            <w:t>放射性源项分析</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fldChar w:fldCharType="begin"/>
          </w:r>
          <w:r>
            <w:rPr>
              <w:rFonts w:ascii="Times New Roman" w:hAnsi="Times New Roman"/>
              <w:color w:val="000000" w:themeColor="text1"/>
              <w:sz w:val="24"/>
              <w:szCs w:val="24"/>
              <w14:textFill>
                <w14:solidFill>
                  <w14:schemeClr w14:val="tx1"/>
                </w14:solidFill>
              </w14:textFill>
            </w:rPr>
            <w:instrText xml:space="preserve"> PAGEREF _Toc187653462 \h </w:instrText>
          </w:r>
          <w:r>
            <w:rPr>
              <w:rFonts w:ascii="Times New Roman" w:hAnsi="Times New Roman"/>
              <w:color w:val="000000" w:themeColor="text1"/>
              <w:sz w:val="24"/>
              <w:szCs w:val="24"/>
              <w14:textFill>
                <w14:solidFill>
                  <w14:schemeClr w14:val="tx1"/>
                </w14:solidFill>
              </w14:textFill>
            </w:rPr>
            <w:fldChar w:fldCharType="separate"/>
          </w:r>
          <w:r>
            <w:rPr>
              <w:rFonts w:ascii="Times New Roman" w:hAnsi="Times New Roman"/>
              <w:color w:val="000000" w:themeColor="text1"/>
              <w:sz w:val="24"/>
              <w:szCs w:val="24"/>
              <w14:textFill>
                <w14:solidFill>
                  <w14:schemeClr w14:val="tx1"/>
                </w14:solidFill>
              </w14:textFill>
            </w:rPr>
            <w:t>9</w:t>
          </w:r>
          <w:r>
            <w:rPr>
              <w:rFonts w:ascii="Times New Roman" w:hAnsi="Times New Roman"/>
              <w:color w:val="000000" w:themeColor="text1"/>
              <w:sz w:val="24"/>
              <w:szCs w:val="24"/>
              <w14:textFill>
                <w14:solidFill>
                  <w14:schemeClr w14:val="tx1"/>
                </w14:solidFill>
              </w14:textFill>
            </w:rPr>
            <w:fldChar w:fldCharType="end"/>
          </w:r>
          <w:r>
            <w:rPr>
              <w:rFonts w:ascii="Times New Roman" w:hAnsi="Times New Roman"/>
              <w:color w:val="000000" w:themeColor="text1"/>
              <w:sz w:val="24"/>
              <w:szCs w:val="24"/>
              <w14:textFill>
                <w14:solidFill>
                  <w14:schemeClr w14:val="tx1"/>
                </w14:solidFill>
              </w14:textFill>
            </w:rPr>
            <w:fldChar w:fldCharType="end"/>
          </w:r>
        </w:p>
        <w:p w14:paraId="02295ED5">
          <w:pPr>
            <w:pStyle w:val="37"/>
            <w:tabs>
              <w:tab w:val="left" w:pos="960"/>
              <w:tab w:val="right" w:leader="dot" w:pos="8296"/>
            </w:tabs>
            <w:ind w:left="0" w:firstLine="400" w:firstLineChars="200"/>
            <w:rPr>
              <w:rFonts w:ascii="Times New Roman" w:hAnsi="Times New Roman"/>
              <w:smallCaps w:val="0"/>
              <w:color w:val="000000" w:themeColor="text1"/>
              <w:sz w:val="24"/>
              <w:szCs w:val="24"/>
              <w14:textFill>
                <w14:solidFill>
                  <w14:schemeClr w14:val="tx1"/>
                </w14:solidFill>
              </w14:textFill>
              <w14:ligatures w14:val="standardContextual"/>
            </w:rPr>
          </w:pPr>
          <w:r>
            <w:fldChar w:fldCharType="begin"/>
          </w:r>
          <w:r>
            <w:instrText xml:space="preserve"> HYPERLINK \l "_Toc187653463" </w:instrText>
          </w:r>
          <w:r>
            <w:fldChar w:fldCharType="separate"/>
          </w:r>
          <w:r>
            <w:rPr>
              <w:rStyle w:val="56"/>
              <w:rFonts w:ascii="Times New Roman" w:hAnsi="Times New Roman"/>
              <w:color w:val="000000" w:themeColor="text1"/>
              <w:sz w:val="24"/>
              <w:szCs w:val="24"/>
              <w14:textFill>
                <w14:solidFill>
                  <w14:schemeClr w14:val="tx1"/>
                </w14:solidFill>
              </w14:textFill>
            </w:rPr>
            <w:t>2.1</w:t>
          </w:r>
          <w:r>
            <w:rPr>
              <w:rFonts w:ascii="Times New Roman" w:hAnsi="Times New Roman"/>
              <w:smallCaps w:val="0"/>
              <w:color w:val="000000" w:themeColor="text1"/>
              <w:sz w:val="24"/>
              <w:szCs w:val="24"/>
              <w14:textFill>
                <w14:solidFill>
                  <w14:schemeClr w14:val="tx1"/>
                </w14:solidFill>
              </w14:textFill>
              <w14:ligatures w14:val="standardContextual"/>
            </w:rPr>
            <w:tab/>
          </w:r>
          <w:r>
            <w:rPr>
              <w:rStyle w:val="56"/>
              <w:rFonts w:ascii="Times New Roman" w:hAnsi="Times New Roman"/>
              <w:color w:val="000000" w:themeColor="text1"/>
              <w:sz w:val="24"/>
              <w:szCs w:val="24"/>
              <w14:textFill>
                <w14:solidFill>
                  <w14:schemeClr w14:val="tx1"/>
                </w14:solidFill>
              </w14:textFill>
            </w:rPr>
            <w:t>工程概况</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fldChar w:fldCharType="begin"/>
          </w:r>
          <w:r>
            <w:rPr>
              <w:rFonts w:ascii="Times New Roman" w:hAnsi="Times New Roman"/>
              <w:color w:val="000000" w:themeColor="text1"/>
              <w:sz w:val="24"/>
              <w:szCs w:val="24"/>
              <w14:textFill>
                <w14:solidFill>
                  <w14:schemeClr w14:val="tx1"/>
                </w14:solidFill>
              </w14:textFill>
            </w:rPr>
            <w:instrText xml:space="preserve"> PAGEREF _Toc187653463 \h </w:instrText>
          </w:r>
          <w:r>
            <w:rPr>
              <w:rFonts w:ascii="Times New Roman" w:hAnsi="Times New Roman"/>
              <w:color w:val="000000" w:themeColor="text1"/>
              <w:sz w:val="24"/>
              <w:szCs w:val="24"/>
              <w14:textFill>
                <w14:solidFill>
                  <w14:schemeClr w14:val="tx1"/>
                </w14:solidFill>
              </w14:textFill>
            </w:rPr>
            <w:fldChar w:fldCharType="separate"/>
          </w:r>
          <w:r>
            <w:rPr>
              <w:rFonts w:ascii="Times New Roman" w:hAnsi="Times New Roman"/>
              <w:color w:val="000000" w:themeColor="text1"/>
              <w:sz w:val="24"/>
              <w:szCs w:val="24"/>
              <w14:textFill>
                <w14:solidFill>
                  <w14:schemeClr w14:val="tx1"/>
                </w14:solidFill>
              </w14:textFill>
            </w:rPr>
            <w:t>9</w:t>
          </w:r>
          <w:r>
            <w:rPr>
              <w:rFonts w:ascii="Times New Roman" w:hAnsi="Times New Roman"/>
              <w:color w:val="000000" w:themeColor="text1"/>
              <w:sz w:val="24"/>
              <w:szCs w:val="24"/>
              <w14:textFill>
                <w14:solidFill>
                  <w14:schemeClr w14:val="tx1"/>
                </w14:solidFill>
              </w14:textFill>
            </w:rPr>
            <w:fldChar w:fldCharType="end"/>
          </w:r>
          <w:r>
            <w:rPr>
              <w:rFonts w:ascii="Times New Roman" w:hAnsi="Times New Roman"/>
              <w:color w:val="000000" w:themeColor="text1"/>
              <w:sz w:val="24"/>
              <w:szCs w:val="24"/>
              <w14:textFill>
                <w14:solidFill>
                  <w14:schemeClr w14:val="tx1"/>
                </w14:solidFill>
              </w14:textFill>
            </w:rPr>
            <w:fldChar w:fldCharType="end"/>
          </w:r>
        </w:p>
        <w:p w14:paraId="0827CA41">
          <w:pPr>
            <w:pStyle w:val="37"/>
            <w:tabs>
              <w:tab w:val="left" w:pos="960"/>
              <w:tab w:val="right" w:leader="dot" w:pos="8296"/>
            </w:tabs>
            <w:ind w:left="0" w:firstLine="400" w:firstLineChars="200"/>
            <w:rPr>
              <w:rFonts w:ascii="Times New Roman" w:hAnsi="Times New Roman"/>
              <w:smallCaps w:val="0"/>
              <w:color w:val="000000" w:themeColor="text1"/>
              <w:sz w:val="24"/>
              <w:szCs w:val="24"/>
              <w14:textFill>
                <w14:solidFill>
                  <w14:schemeClr w14:val="tx1"/>
                </w14:solidFill>
              </w14:textFill>
              <w14:ligatures w14:val="standardContextual"/>
            </w:rPr>
          </w:pPr>
          <w:r>
            <w:fldChar w:fldCharType="begin"/>
          </w:r>
          <w:r>
            <w:instrText xml:space="preserve"> HYPERLINK \l "_Toc187653464" </w:instrText>
          </w:r>
          <w:r>
            <w:fldChar w:fldCharType="separate"/>
          </w:r>
          <w:r>
            <w:rPr>
              <w:rStyle w:val="56"/>
              <w:rFonts w:ascii="Times New Roman" w:hAnsi="Times New Roman"/>
              <w:color w:val="000000" w:themeColor="text1"/>
              <w:sz w:val="24"/>
              <w:szCs w:val="24"/>
              <w14:textFill>
                <w14:solidFill>
                  <w14:schemeClr w14:val="tx1"/>
                </w14:solidFill>
              </w14:textFill>
            </w:rPr>
            <w:t>2.2</w:t>
          </w:r>
          <w:r>
            <w:rPr>
              <w:rFonts w:ascii="Times New Roman" w:hAnsi="Times New Roman"/>
              <w:smallCaps w:val="0"/>
              <w:color w:val="000000" w:themeColor="text1"/>
              <w:sz w:val="24"/>
              <w:szCs w:val="24"/>
              <w14:textFill>
                <w14:solidFill>
                  <w14:schemeClr w14:val="tx1"/>
                </w14:solidFill>
              </w14:textFill>
              <w14:ligatures w14:val="standardContextual"/>
            </w:rPr>
            <w:tab/>
          </w:r>
          <w:r>
            <w:rPr>
              <w:rStyle w:val="56"/>
              <w:rFonts w:ascii="Times New Roman" w:hAnsi="Times New Roman"/>
              <w:color w:val="000000" w:themeColor="text1"/>
              <w:sz w:val="24"/>
              <w:szCs w:val="24"/>
              <w14:textFill>
                <w14:solidFill>
                  <w14:schemeClr w14:val="tx1"/>
                </w14:solidFill>
              </w14:textFill>
            </w:rPr>
            <w:t>废物管理及排放源项</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fldChar w:fldCharType="begin"/>
          </w:r>
          <w:r>
            <w:rPr>
              <w:rFonts w:ascii="Times New Roman" w:hAnsi="Times New Roman"/>
              <w:color w:val="000000" w:themeColor="text1"/>
              <w:sz w:val="24"/>
              <w:szCs w:val="24"/>
              <w14:textFill>
                <w14:solidFill>
                  <w14:schemeClr w14:val="tx1"/>
                </w14:solidFill>
              </w14:textFill>
            </w:rPr>
            <w:instrText xml:space="preserve"> PAGEREF _Toc187653464 \h </w:instrText>
          </w:r>
          <w:r>
            <w:rPr>
              <w:rFonts w:ascii="Times New Roman" w:hAnsi="Times New Roman"/>
              <w:color w:val="000000" w:themeColor="text1"/>
              <w:sz w:val="24"/>
              <w:szCs w:val="24"/>
              <w14:textFill>
                <w14:solidFill>
                  <w14:schemeClr w14:val="tx1"/>
                </w14:solidFill>
              </w14:textFill>
            </w:rPr>
            <w:fldChar w:fldCharType="separate"/>
          </w:r>
          <w:r>
            <w:rPr>
              <w:rFonts w:ascii="Times New Roman" w:hAnsi="Times New Roman"/>
              <w:color w:val="000000" w:themeColor="text1"/>
              <w:sz w:val="24"/>
              <w:szCs w:val="24"/>
              <w14:textFill>
                <w14:solidFill>
                  <w14:schemeClr w14:val="tx1"/>
                </w14:solidFill>
              </w14:textFill>
            </w:rPr>
            <w:t>22</w:t>
          </w:r>
          <w:r>
            <w:rPr>
              <w:rFonts w:ascii="Times New Roman" w:hAnsi="Times New Roman"/>
              <w:color w:val="000000" w:themeColor="text1"/>
              <w:sz w:val="24"/>
              <w:szCs w:val="24"/>
              <w14:textFill>
                <w14:solidFill>
                  <w14:schemeClr w14:val="tx1"/>
                </w14:solidFill>
              </w14:textFill>
            </w:rPr>
            <w:fldChar w:fldCharType="end"/>
          </w:r>
          <w:r>
            <w:rPr>
              <w:rFonts w:ascii="Times New Roman" w:hAnsi="Times New Roman"/>
              <w:color w:val="000000" w:themeColor="text1"/>
              <w:sz w:val="24"/>
              <w:szCs w:val="24"/>
              <w14:textFill>
                <w14:solidFill>
                  <w14:schemeClr w14:val="tx1"/>
                </w14:solidFill>
              </w14:textFill>
            </w:rPr>
            <w:fldChar w:fldCharType="end"/>
          </w:r>
        </w:p>
        <w:p w14:paraId="7986CDEB">
          <w:pPr>
            <w:pStyle w:val="37"/>
            <w:tabs>
              <w:tab w:val="left" w:pos="960"/>
              <w:tab w:val="right" w:leader="dot" w:pos="8296"/>
            </w:tabs>
            <w:ind w:left="0" w:firstLine="400" w:firstLineChars="200"/>
            <w:rPr>
              <w:rFonts w:ascii="Times New Roman" w:hAnsi="Times New Roman"/>
              <w:smallCaps w:val="0"/>
              <w:color w:val="000000" w:themeColor="text1"/>
              <w:sz w:val="24"/>
              <w:szCs w:val="24"/>
              <w14:textFill>
                <w14:solidFill>
                  <w14:schemeClr w14:val="tx1"/>
                </w14:solidFill>
              </w14:textFill>
              <w14:ligatures w14:val="standardContextual"/>
            </w:rPr>
          </w:pPr>
          <w:r>
            <w:fldChar w:fldCharType="begin"/>
          </w:r>
          <w:r>
            <w:instrText xml:space="preserve"> HYPERLINK \l "_Toc187653465" </w:instrText>
          </w:r>
          <w:r>
            <w:fldChar w:fldCharType="separate"/>
          </w:r>
          <w:r>
            <w:rPr>
              <w:rStyle w:val="56"/>
              <w:rFonts w:ascii="Times New Roman" w:hAnsi="Times New Roman"/>
              <w:color w:val="000000" w:themeColor="text1"/>
              <w:sz w:val="24"/>
              <w:szCs w:val="24"/>
              <w14:textFill>
                <w14:solidFill>
                  <w14:schemeClr w14:val="tx1"/>
                </w14:solidFill>
              </w14:textFill>
            </w:rPr>
            <w:t>2.3</w:t>
          </w:r>
          <w:r>
            <w:rPr>
              <w:rFonts w:ascii="Times New Roman" w:hAnsi="Times New Roman"/>
              <w:smallCaps w:val="0"/>
              <w:color w:val="000000" w:themeColor="text1"/>
              <w:sz w:val="24"/>
              <w:szCs w:val="24"/>
              <w14:textFill>
                <w14:solidFill>
                  <w14:schemeClr w14:val="tx1"/>
                </w14:solidFill>
              </w14:textFill>
              <w14:ligatures w14:val="standardContextual"/>
            </w:rPr>
            <w:tab/>
          </w:r>
          <w:r>
            <w:rPr>
              <w:rStyle w:val="56"/>
              <w:rFonts w:ascii="Times New Roman" w:hAnsi="Times New Roman"/>
              <w:color w:val="000000" w:themeColor="text1"/>
              <w:sz w:val="24"/>
              <w:szCs w:val="24"/>
              <w14:textFill>
                <w14:solidFill>
                  <w14:schemeClr w14:val="tx1"/>
                </w14:solidFill>
              </w14:textFill>
            </w:rPr>
            <w:t>辐射防护措施</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fldChar w:fldCharType="begin"/>
          </w:r>
          <w:r>
            <w:rPr>
              <w:rFonts w:ascii="Times New Roman" w:hAnsi="Times New Roman"/>
              <w:color w:val="000000" w:themeColor="text1"/>
              <w:sz w:val="24"/>
              <w:szCs w:val="24"/>
              <w14:textFill>
                <w14:solidFill>
                  <w14:schemeClr w14:val="tx1"/>
                </w14:solidFill>
              </w14:textFill>
            </w:rPr>
            <w:instrText xml:space="preserve"> PAGEREF _Toc187653465 \h </w:instrText>
          </w:r>
          <w:r>
            <w:rPr>
              <w:rFonts w:ascii="Times New Roman" w:hAnsi="Times New Roman"/>
              <w:color w:val="000000" w:themeColor="text1"/>
              <w:sz w:val="24"/>
              <w:szCs w:val="24"/>
              <w14:textFill>
                <w14:solidFill>
                  <w14:schemeClr w14:val="tx1"/>
                </w14:solidFill>
              </w14:textFill>
            </w:rPr>
            <w:fldChar w:fldCharType="separate"/>
          </w:r>
          <w:r>
            <w:rPr>
              <w:rFonts w:ascii="Times New Roman" w:hAnsi="Times New Roman"/>
              <w:color w:val="000000" w:themeColor="text1"/>
              <w:sz w:val="24"/>
              <w:szCs w:val="24"/>
              <w14:textFill>
                <w14:solidFill>
                  <w14:schemeClr w14:val="tx1"/>
                </w14:solidFill>
              </w14:textFill>
            </w:rPr>
            <w:t>28</w:t>
          </w:r>
          <w:r>
            <w:rPr>
              <w:rFonts w:ascii="Times New Roman" w:hAnsi="Times New Roman"/>
              <w:color w:val="000000" w:themeColor="text1"/>
              <w:sz w:val="24"/>
              <w:szCs w:val="24"/>
              <w14:textFill>
                <w14:solidFill>
                  <w14:schemeClr w14:val="tx1"/>
                </w14:solidFill>
              </w14:textFill>
            </w:rPr>
            <w:fldChar w:fldCharType="end"/>
          </w:r>
          <w:r>
            <w:rPr>
              <w:rFonts w:ascii="Times New Roman" w:hAnsi="Times New Roman"/>
              <w:color w:val="000000" w:themeColor="text1"/>
              <w:sz w:val="24"/>
              <w:szCs w:val="24"/>
              <w14:textFill>
                <w14:solidFill>
                  <w14:schemeClr w14:val="tx1"/>
                </w14:solidFill>
              </w14:textFill>
            </w:rPr>
            <w:fldChar w:fldCharType="end"/>
          </w:r>
        </w:p>
        <w:p w14:paraId="4396AAF2">
          <w:pPr>
            <w:pStyle w:val="31"/>
            <w:tabs>
              <w:tab w:val="left" w:pos="480"/>
              <w:tab w:val="right" w:leader="dot" w:pos="8296"/>
            </w:tabs>
            <w:spacing w:before="0" w:after="0"/>
            <w:rPr>
              <w:rFonts w:ascii="Times New Roman" w:hAnsi="Times New Roman"/>
              <w:caps w:val="0"/>
              <w:color w:val="000000" w:themeColor="text1"/>
              <w:sz w:val="24"/>
              <w:szCs w:val="24"/>
              <w14:textFill>
                <w14:solidFill>
                  <w14:schemeClr w14:val="tx1"/>
                </w14:solidFill>
              </w14:textFill>
              <w14:ligatures w14:val="standardContextual"/>
            </w:rPr>
          </w:pPr>
          <w:r>
            <w:fldChar w:fldCharType="begin"/>
          </w:r>
          <w:r>
            <w:instrText xml:space="preserve"> HYPERLINK \l "_Toc187653466" </w:instrText>
          </w:r>
          <w:r>
            <w:fldChar w:fldCharType="separate"/>
          </w:r>
          <w:r>
            <w:rPr>
              <w:rStyle w:val="56"/>
              <w:rFonts w:ascii="Times New Roman" w:hAnsi="Times New Roman"/>
              <w:color w:val="000000" w:themeColor="text1"/>
              <w:kern w:val="44"/>
              <w:sz w:val="24"/>
              <w:szCs w:val="24"/>
              <w14:textFill>
                <w14:solidFill>
                  <w14:schemeClr w14:val="tx1"/>
                </w14:solidFill>
              </w14:textFill>
            </w:rPr>
            <w:t>3.</w:t>
          </w:r>
          <w:r>
            <w:rPr>
              <w:rFonts w:ascii="Times New Roman" w:hAnsi="Times New Roman"/>
              <w:caps w:val="0"/>
              <w:color w:val="000000" w:themeColor="text1"/>
              <w:sz w:val="24"/>
              <w:szCs w:val="24"/>
              <w14:textFill>
                <w14:solidFill>
                  <w14:schemeClr w14:val="tx1"/>
                </w14:solidFill>
              </w14:textFill>
              <w14:ligatures w14:val="standardContextual"/>
            </w:rPr>
            <w:tab/>
          </w:r>
          <w:r>
            <w:rPr>
              <w:rStyle w:val="56"/>
              <w:rFonts w:ascii="Times New Roman" w:hAnsi="Times New Roman"/>
              <w:color w:val="000000" w:themeColor="text1"/>
              <w:kern w:val="44"/>
              <w:sz w:val="24"/>
              <w:szCs w:val="24"/>
              <w14:textFill>
                <w14:solidFill>
                  <w14:schemeClr w14:val="tx1"/>
                </w14:solidFill>
              </w14:textFill>
            </w:rPr>
            <w:t>辐射环境质量现状</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fldChar w:fldCharType="begin"/>
          </w:r>
          <w:r>
            <w:rPr>
              <w:rFonts w:ascii="Times New Roman" w:hAnsi="Times New Roman"/>
              <w:color w:val="000000" w:themeColor="text1"/>
              <w:sz w:val="24"/>
              <w:szCs w:val="24"/>
              <w14:textFill>
                <w14:solidFill>
                  <w14:schemeClr w14:val="tx1"/>
                </w14:solidFill>
              </w14:textFill>
            </w:rPr>
            <w:instrText xml:space="preserve"> PAGEREF _Toc187653466 \h </w:instrText>
          </w:r>
          <w:r>
            <w:rPr>
              <w:rFonts w:ascii="Times New Roman" w:hAnsi="Times New Roman"/>
              <w:color w:val="000000" w:themeColor="text1"/>
              <w:sz w:val="24"/>
              <w:szCs w:val="24"/>
              <w14:textFill>
                <w14:solidFill>
                  <w14:schemeClr w14:val="tx1"/>
                </w14:solidFill>
              </w14:textFill>
            </w:rPr>
            <w:fldChar w:fldCharType="separate"/>
          </w:r>
          <w:r>
            <w:rPr>
              <w:rFonts w:ascii="Times New Roman" w:hAnsi="Times New Roman"/>
              <w:color w:val="000000" w:themeColor="text1"/>
              <w:sz w:val="24"/>
              <w:szCs w:val="24"/>
              <w14:textFill>
                <w14:solidFill>
                  <w14:schemeClr w14:val="tx1"/>
                </w14:solidFill>
              </w14:textFill>
            </w:rPr>
            <w:t>34</w:t>
          </w:r>
          <w:r>
            <w:rPr>
              <w:rFonts w:ascii="Times New Roman" w:hAnsi="Times New Roman"/>
              <w:color w:val="000000" w:themeColor="text1"/>
              <w:sz w:val="24"/>
              <w:szCs w:val="24"/>
              <w14:textFill>
                <w14:solidFill>
                  <w14:schemeClr w14:val="tx1"/>
                </w14:solidFill>
              </w14:textFill>
            </w:rPr>
            <w:fldChar w:fldCharType="end"/>
          </w:r>
          <w:r>
            <w:rPr>
              <w:rFonts w:ascii="Times New Roman" w:hAnsi="Times New Roman"/>
              <w:color w:val="000000" w:themeColor="text1"/>
              <w:sz w:val="24"/>
              <w:szCs w:val="24"/>
              <w14:textFill>
                <w14:solidFill>
                  <w14:schemeClr w14:val="tx1"/>
                </w14:solidFill>
              </w14:textFill>
            </w:rPr>
            <w:fldChar w:fldCharType="end"/>
          </w:r>
        </w:p>
        <w:p w14:paraId="0628D6EA">
          <w:pPr>
            <w:pStyle w:val="37"/>
            <w:tabs>
              <w:tab w:val="left" w:pos="960"/>
              <w:tab w:val="right" w:leader="dot" w:pos="8296"/>
            </w:tabs>
            <w:ind w:left="0" w:firstLine="400" w:firstLineChars="200"/>
            <w:rPr>
              <w:rFonts w:ascii="Times New Roman" w:hAnsi="Times New Roman"/>
              <w:smallCaps w:val="0"/>
              <w:color w:val="000000" w:themeColor="text1"/>
              <w:sz w:val="24"/>
              <w:szCs w:val="24"/>
              <w14:textFill>
                <w14:solidFill>
                  <w14:schemeClr w14:val="tx1"/>
                </w14:solidFill>
              </w14:textFill>
              <w14:ligatures w14:val="standardContextual"/>
            </w:rPr>
          </w:pPr>
          <w:r>
            <w:fldChar w:fldCharType="begin"/>
          </w:r>
          <w:r>
            <w:instrText xml:space="preserve"> HYPERLINK \l "_Toc187653467" </w:instrText>
          </w:r>
          <w:r>
            <w:fldChar w:fldCharType="separate"/>
          </w:r>
          <w:r>
            <w:rPr>
              <w:rStyle w:val="56"/>
              <w:rFonts w:ascii="Times New Roman" w:hAnsi="Times New Roman"/>
              <w:color w:val="000000" w:themeColor="text1"/>
              <w:sz w:val="24"/>
              <w:szCs w:val="24"/>
              <w14:textFill>
                <w14:solidFill>
                  <w14:schemeClr w14:val="tx1"/>
                </w14:solidFill>
              </w14:textFill>
            </w:rPr>
            <w:t>3.1</w:t>
          </w:r>
          <w:r>
            <w:rPr>
              <w:rFonts w:ascii="Times New Roman" w:hAnsi="Times New Roman"/>
              <w:smallCaps w:val="0"/>
              <w:color w:val="000000" w:themeColor="text1"/>
              <w:sz w:val="24"/>
              <w:szCs w:val="24"/>
              <w14:textFill>
                <w14:solidFill>
                  <w14:schemeClr w14:val="tx1"/>
                </w14:solidFill>
              </w14:textFill>
              <w14:ligatures w14:val="standardContextual"/>
            </w:rPr>
            <w:tab/>
          </w:r>
          <w:r>
            <w:rPr>
              <w:rStyle w:val="56"/>
              <w:rFonts w:ascii="Times New Roman" w:hAnsi="Times New Roman"/>
              <w:color w:val="000000" w:themeColor="text1"/>
              <w:sz w:val="24"/>
              <w:szCs w:val="24"/>
              <w14:textFill>
                <w14:solidFill>
                  <w14:schemeClr w14:val="tx1"/>
                </w14:solidFill>
              </w14:textFill>
            </w:rPr>
            <w:t>辐射环境质量现状调查</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fldChar w:fldCharType="begin"/>
          </w:r>
          <w:r>
            <w:rPr>
              <w:rFonts w:ascii="Times New Roman" w:hAnsi="Times New Roman"/>
              <w:color w:val="000000" w:themeColor="text1"/>
              <w:sz w:val="24"/>
              <w:szCs w:val="24"/>
              <w14:textFill>
                <w14:solidFill>
                  <w14:schemeClr w14:val="tx1"/>
                </w14:solidFill>
              </w14:textFill>
            </w:rPr>
            <w:instrText xml:space="preserve"> PAGEREF _Toc187653467 \h </w:instrText>
          </w:r>
          <w:r>
            <w:rPr>
              <w:rFonts w:ascii="Times New Roman" w:hAnsi="Times New Roman"/>
              <w:color w:val="000000" w:themeColor="text1"/>
              <w:sz w:val="24"/>
              <w:szCs w:val="24"/>
              <w14:textFill>
                <w14:solidFill>
                  <w14:schemeClr w14:val="tx1"/>
                </w14:solidFill>
              </w14:textFill>
            </w:rPr>
            <w:fldChar w:fldCharType="separate"/>
          </w:r>
          <w:r>
            <w:rPr>
              <w:rFonts w:ascii="Times New Roman" w:hAnsi="Times New Roman"/>
              <w:color w:val="000000" w:themeColor="text1"/>
              <w:sz w:val="24"/>
              <w:szCs w:val="24"/>
              <w14:textFill>
                <w14:solidFill>
                  <w14:schemeClr w14:val="tx1"/>
                </w14:solidFill>
              </w14:textFill>
            </w:rPr>
            <w:t>34</w:t>
          </w:r>
          <w:r>
            <w:rPr>
              <w:rFonts w:ascii="Times New Roman" w:hAnsi="Times New Roman"/>
              <w:color w:val="000000" w:themeColor="text1"/>
              <w:sz w:val="24"/>
              <w:szCs w:val="24"/>
              <w14:textFill>
                <w14:solidFill>
                  <w14:schemeClr w14:val="tx1"/>
                </w14:solidFill>
              </w14:textFill>
            </w:rPr>
            <w:fldChar w:fldCharType="end"/>
          </w:r>
          <w:r>
            <w:rPr>
              <w:rFonts w:ascii="Times New Roman" w:hAnsi="Times New Roman"/>
              <w:color w:val="000000" w:themeColor="text1"/>
              <w:sz w:val="24"/>
              <w:szCs w:val="24"/>
              <w14:textFill>
                <w14:solidFill>
                  <w14:schemeClr w14:val="tx1"/>
                </w14:solidFill>
              </w14:textFill>
            </w:rPr>
            <w:fldChar w:fldCharType="end"/>
          </w:r>
        </w:p>
        <w:p w14:paraId="67C9900B">
          <w:pPr>
            <w:pStyle w:val="37"/>
            <w:tabs>
              <w:tab w:val="left" w:pos="960"/>
              <w:tab w:val="right" w:leader="dot" w:pos="8296"/>
            </w:tabs>
            <w:ind w:left="0" w:firstLine="400" w:firstLineChars="200"/>
            <w:rPr>
              <w:rFonts w:ascii="Times New Roman" w:hAnsi="Times New Roman"/>
              <w:smallCaps w:val="0"/>
              <w:color w:val="000000" w:themeColor="text1"/>
              <w:sz w:val="24"/>
              <w:szCs w:val="24"/>
              <w14:textFill>
                <w14:solidFill>
                  <w14:schemeClr w14:val="tx1"/>
                </w14:solidFill>
              </w14:textFill>
              <w14:ligatures w14:val="standardContextual"/>
            </w:rPr>
          </w:pPr>
          <w:r>
            <w:fldChar w:fldCharType="begin"/>
          </w:r>
          <w:r>
            <w:instrText xml:space="preserve"> HYPERLINK \l "_Toc187653468" </w:instrText>
          </w:r>
          <w:r>
            <w:fldChar w:fldCharType="separate"/>
          </w:r>
          <w:r>
            <w:rPr>
              <w:rStyle w:val="56"/>
              <w:rFonts w:ascii="Times New Roman" w:hAnsi="Times New Roman"/>
              <w:color w:val="000000" w:themeColor="text1"/>
              <w:sz w:val="24"/>
              <w:szCs w:val="24"/>
              <w14:textFill>
                <w14:solidFill>
                  <w14:schemeClr w14:val="tx1"/>
                </w14:solidFill>
              </w14:textFill>
            </w:rPr>
            <w:t>3.2</w:t>
          </w:r>
          <w:r>
            <w:rPr>
              <w:rFonts w:ascii="Times New Roman" w:hAnsi="Times New Roman"/>
              <w:smallCaps w:val="0"/>
              <w:color w:val="000000" w:themeColor="text1"/>
              <w:sz w:val="24"/>
              <w:szCs w:val="24"/>
              <w14:textFill>
                <w14:solidFill>
                  <w14:schemeClr w14:val="tx1"/>
                </w14:solidFill>
              </w14:textFill>
              <w14:ligatures w14:val="standardContextual"/>
            </w:rPr>
            <w:tab/>
          </w:r>
          <w:r>
            <w:rPr>
              <w:rStyle w:val="56"/>
              <w:rFonts w:ascii="Times New Roman" w:hAnsi="Times New Roman"/>
              <w:color w:val="000000" w:themeColor="text1"/>
              <w:sz w:val="24"/>
              <w:szCs w:val="24"/>
              <w14:textFill>
                <w14:solidFill>
                  <w14:schemeClr w14:val="tx1"/>
                </w14:solidFill>
              </w14:textFill>
            </w:rPr>
            <w:t>辐射环境质量现状分析</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fldChar w:fldCharType="begin"/>
          </w:r>
          <w:r>
            <w:rPr>
              <w:rFonts w:ascii="Times New Roman" w:hAnsi="Times New Roman"/>
              <w:color w:val="000000" w:themeColor="text1"/>
              <w:sz w:val="24"/>
              <w:szCs w:val="24"/>
              <w14:textFill>
                <w14:solidFill>
                  <w14:schemeClr w14:val="tx1"/>
                </w14:solidFill>
              </w14:textFill>
            </w:rPr>
            <w:instrText xml:space="preserve"> PAGEREF _Toc187653468 \h </w:instrText>
          </w:r>
          <w:r>
            <w:rPr>
              <w:rFonts w:ascii="Times New Roman" w:hAnsi="Times New Roman"/>
              <w:color w:val="000000" w:themeColor="text1"/>
              <w:sz w:val="24"/>
              <w:szCs w:val="24"/>
              <w14:textFill>
                <w14:solidFill>
                  <w14:schemeClr w14:val="tx1"/>
                </w14:solidFill>
              </w14:textFill>
            </w:rPr>
            <w:fldChar w:fldCharType="separate"/>
          </w:r>
          <w:r>
            <w:rPr>
              <w:rFonts w:ascii="Times New Roman" w:hAnsi="Times New Roman"/>
              <w:color w:val="000000" w:themeColor="text1"/>
              <w:sz w:val="24"/>
              <w:szCs w:val="24"/>
              <w14:textFill>
                <w14:solidFill>
                  <w14:schemeClr w14:val="tx1"/>
                </w14:solidFill>
              </w14:textFill>
            </w:rPr>
            <w:t>40</w:t>
          </w:r>
          <w:r>
            <w:rPr>
              <w:rFonts w:ascii="Times New Roman" w:hAnsi="Times New Roman"/>
              <w:color w:val="000000" w:themeColor="text1"/>
              <w:sz w:val="24"/>
              <w:szCs w:val="24"/>
              <w14:textFill>
                <w14:solidFill>
                  <w14:schemeClr w14:val="tx1"/>
                </w14:solidFill>
              </w14:textFill>
            </w:rPr>
            <w:fldChar w:fldCharType="end"/>
          </w:r>
          <w:r>
            <w:rPr>
              <w:rFonts w:ascii="Times New Roman" w:hAnsi="Times New Roman"/>
              <w:color w:val="000000" w:themeColor="text1"/>
              <w:sz w:val="24"/>
              <w:szCs w:val="24"/>
              <w14:textFill>
                <w14:solidFill>
                  <w14:schemeClr w14:val="tx1"/>
                </w14:solidFill>
              </w14:textFill>
            </w:rPr>
            <w:fldChar w:fldCharType="end"/>
          </w:r>
        </w:p>
        <w:p w14:paraId="3AA7E950">
          <w:pPr>
            <w:pStyle w:val="31"/>
            <w:tabs>
              <w:tab w:val="left" w:pos="480"/>
              <w:tab w:val="right" w:leader="dot" w:pos="8296"/>
            </w:tabs>
            <w:spacing w:before="0" w:after="0"/>
            <w:rPr>
              <w:rFonts w:ascii="Times New Roman" w:hAnsi="Times New Roman"/>
              <w:caps w:val="0"/>
              <w:color w:val="000000" w:themeColor="text1"/>
              <w:sz w:val="24"/>
              <w:szCs w:val="24"/>
              <w14:textFill>
                <w14:solidFill>
                  <w14:schemeClr w14:val="tx1"/>
                </w14:solidFill>
              </w14:textFill>
              <w14:ligatures w14:val="standardContextual"/>
            </w:rPr>
          </w:pPr>
          <w:r>
            <w:fldChar w:fldCharType="begin"/>
          </w:r>
          <w:r>
            <w:instrText xml:space="preserve"> HYPERLINK \l "_Toc187653469" </w:instrText>
          </w:r>
          <w:r>
            <w:fldChar w:fldCharType="separate"/>
          </w:r>
          <w:r>
            <w:rPr>
              <w:rStyle w:val="56"/>
              <w:rFonts w:ascii="Times New Roman" w:hAnsi="Times New Roman"/>
              <w:color w:val="000000" w:themeColor="text1"/>
              <w:kern w:val="44"/>
              <w:sz w:val="24"/>
              <w:szCs w:val="24"/>
              <w14:textFill>
                <w14:solidFill>
                  <w14:schemeClr w14:val="tx1"/>
                </w14:solidFill>
              </w14:textFill>
            </w:rPr>
            <w:t>4.</w:t>
          </w:r>
          <w:r>
            <w:rPr>
              <w:rFonts w:ascii="Times New Roman" w:hAnsi="Times New Roman"/>
              <w:caps w:val="0"/>
              <w:color w:val="000000" w:themeColor="text1"/>
              <w:sz w:val="24"/>
              <w:szCs w:val="24"/>
              <w14:textFill>
                <w14:solidFill>
                  <w14:schemeClr w14:val="tx1"/>
                </w14:solidFill>
              </w14:textFill>
              <w14:ligatures w14:val="standardContextual"/>
            </w:rPr>
            <w:tab/>
          </w:r>
          <w:r>
            <w:rPr>
              <w:rStyle w:val="56"/>
              <w:rFonts w:ascii="Times New Roman" w:hAnsi="Times New Roman"/>
              <w:color w:val="000000" w:themeColor="text1"/>
              <w:kern w:val="44"/>
              <w:sz w:val="24"/>
              <w:szCs w:val="24"/>
              <w14:textFill>
                <w14:solidFill>
                  <w14:schemeClr w14:val="tx1"/>
                </w14:solidFill>
              </w14:textFill>
            </w:rPr>
            <w:t>辐射环境影响分析</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fldChar w:fldCharType="begin"/>
          </w:r>
          <w:r>
            <w:rPr>
              <w:rFonts w:ascii="Times New Roman" w:hAnsi="Times New Roman"/>
              <w:color w:val="000000" w:themeColor="text1"/>
              <w:sz w:val="24"/>
              <w:szCs w:val="24"/>
              <w14:textFill>
                <w14:solidFill>
                  <w14:schemeClr w14:val="tx1"/>
                </w14:solidFill>
              </w14:textFill>
            </w:rPr>
            <w:instrText xml:space="preserve"> PAGEREF _Toc187653469 \h </w:instrText>
          </w:r>
          <w:r>
            <w:rPr>
              <w:rFonts w:ascii="Times New Roman" w:hAnsi="Times New Roman"/>
              <w:color w:val="000000" w:themeColor="text1"/>
              <w:sz w:val="24"/>
              <w:szCs w:val="24"/>
              <w14:textFill>
                <w14:solidFill>
                  <w14:schemeClr w14:val="tx1"/>
                </w14:solidFill>
              </w14:textFill>
            </w:rPr>
            <w:fldChar w:fldCharType="separate"/>
          </w:r>
          <w:r>
            <w:rPr>
              <w:rFonts w:ascii="Times New Roman" w:hAnsi="Times New Roman"/>
              <w:color w:val="000000" w:themeColor="text1"/>
              <w:sz w:val="24"/>
              <w:szCs w:val="24"/>
              <w14:textFill>
                <w14:solidFill>
                  <w14:schemeClr w14:val="tx1"/>
                </w14:solidFill>
              </w14:textFill>
            </w:rPr>
            <w:t>42</w:t>
          </w:r>
          <w:r>
            <w:rPr>
              <w:rFonts w:ascii="Times New Roman" w:hAnsi="Times New Roman"/>
              <w:color w:val="000000" w:themeColor="text1"/>
              <w:sz w:val="24"/>
              <w:szCs w:val="24"/>
              <w14:textFill>
                <w14:solidFill>
                  <w14:schemeClr w14:val="tx1"/>
                </w14:solidFill>
              </w14:textFill>
            </w:rPr>
            <w:fldChar w:fldCharType="end"/>
          </w:r>
          <w:r>
            <w:rPr>
              <w:rFonts w:ascii="Times New Roman" w:hAnsi="Times New Roman"/>
              <w:color w:val="000000" w:themeColor="text1"/>
              <w:sz w:val="24"/>
              <w:szCs w:val="24"/>
              <w14:textFill>
                <w14:solidFill>
                  <w14:schemeClr w14:val="tx1"/>
                </w14:solidFill>
              </w14:textFill>
            </w:rPr>
            <w:fldChar w:fldCharType="end"/>
          </w:r>
        </w:p>
        <w:p w14:paraId="56AE6A71">
          <w:pPr>
            <w:pStyle w:val="37"/>
            <w:tabs>
              <w:tab w:val="left" w:pos="960"/>
              <w:tab w:val="right" w:leader="dot" w:pos="8296"/>
            </w:tabs>
            <w:ind w:left="0" w:firstLine="400" w:firstLineChars="200"/>
            <w:rPr>
              <w:rFonts w:ascii="Times New Roman" w:hAnsi="Times New Roman"/>
              <w:smallCaps w:val="0"/>
              <w:color w:val="000000" w:themeColor="text1"/>
              <w:sz w:val="24"/>
              <w:szCs w:val="24"/>
              <w14:textFill>
                <w14:solidFill>
                  <w14:schemeClr w14:val="tx1"/>
                </w14:solidFill>
              </w14:textFill>
              <w14:ligatures w14:val="standardContextual"/>
            </w:rPr>
          </w:pPr>
          <w:r>
            <w:fldChar w:fldCharType="begin"/>
          </w:r>
          <w:r>
            <w:instrText xml:space="preserve"> HYPERLINK \l "_Toc187653470" </w:instrText>
          </w:r>
          <w:r>
            <w:fldChar w:fldCharType="separate"/>
          </w:r>
          <w:r>
            <w:rPr>
              <w:rStyle w:val="56"/>
              <w:rFonts w:ascii="Times New Roman" w:hAnsi="Times New Roman"/>
              <w:color w:val="000000" w:themeColor="text1"/>
              <w:sz w:val="24"/>
              <w:szCs w:val="24"/>
              <w14:textFill>
                <w14:solidFill>
                  <w14:schemeClr w14:val="tx1"/>
                </w14:solidFill>
              </w14:textFill>
            </w:rPr>
            <w:t>4.1</w:t>
          </w:r>
          <w:r>
            <w:rPr>
              <w:rFonts w:ascii="Times New Roman" w:hAnsi="Times New Roman"/>
              <w:smallCaps w:val="0"/>
              <w:color w:val="000000" w:themeColor="text1"/>
              <w:sz w:val="24"/>
              <w:szCs w:val="24"/>
              <w14:textFill>
                <w14:solidFill>
                  <w14:schemeClr w14:val="tx1"/>
                </w14:solidFill>
              </w14:textFill>
              <w14:ligatures w14:val="standardContextual"/>
            </w:rPr>
            <w:tab/>
          </w:r>
          <w:r>
            <w:rPr>
              <w:rStyle w:val="56"/>
              <w:rFonts w:ascii="Times New Roman" w:hAnsi="Times New Roman"/>
              <w:color w:val="000000" w:themeColor="text1"/>
              <w:sz w:val="24"/>
              <w:szCs w:val="24"/>
              <w14:textFill>
                <w14:solidFill>
                  <w14:schemeClr w14:val="tx1"/>
                </w14:solidFill>
              </w14:textFill>
            </w:rPr>
            <w:t>厂址特征参数</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fldChar w:fldCharType="begin"/>
          </w:r>
          <w:r>
            <w:rPr>
              <w:rFonts w:ascii="Times New Roman" w:hAnsi="Times New Roman"/>
              <w:color w:val="000000" w:themeColor="text1"/>
              <w:sz w:val="24"/>
              <w:szCs w:val="24"/>
              <w14:textFill>
                <w14:solidFill>
                  <w14:schemeClr w14:val="tx1"/>
                </w14:solidFill>
              </w14:textFill>
            </w:rPr>
            <w:instrText xml:space="preserve"> PAGEREF _Toc187653470 \h </w:instrText>
          </w:r>
          <w:r>
            <w:rPr>
              <w:rFonts w:ascii="Times New Roman" w:hAnsi="Times New Roman"/>
              <w:color w:val="000000" w:themeColor="text1"/>
              <w:sz w:val="24"/>
              <w:szCs w:val="24"/>
              <w14:textFill>
                <w14:solidFill>
                  <w14:schemeClr w14:val="tx1"/>
                </w14:solidFill>
              </w14:textFill>
            </w:rPr>
            <w:fldChar w:fldCharType="separate"/>
          </w:r>
          <w:r>
            <w:rPr>
              <w:rFonts w:ascii="Times New Roman" w:hAnsi="Times New Roman"/>
              <w:color w:val="000000" w:themeColor="text1"/>
              <w:sz w:val="24"/>
              <w:szCs w:val="24"/>
              <w14:textFill>
                <w14:solidFill>
                  <w14:schemeClr w14:val="tx1"/>
                </w14:solidFill>
              </w14:textFill>
            </w:rPr>
            <w:t>42</w:t>
          </w:r>
          <w:r>
            <w:rPr>
              <w:rFonts w:ascii="Times New Roman" w:hAnsi="Times New Roman"/>
              <w:color w:val="000000" w:themeColor="text1"/>
              <w:sz w:val="24"/>
              <w:szCs w:val="24"/>
              <w14:textFill>
                <w14:solidFill>
                  <w14:schemeClr w14:val="tx1"/>
                </w14:solidFill>
              </w14:textFill>
            </w:rPr>
            <w:fldChar w:fldCharType="end"/>
          </w:r>
          <w:r>
            <w:rPr>
              <w:rFonts w:ascii="Times New Roman" w:hAnsi="Times New Roman"/>
              <w:color w:val="000000" w:themeColor="text1"/>
              <w:sz w:val="24"/>
              <w:szCs w:val="24"/>
              <w14:textFill>
                <w14:solidFill>
                  <w14:schemeClr w14:val="tx1"/>
                </w14:solidFill>
              </w14:textFill>
            </w:rPr>
            <w:fldChar w:fldCharType="end"/>
          </w:r>
        </w:p>
        <w:p w14:paraId="7C365CB8">
          <w:pPr>
            <w:pStyle w:val="37"/>
            <w:tabs>
              <w:tab w:val="left" w:pos="960"/>
              <w:tab w:val="right" w:leader="dot" w:pos="8296"/>
            </w:tabs>
            <w:ind w:left="0" w:firstLine="400" w:firstLineChars="200"/>
            <w:rPr>
              <w:rFonts w:ascii="Times New Roman" w:hAnsi="Times New Roman"/>
              <w:smallCaps w:val="0"/>
              <w:color w:val="000000" w:themeColor="text1"/>
              <w:sz w:val="24"/>
              <w:szCs w:val="24"/>
              <w14:textFill>
                <w14:solidFill>
                  <w14:schemeClr w14:val="tx1"/>
                </w14:solidFill>
              </w14:textFill>
              <w14:ligatures w14:val="standardContextual"/>
            </w:rPr>
          </w:pPr>
          <w:r>
            <w:fldChar w:fldCharType="begin"/>
          </w:r>
          <w:r>
            <w:instrText xml:space="preserve"> HYPERLINK \l "_Toc187653471" </w:instrText>
          </w:r>
          <w:r>
            <w:fldChar w:fldCharType="separate"/>
          </w:r>
          <w:r>
            <w:rPr>
              <w:rStyle w:val="56"/>
              <w:rFonts w:ascii="Times New Roman" w:hAnsi="Times New Roman"/>
              <w:color w:val="000000" w:themeColor="text1"/>
              <w:sz w:val="24"/>
              <w:szCs w:val="24"/>
              <w14:textFill>
                <w14:solidFill>
                  <w14:schemeClr w14:val="tx1"/>
                </w14:solidFill>
              </w14:textFill>
            </w:rPr>
            <w:t>4.2</w:t>
          </w:r>
          <w:r>
            <w:rPr>
              <w:rFonts w:ascii="Times New Roman" w:hAnsi="Times New Roman"/>
              <w:smallCaps w:val="0"/>
              <w:color w:val="000000" w:themeColor="text1"/>
              <w:sz w:val="24"/>
              <w:szCs w:val="24"/>
              <w14:textFill>
                <w14:solidFill>
                  <w14:schemeClr w14:val="tx1"/>
                </w14:solidFill>
              </w14:textFill>
              <w14:ligatures w14:val="standardContextual"/>
            </w:rPr>
            <w:tab/>
          </w:r>
          <w:r>
            <w:rPr>
              <w:rStyle w:val="56"/>
              <w:rFonts w:ascii="Times New Roman" w:hAnsi="Times New Roman"/>
              <w:color w:val="000000" w:themeColor="text1"/>
              <w:sz w:val="24"/>
              <w:szCs w:val="24"/>
              <w14:textFill>
                <w14:solidFill>
                  <w14:schemeClr w14:val="tx1"/>
                </w14:solidFill>
              </w14:textFill>
            </w:rPr>
            <w:t>正常工况气载流出物辐射环境影响分析</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fldChar w:fldCharType="begin"/>
          </w:r>
          <w:r>
            <w:rPr>
              <w:rFonts w:ascii="Times New Roman" w:hAnsi="Times New Roman"/>
              <w:color w:val="000000" w:themeColor="text1"/>
              <w:sz w:val="24"/>
              <w:szCs w:val="24"/>
              <w14:textFill>
                <w14:solidFill>
                  <w14:schemeClr w14:val="tx1"/>
                </w14:solidFill>
              </w14:textFill>
            </w:rPr>
            <w:instrText xml:space="preserve"> PAGEREF _Toc187653471 \h </w:instrText>
          </w:r>
          <w:r>
            <w:rPr>
              <w:rFonts w:ascii="Times New Roman" w:hAnsi="Times New Roman"/>
              <w:color w:val="000000" w:themeColor="text1"/>
              <w:sz w:val="24"/>
              <w:szCs w:val="24"/>
              <w14:textFill>
                <w14:solidFill>
                  <w14:schemeClr w14:val="tx1"/>
                </w14:solidFill>
              </w14:textFill>
            </w:rPr>
            <w:fldChar w:fldCharType="separate"/>
          </w:r>
          <w:r>
            <w:rPr>
              <w:rFonts w:ascii="Times New Roman" w:hAnsi="Times New Roman"/>
              <w:color w:val="000000" w:themeColor="text1"/>
              <w:sz w:val="24"/>
              <w:szCs w:val="24"/>
              <w14:textFill>
                <w14:solidFill>
                  <w14:schemeClr w14:val="tx1"/>
                </w14:solidFill>
              </w14:textFill>
            </w:rPr>
            <w:t>46</w:t>
          </w:r>
          <w:r>
            <w:rPr>
              <w:rFonts w:ascii="Times New Roman" w:hAnsi="Times New Roman"/>
              <w:color w:val="000000" w:themeColor="text1"/>
              <w:sz w:val="24"/>
              <w:szCs w:val="24"/>
              <w14:textFill>
                <w14:solidFill>
                  <w14:schemeClr w14:val="tx1"/>
                </w14:solidFill>
              </w14:textFill>
            </w:rPr>
            <w:fldChar w:fldCharType="end"/>
          </w:r>
          <w:r>
            <w:rPr>
              <w:rFonts w:ascii="Times New Roman" w:hAnsi="Times New Roman"/>
              <w:color w:val="000000" w:themeColor="text1"/>
              <w:sz w:val="24"/>
              <w:szCs w:val="24"/>
              <w14:textFill>
                <w14:solidFill>
                  <w14:schemeClr w14:val="tx1"/>
                </w14:solidFill>
              </w14:textFill>
            </w:rPr>
            <w:fldChar w:fldCharType="end"/>
          </w:r>
        </w:p>
        <w:p w14:paraId="4C8FFFB8">
          <w:pPr>
            <w:pStyle w:val="37"/>
            <w:tabs>
              <w:tab w:val="left" w:pos="960"/>
              <w:tab w:val="right" w:leader="dot" w:pos="8296"/>
            </w:tabs>
            <w:ind w:left="0" w:firstLine="400" w:firstLineChars="200"/>
            <w:rPr>
              <w:rFonts w:ascii="Times New Roman" w:hAnsi="Times New Roman"/>
              <w:smallCaps w:val="0"/>
              <w:color w:val="000000" w:themeColor="text1"/>
              <w:sz w:val="24"/>
              <w:szCs w:val="24"/>
              <w14:textFill>
                <w14:solidFill>
                  <w14:schemeClr w14:val="tx1"/>
                </w14:solidFill>
              </w14:textFill>
              <w14:ligatures w14:val="standardContextual"/>
            </w:rPr>
          </w:pPr>
          <w:r>
            <w:fldChar w:fldCharType="begin"/>
          </w:r>
          <w:r>
            <w:instrText xml:space="preserve"> HYPERLINK \l "_Toc187653472" </w:instrText>
          </w:r>
          <w:r>
            <w:fldChar w:fldCharType="separate"/>
          </w:r>
          <w:r>
            <w:rPr>
              <w:rStyle w:val="56"/>
              <w:rFonts w:ascii="Times New Roman" w:hAnsi="Times New Roman"/>
              <w:color w:val="000000" w:themeColor="text1"/>
              <w:sz w:val="24"/>
              <w:szCs w:val="24"/>
              <w14:textFill>
                <w14:solidFill>
                  <w14:schemeClr w14:val="tx1"/>
                </w14:solidFill>
              </w14:textFill>
            </w:rPr>
            <w:t>4.3</w:t>
          </w:r>
          <w:r>
            <w:rPr>
              <w:rFonts w:ascii="Times New Roman" w:hAnsi="Times New Roman"/>
              <w:smallCaps w:val="0"/>
              <w:color w:val="000000" w:themeColor="text1"/>
              <w:sz w:val="24"/>
              <w:szCs w:val="24"/>
              <w14:textFill>
                <w14:solidFill>
                  <w14:schemeClr w14:val="tx1"/>
                </w14:solidFill>
              </w14:textFill>
              <w14:ligatures w14:val="standardContextual"/>
            </w:rPr>
            <w:tab/>
          </w:r>
          <w:r>
            <w:rPr>
              <w:rStyle w:val="56"/>
              <w:rFonts w:ascii="Times New Roman" w:hAnsi="Times New Roman"/>
              <w:color w:val="000000" w:themeColor="text1"/>
              <w:sz w:val="24"/>
              <w:szCs w:val="24"/>
              <w14:textFill>
                <w14:solidFill>
                  <w14:schemeClr w14:val="tx1"/>
                </w14:solidFill>
              </w14:textFill>
            </w:rPr>
            <w:t>正常工况地表水辐射环境影响分析</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fldChar w:fldCharType="begin"/>
          </w:r>
          <w:r>
            <w:rPr>
              <w:rFonts w:ascii="Times New Roman" w:hAnsi="Times New Roman"/>
              <w:color w:val="000000" w:themeColor="text1"/>
              <w:sz w:val="24"/>
              <w:szCs w:val="24"/>
              <w14:textFill>
                <w14:solidFill>
                  <w14:schemeClr w14:val="tx1"/>
                </w14:solidFill>
              </w14:textFill>
            </w:rPr>
            <w:instrText xml:space="preserve"> PAGEREF _Toc187653472 \h </w:instrText>
          </w:r>
          <w:r>
            <w:rPr>
              <w:rFonts w:ascii="Times New Roman" w:hAnsi="Times New Roman"/>
              <w:color w:val="000000" w:themeColor="text1"/>
              <w:sz w:val="24"/>
              <w:szCs w:val="24"/>
              <w14:textFill>
                <w14:solidFill>
                  <w14:schemeClr w14:val="tx1"/>
                </w14:solidFill>
              </w14:textFill>
            </w:rPr>
            <w:fldChar w:fldCharType="separate"/>
          </w:r>
          <w:r>
            <w:rPr>
              <w:rFonts w:ascii="Times New Roman" w:hAnsi="Times New Roman"/>
              <w:color w:val="000000" w:themeColor="text1"/>
              <w:sz w:val="24"/>
              <w:szCs w:val="24"/>
              <w14:textFill>
                <w14:solidFill>
                  <w14:schemeClr w14:val="tx1"/>
                </w14:solidFill>
              </w14:textFill>
            </w:rPr>
            <w:t>53</w:t>
          </w:r>
          <w:r>
            <w:rPr>
              <w:rFonts w:ascii="Times New Roman" w:hAnsi="Times New Roman"/>
              <w:color w:val="000000" w:themeColor="text1"/>
              <w:sz w:val="24"/>
              <w:szCs w:val="24"/>
              <w14:textFill>
                <w14:solidFill>
                  <w14:schemeClr w14:val="tx1"/>
                </w14:solidFill>
              </w14:textFill>
            </w:rPr>
            <w:fldChar w:fldCharType="end"/>
          </w:r>
          <w:r>
            <w:rPr>
              <w:rFonts w:ascii="Times New Roman" w:hAnsi="Times New Roman"/>
              <w:color w:val="000000" w:themeColor="text1"/>
              <w:sz w:val="24"/>
              <w:szCs w:val="24"/>
              <w14:textFill>
                <w14:solidFill>
                  <w14:schemeClr w14:val="tx1"/>
                </w14:solidFill>
              </w14:textFill>
            </w:rPr>
            <w:fldChar w:fldCharType="end"/>
          </w:r>
        </w:p>
        <w:p w14:paraId="4B521FDE">
          <w:pPr>
            <w:pStyle w:val="37"/>
            <w:tabs>
              <w:tab w:val="left" w:pos="960"/>
              <w:tab w:val="right" w:leader="dot" w:pos="8296"/>
            </w:tabs>
            <w:ind w:left="0" w:firstLine="400" w:firstLineChars="200"/>
            <w:rPr>
              <w:rFonts w:ascii="Times New Roman" w:hAnsi="Times New Roman"/>
              <w:smallCaps w:val="0"/>
              <w:color w:val="000000" w:themeColor="text1"/>
              <w:sz w:val="24"/>
              <w:szCs w:val="24"/>
              <w14:textFill>
                <w14:solidFill>
                  <w14:schemeClr w14:val="tx1"/>
                </w14:solidFill>
              </w14:textFill>
              <w14:ligatures w14:val="standardContextual"/>
            </w:rPr>
          </w:pPr>
          <w:r>
            <w:fldChar w:fldCharType="begin"/>
          </w:r>
          <w:r>
            <w:instrText xml:space="preserve"> HYPERLINK \l "_Toc187653473" </w:instrText>
          </w:r>
          <w:r>
            <w:fldChar w:fldCharType="separate"/>
          </w:r>
          <w:r>
            <w:rPr>
              <w:rStyle w:val="56"/>
              <w:rFonts w:ascii="Times New Roman" w:hAnsi="Times New Roman"/>
              <w:color w:val="000000" w:themeColor="text1"/>
              <w:sz w:val="24"/>
              <w:szCs w:val="24"/>
              <w14:textFill>
                <w14:solidFill>
                  <w14:schemeClr w14:val="tx1"/>
                </w14:solidFill>
              </w14:textFill>
            </w:rPr>
            <w:t>4.4</w:t>
          </w:r>
          <w:r>
            <w:rPr>
              <w:rFonts w:ascii="Times New Roman" w:hAnsi="Times New Roman"/>
              <w:smallCaps w:val="0"/>
              <w:color w:val="000000" w:themeColor="text1"/>
              <w:sz w:val="24"/>
              <w:szCs w:val="24"/>
              <w14:textFill>
                <w14:solidFill>
                  <w14:schemeClr w14:val="tx1"/>
                </w14:solidFill>
              </w14:textFill>
              <w14:ligatures w14:val="standardContextual"/>
            </w:rPr>
            <w:tab/>
          </w:r>
          <w:r>
            <w:rPr>
              <w:rStyle w:val="56"/>
              <w:rFonts w:ascii="Times New Roman" w:hAnsi="Times New Roman"/>
              <w:color w:val="000000" w:themeColor="text1"/>
              <w:sz w:val="24"/>
              <w:szCs w:val="24"/>
              <w14:textFill>
                <w14:solidFill>
                  <w14:schemeClr w14:val="tx1"/>
                </w14:solidFill>
              </w14:textFill>
            </w:rPr>
            <w:t>地下水辐射环境影响分析</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fldChar w:fldCharType="begin"/>
          </w:r>
          <w:r>
            <w:rPr>
              <w:rFonts w:ascii="Times New Roman" w:hAnsi="Times New Roman"/>
              <w:color w:val="000000" w:themeColor="text1"/>
              <w:sz w:val="24"/>
              <w:szCs w:val="24"/>
              <w14:textFill>
                <w14:solidFill>
                  <w14:schemeClr w14:val="tx1"/>
                </w14:solidFill>
              </w14:textFill>
            </w:rPr>
            <w:instrText xml:space="preserve"> PAGEREF _Toc187653473 \h </w:instrText>
          </w:r>
          <w:r>
            <w:rPr>
              <w:rFonts w:ascii="Times New Roman" w:hAnsi="Times New Roman"/>
              <w:color w:val="000000" w:themeColor="text1"/>
              <w:sz w:val="24"/>
              <w:szCs w:val="24"/>
              <w14:textFill>
                <w14:solidFill>
                  <w14:schemeClr w14:val="tx1"/>
                </w14:solidFill>
              </w14:textFill>
            </w:rPr>
            <w:fldChar w:fldCharType="separate"/>
          </w:r>
          <w:r>
            <w:rPr>
              <w:rFonts w:ascii="Times New Roman" w:hAnsi="Times New Roman"/>
              <w:color w:val="000000" w:themeColor="text1"/>
              <w:sz w:val="24"/>
              <w:szCs w:val="24"/>
              <w14:textFill>
                <w14:solidFill>
                  <w14:schemeClr w14:val="tx1"/>
                </w14:solidFill>
              </w14:textFill>
            </w:rPr>
            <w:t>53</w:t>
          </w:r>
          <w:r>
            <w:rPr>
              <w:rFonts w:ascii="Times New Roman" w:hAnsi="Times New Roman"/>
              <w:color w:val="000000" w:themeColor="text1"/>
              <w:sz w:val="24"/>
              <w:szCs w:val="24"/>
              <w14:textFill>
                <w14:solidFill>
                  <w14:schemeClr w14:val="tx1"/>
                </w14:solidFill>
              </w14:textFill>
            </w:rPr>
            <w:fldChar w:fldCharType="end"/>
          </w:r>
          <w:r>
            <w:rPr>
              <w:rFonts w:ascii="Times New Roman" w:hAnsi="Times New Roman"/>
              <w:color w:val="000000" w:themeColor="text1"/>
              <w:sz w:val="24"/>
              <w:szCs w:val="24"/>
              <w14:textFill>
                <w14:solidFill>
                  <w14:schemeClr w14:val="tx1"/>
                </w14:solidFill>
              </w14:textFill>
            </w:rPr>
            <w:fldChar w:fldCharType="end"/>
          </w:r>
        </w:p>
        <w:p w14:paraId="289D6250">
          <w:pPr>
            <w:pStyle w:val="37"/>
            <w:tabs>
              <w:tab w:val="left" w:pos="720"/>
              <w:tab w:val="right" w:leader="dot" w:pos="8296"/>
            </w:tabs>
            <w:ind w:left="0" w:firstLine="400" w:firstLineChars="200"/>
            <w:rPr>
              <w:rFonts w:ascii="Times New Roman" w:hAnsi="Times New Roman"/>
              <w:smallCaps w:val="0"/>
              <w:color w:val="000000" w:themeColor="text1"/>
              <w:sz w:val="24"/>
              <w:szCs w:val="24"/>
              <w14:textFill>
                <w14:solidFill>
                  <w14:schemeClr w14:val="tx1"/>
                </w14:solidFill>
              </w14:textFill>
              <w14:ligatures w14:val="standardContextual"/>
            </w:rPr>
          </w:pPr>
          <w:r>
            <w:fldChar w:fldCharType="begin"/>
          </w:r>
          <w:r>
            <w:instrText xml:space="preserve"> HYPERLINK \l "_Toc187653474" </w:instrText>
          </w:r>
          <w:r>
            <w:fldChar w:fldCharType="separate"/>
          </w:r>
          <w:r>
            <w:rPr>
              <w:rStyle w:val="56"/>
              <w:rFonts w:ascii="Times New Roman" w:hAnsi="Times New Roman"/>
              <w:color w:val="000000" w:themeColor="text1"/>
              <w:sz w:val="24"/>
              <w:szCs w:val="24"/>
              <w14:textFill>
                <w14:solidFill>
                  <w14:schemeClr w14:val="tx1"/>
                </w14:solidFill>
              </w14:textFill>
            </w:rPr>
            <w:t>4.5</w:t>
          </w:r>
          <w:r>
            <w:rPr>
              <w:rStyle w:val="56"/>
              <w:rFonts w:hint="eastAsia" w:ascii="Times New Roman" w:hAnsi="Times New Roman"/>
              <w:color w:val="000000" w:themeColor="text1"/>
              <w:sz w:val="24"/>
              <w:szCs w:val="24"/>
              <w14:textFill>
                <w14:solidFill>
                  <w14:schemeClr w14:val="tx1"/>
                </w14:solidFill>
              </w14:textFill>
            </w:rPr>
            <w:t xml:space="preserve">  </w:t>
          </w:r>
          <w:r>
            <w:rPr>
              <w:rStyle w:val="56"/>
              <w:rFonts w:ascii="宋体" w:hAnsi="宋体"/>
              <w:color w:val="000000" w:themeColor="text1"/>
              <w:sz w:val="24"/>
              <w:szCs w:val="24"/>
              <w14:textFill>
                <w14:solidFill>
                  <w14:schemeClr w14:val="tx1"/>
                </w14:solidFill>
              </w14:textFill>
            </w:rPr>
            <w:t>“三关键”分</w:t>
          </w:r>
          <w:r>
            <w:rPr>
              <w:rStyle w:val="56"/>
              <w:rFonts w:ascii="Times New Roman" w:hAnsi="Times New Roman"/>
              <w:color w:val="000000" w:themeColor="text1"/>
              <w:sz w:val="24"/>
              <w:szCs w:val="24"/>
              <w14:textFill>
                <w14:solidFill>
                  <w14:schemeClr w14:val="tx1"/>
                </w14:solidFill>
              </w14:textFill>
            </w:rPr>
            <w:t>析</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fldChar w:fldCharType="begin"/>
          </w:r>
          <w:r>
            <w:rPr>
              <w:rFonts w:ascii="Times New Roman" w:hAnsi="Times New Roman"/>
              <w:color w:val="000000" w:themeColor="text1"/>
              <w:sz w:val="24"/>
              <w:szCs w:val="24"/>
              <w14:textFill>
                <w14:solidFill>
                  <w14:schemeClr w14:val="tx1"/>
                </w14:solidFill>
              </w14:textFill>
            </w:rPr>
            <w:instrText xml:space="preserve"> PAGEREF _Toc187653474 \h </w:instrText>
          </w:r>
          <w:r>
            <w:rPr>
              <w:rFonts w:ascii="Times New Roman" w:hAnsi="Times New Roman"/>
              <w:color w:val="000000" w:themeColor="text1"/>
              <w:sz w:val="24"/>
              <w:szCs w:val="24"/>
              <w14:textFill>
                <w14:solidFill>
                  <w14:schemeClr w14:val="tx1"/>
                </w14:solidFill>
              </w14:textFill>
            </w:rPr>
            <w:fldChar w:fldCharType="separate"/>
          </w:r>
          <w:r>
            <w:rPr>
              <w:rFonts w:ascii="Times New Roman" w:hAnsi="Times New Roman"/>
              <w:color w:val="000000" w:themeColor="text1"/>
              <w:sz w:val="24"/>
              <w:szCs w:val="24"/>
              <w14:textFill>
                <w14:solidFill>
                  <w14:schemeClr w14:val="tx1"/>
                </w14:solidFill>
              </w14:textFill>
            </w:rPr>
            <w:t>54</w:t>
          </w:r>
          <w:r>
            <w:rPr>
              <w:rFonts w:ascii="Times New Roman" w:hAnsi="Times New Roman"/>
              <w:color w:val="000000" w:themeColor="text1"/>
              <w:sz w:val="24"/>
              <w:szCs w:val="24"/>
              <w14:textFill>
                <w14:solidFill>
                  <w14:schemeClr w14:val="tx1"/>
                </w14:solidFill>
              </w14:textFill>
            </w:rPr>
            <w:fldChar w:fldCharType="end"/>
          </w:r>
          <w:r>
            <w:rPr>
              <w:rFonts w:ascii="Times New Roman" w:hAnsi="Times New Roman"/>
              <w:color w:val="000000" w:themeColor="text1"/>
              <w:sz w:val="24"/>
              <w:szCs w:val="24"/>
              <w14:textFill>
                <w14:solidFill>
                  <w14:schemeClr w14:val="tx1"/>
                </w14:solidFill>
              </w14:textFill>
            </w:rPr>
            <w:fldChar w:fldCharType="end"/>
          </w:r>
        </w:p>
        <w:p w14:paraId="38D168A9">
          <w:pPr>
            <w:pStyle w:val="37"/>
            <w:tabs>
              <w:tab w:val="left" w:pos="960"/>
              <w:tab w:val="right" w:leader="dot" w:pos="8296"/>
            </w:tabs>
            <w:ind w:left="0" w:firstLine="400" w:firstLineChars="200"/>
            <w:rPr>
              <w:rFonts w:ascii="Times New Roman" w:hAnsi="Times New Roman"/>
              <w:smallCaps w:val="0"/>
              <w:color w:val="000000" w:themeColor="text1"/>
              <w:sz w:val="24"/>
              <w:szCs w:val="24"/>
              <w14:textFill>
                <w14:solidFill>
                  <w14:schemeClr w14:val="tx1"/>
                </w14:solidFill>
              </w14:textFill>
              <w14:ligatures w14:val="standardContextual"/>
            </w:rPr>
          </w:pPr>
          <w:r>
            <w:fldChar w:fldCharType="begin"/>
          </w:r>
          <w:r>
            <w:instrText xml:space="preserve"> HYPERLINK \l "_Toc187653475" </w:instrText>
          </w:r>
          <w:r>
            <w:fldChar w:fldCharType="separate"/>
          </w:r>
          <w:r>
            <w:rPr>
              <w:rStyle w:val="56"/>
              <w:rFonts w:ascii="Times New Roman" w:hAnsi="Times New Roman"/>
              <w:color w:val="000000" w:themeColor="text1"/>
              <w:sz w:val="24"/>
              <w:szCs w:val="24"/>
              <w14:textFill>
                <w14:solidFill>
                  <w14:schemeClr w14:val="tx1"/>
                </w14:solidFill>
              </w14:textFill>
            </w:rPr>
            <w:t>4.6</w:t>
          </w:r>
          <w:r>
            <w:rPr>
              <w:rFonts w:ascii="Times New Roman" w:hAnsi="Times New Roman"/>
              <w:smallCaps w:val="0"/>
              <w:color w:val="000000" w:themeColor="text1"/>
              <w:sz w:val="24"/>
              <w:szCs w:val="24"/>
              <w14:textFill>
                <w14:solidFill>
                  <w14:schemeClr w14:val="tx1"/>
                </w14:solidFill>
              </w14:textFill>
              <w14:ligatures w14:val="standardContextual"/>
            </w:rPr>
            <w:tab/>
          </w:r>
          <w:r>
            <w:rPr>
              <w:rStyle w:val="56"/>
              <w:rFonts w:ascii="Times New Roman" w:hAnsi="Times New Roman"/>
              <w:color w:val="000000" w:themeColor="text1"/>
              <w:sz w:val="24"/>
              <w:szCs w:val="24"/>
              <w14:textFill>
                <w14:solidFill>
                  <w14:schemeClr w14:val="tx1"/>
                </w14:solidFill>
              </w14:textFill>
            </w:rPr>
            <w:t>非正常工况辐射环境影响分析</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fldChar w:fldCharType="begin"/>
          </w:r>
          <w:r>
            <w:rPr>
              <w:rFonts w:ascii="Times New Roman" w:hAnsi="Times New Roman"/>
              <w:color w:val="000000" w:themeColor="text1"/>
              <w:sz w:val="24"/>
              <w:szCs w:val="24"/>
              <w14:textFill>
                <w14:solidFill>
                  <w14:schemeClr w14:val="tx1"/>
                </w14:solidFill>
              </w14:textFill>
            </w:rPr>
            <w:instrText xml:space="preserve"> PAGEREF _Toc187653475 \h </w:instrText>
          </w:r>
          <w:r>
            <w:rPr>
              <w:rFonts w:ascii="Times New Roman" w:hAnsi="Times New Roman"/>
              <w:color w:val="000000" w:themeColor="text1"/>
              <w:sz w:val="24"/>
              <w:szCs w:val="24"/>
              <w14:textFill>
                <w14:solidFill>
                  <w14:schemeClr w14:val="tx1"/>
                </w14:solidFill>
              </w14:textFill>
            </w:rPr>
            <w:fldChar w:fldCharType="separate"/>
          </w:r>
          <w:r>
            <w:rPr>
              <w:rFonts w:ascii="Times New Roman" w:hAnsi="Times New Roman"/>
              <w:color w:val="000000" w:themeColor="text1"/>
              <w:sz w:val="24"/>
              <w:szCs w:val="24"/>
              <w14:textFill>
                <w14:solidFill>
                  <w14:schemeClr w14:val="tx1"/>
                </w14:solidFill>
              </w14:textFill>
            </w:rPr>
            <w:t>56</w:t>
          </w:r>
          <w:r>
            <w:rPr>
              <w:rFonts w:ascii="Times New Roman" w:hAnsi="Times New Roman"/>
              <w:color w:val="000000" w:themeColor="text1"/>
              <w:sz w:val="24"/>
              <w:szCs w:val="24"/>
              <w14:textFill>
                <w14:solidFill>
                  <w14:schemeClr w14:val="tx1"/>
                </w14:solidFill>
              </w14:textFill>
            </w:rPr>
            <w:fldChar w:fldCharType="end"/>
          </w:r>
          <w:r>
            <w:rPr>
              <w:rFonts w:ascii="Times New Roman" w:hAnsi="Times New Roman"/>
              <w:color w:val="000000" w:themeColor="text1"/>
              <w:sz w:val="24"/>
              <w:szCs w:val="24"/>
              <w14:textFill>
                <w14:solidFill>
                  <w14:schemeClr w14:val="tx1"/>
                </w14:solidFill>
              </w14:textFill>
            </w:rPr>
            <w:fldChar w:fldCharType="end"/>
          </w:r>
        </w:p>
        <w:p w14:paraId="54A8EDD1">
          <w:pPr>
            <w:pStyle w:val="37"/>
            <w:tabs>
              <w:tab w:val="left" w:pos="960"/>
              <w:tab w:val="right" w:leader="dot" w:pos="8296"/>
            </w:tabs>
            <w:ind w:left="0" w:firstLine="400" w:firstLineChars="200"/>
            <w:rPr>
              <w:rFonts w:ascii="Times New Roman" w:hAnsi="Times New Roman"/>
              <w:smallCaps w:val="0"/>
              <w:color w:val="000000" w:themeColor="text1"/>
              <w:sz w:val="24"/>
              <w:szCs w:val="24"/>
              <w14:textFill>
                <w14:solidFill>
                  <w14:schemeClr w14:val="tx1"/>
                </w14:solidFill>
              </w14:textFill>
              <w14:ligatures w14:val="standardContextual"/>
            </w:rPr>
          </w:pPr>
          <w:r>
            <w:fldChar w:fldCharType="begin"/>
          </w:r>
          <w:r>
            <w:instrText xml:space="preserve"> HYPERLINK \l "_Toc187653476" </w:instrText>
          </w:r>
          <w:r>
            <w:fldChar w:fldCharType="separate"/>
          </w:r>
          <w:r>
            <w:rPr>
              <w:rStyle w:val="56"/>
              <w:rFonts w:ascii="Times New Roman" w:hAnsi="Times New Roman"/>
              <w:color w:val="000000" w:themeColor="text1"/>
              <w:sz w:val="24"/>
              <w:szCs w:val="24"/>
              <w14:textFill>
                <w14:solidFill>
                  <w14:schemeClr w14:val="tx1"/>
                </w14:solidFill>
              </w14:textFill>
            </w:rPr>
            <w:t>4.7</w:t>
          </w:r>
          <w:r>
            <w:rPr>
              <w:rFonts w:ascii="Times New Roman" w:hAnsi="Times New Roman"/>
              <w:smallCaps w:val="0"/>
              <w:color w:val="000000" w:themeColor="text1"/>
              <w:sz w:val="24"/>
              <w:szCs w:val="24"/>
              <w14:textFill>
                <w14:solidFill>
                  <w14:schemeClr w14:val="tx1"/>
                </w14:solidFill>
              </w14:textFill>
              <w14:ligatures w14:val="standardContextual"/>
            </w:rPr>
            <w:tab/>
          </w:r>
          <w:r>
            <w:rPr>
              <w:rStyle w:val="56"/>
              <w:rFonts w:ascii="Times New Roman" w:hAnsi="Times New Roman"/>
              <w:color w:val="000000" w:themeColor="text1"/>
              <w:sz w:val="24"/>
              <w:szCs w:val="24"/>
              <w14:textFill>
                <w14:solidFill>
                  <w14:schemeClr w14:val="tx1"/>
                </w14:solidFill>
              </w14:textFill>
            </w:rPr>
            <w:t>固体废物辐射环境影响分析</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fldChar w:fldCharType="begin"/>
          </w:r>
          <w:r>
            <w:rPr>
              <w:rFonts w:ascii="Times New Roman" w:hAnsi="Times New Roman"/>
              <w:color w:val="000000" w:themeColor="text1"/>
              <w:sz w:val="24"/>
              <w:szCs w:val="24"/>
              <w14:textFill>
                <w14:solidFill>
                  <w14:schemeClr w14:val="tx1"/>
                </w14:solidFill>
              </w14:textFill>
            </w:rPr>
            <w:instrText xml:space="preserve"> PAGEREF _Toc187653476 \h </w:instrText>
          </w:r>
          <w:r>
            <w:rPr>
              <w:rFonts w:ascii="Times New Roman" w:hAnsi="Times New Roman"/>
              <w:color w:val="000000" w:themeColor="text1"/>
              <w:sz w:val="24"/>
              <w:szCs w:val="24"/>
              <w14:textFill>
                <w14:solidFill>
                  <w14:schemeClr w14:val="tx1"/>
                </w14:solidFill>
              </w14:textFill>
            </w:rPr>
            <w:fldChar w:fldCharType="separate"/>
          </w:r>
          <w:r>
            <w:rPr>
              <w:rFonts w:ascii="Times New Roman" w:hAnsi="Times New Roman"/>
              <w:color w:val="000000" w:themeColor="text1"/>
              <w:sz w:val="24"/>
              <w:szCs w:val="24"/>
              <w14:textFill>
                <w14:solidFill>
                  <w14:schemeClr w14:val="tx1"/>
                </w14:solidFill>
              </w14:textFill>
            </w:rPr>
            <w:t>56</w:t>
          </w:r>
          <w:r>
            <w:rPr>
              <w:rFonts w:ascii="Times New Roman" w:hAnsi="Times New Roman"/>
              <w:color w:val="000000" w:themeColor="text1"/>
              <w:sz w:val="24"/>
              <w:szCs w:val="24"/>
              <w14:textFill>
                <w14:solidFill>
                  <w14:schemeClr w14:val="tx1"/>
                </w14:solidFill>
              </w14:textFill>
            </w:rPr>
            <w:fldChar w:fldCharType="end"/>
          </w:r>
          <w:r>
            <w:rPr>
              <w:rFonts w:ascii="Times New Roman" w:hAnsi="Times New Roman"/>
              <w:color w:val="000000" w:themeColor="text1"/>
              <w:sz w:val="24"/>
              <w:szCs w:val="24"/>
              <w14:textFill>
                <w14:solidFill>
                  <w14:schemeClr w14:val="tx1"/>
                </w14:solidFill>
              </w14:textFill>
            </w:rPr>
            <w:fldChar w:fldCharType="end"/>
          </w:r>
        </w:p>
        <w:p w14:paraId="6FB83D45">
          <w:pPr>
            <w:pStyle w:val="37"/>
            <w:tabs>
              <w:tab w:val="left" w:pos="960"/>
              <w:tab w:val="right" w:leader="dot" w:pos="8296"/>
            </w:tabs>
            <w:ind w:left="0" w:firstLine="400" w:firstLineChars="200"/>
            <w:rPr>
              <w:rFonts w:ascii="Times New Roman" w:hAnsi="Times New Roman"/>
              <w:smallCaps w:val="0"/>
              <w:color w:val="000000" w:themeColor="text1"/>
              <w:sz w:val="24"/>
              <w:szCs w:val="24"/>
              <w14:textFill>
                <w14:solidFill>
                  <w14:schemeClr w14:val="tx1"/>
                </w14:solidFill>
              </w14:textFill>
              <w14:ligatures w14:val="standardContextual"/>
            </w:rPr>
          </w:pPr>
          <w:r>
            <w:fldChar w:fldCharType="begin"/>
          </w:r>
          <w:r>
            <w:instrText xml:space="preserve"> HYPERLINK \l "_Toc187653477" </w:instrText>
          </w:r>
          <w:r>
            <w:fldChar w:fldCharType="separate"/>
          </w:r>
          <w:r>
            <w:rPr>
              <w:rStyle w:val="56"/>
              <w:rFonts w:ascii="Times New Roman" w:hAnsi="Times New Roman"/>
              <w:color w:val="000000" w:themeColor="text1"/>
              <w:sz w:val="24"/>
              <w:szCs w:val="24"/>
              <w14:textFill>
                <w14:solidFill>
                  <w14:schemeClr w14:val="tx1"/>
                </w14:solidFill>
              </w14:textFill>
            </w:rPr>
            <w:t>4.8</w:t>
          </w:r>
          <w:r>
            <w:rPr>
              <w:rFonts w:ascii="Times New Roman" w:hAnsi="Times New Roman"/>
              <w:smallCaps w:val="0"/>
              <w:color w:val="000000" w:themeColor="text1"/>
              <w:sz w:val="24"/>
              <w:szCs w:val="24"/>
              <w14:textFill>
                <w14:solidFill>
                  <w14:schemeClr w14:val="tx1"/>
                </w14:solidFill>
              </w14:textFill>
              <w14:ligatures w14:val="standardContextual"/>
            </w:rPr>
            <w:tab/>
          </w:r>
          <w:r>
            <w:rPr>
              <w:rStyle w:val="56"/>
              <w:rFonts w:ascii="Times New Roman" w:hAnsi="Times New Roman"/>
              <w:color w:val="000000" w:themeColor="text1"/>
              <w:sz w:val="24"/>
              <w:szCs w:val="24"/>
              <w14:textFill>
                <w14:solidFill>
                  <w14:schemeClr w14:val="tx1"/>
                </w14:solidFill>
              </w14:textFill>
            </w:rPr>
            <w:t>服务期满辐射环境影响分析</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fldChar w:fldCharType="begin"/>
          </w:r>
          <w:r>
            <w:rPr>
              <w:rFonts w:ascii="Times New Roman" w:hAnsi="Times New Roman"/>
              <w:color w:val="000000" w:themeColor="text1"/>
              <w:sz w:val="24"/>
              <w:szCs w:val="24"/>
              <w14:textFill>
                <w14:solidFill>
                  <w14:schemeClr w14:val="tx1"/>
                </w14:solidFill>
              </w14:textFill>
            </w:rPr>
            <w:instrText xml:space="preserve"> PAGEREF _Toc187653477 \h </w:instrText>
          </w:r>
          <w:r>
            <w:rPr>
              <w:rFonts w:ascii="Times New Roman" w:hAnsi="Times New Roman"/>
              <w:color w:val="000000" w:themeColor="text1"/>
              <w:sz w:val="24"/>
              <w:szCs w:val="24"/>
              <w14:textFill>
                <w14:solidFill>
                  <w14:schemeClr w14:val="tx1"/>
                </w14:solidFill>
              </w14:textFill>
            </w:rPr>
            <w:fldChar w:fldCharType="separate"/>
          </w:r>
          <w:r>
            <w:rPr>
              <w:rFonts w:ascii="Times New Roman" w:hAnsi="Times New Roman"/>
              <w:color w:val="000000" w:themeColor="text1"/>
              <w:sz w:val="24"/>
              <w:szCs w:val="24"/>
              <w14:textFill>
                <w14:solidFill>
                  <w14:schemeClr w14:val="tx1"/>
                </w14:solidFill>
              </w14:textFill>
            </w:rPr>
            <w:t>57</w:t>
          </w:r>
          <w:r>
            <w:rPr>
              <w:rFonts w:ascii="Times New Roman" w:hAnsi="Times New Roman"/>
              <w:color w:val="000000" w:themeColor="text1"/>
              <w:sz w:val="24"/>
              <w:szCs w:val="24"/>
              <w14:textFill>
                <w14:solidFill>
                  <w14:schemeClr w14:val="tx1"/>
                </w14:solidFill>
              </w14:textFill>
            </w:rPr>
            <w:fldChar w:fldCharType="end"/>
          </w:r>
          <w:r>
            <w:rPr>
              <w:rFonts w:ascii="Times New Roman" w:hAnsi="Times New Roman"/>
              <w:color w:val="000000" w:themeColor="text1"/>
              <w:sz w:val="24"/>
              <w:szCs w:val="24"/>
              <w14:textFill>
                <w14:solidFill>
                  <w14:schemeClr w14:val="tx1"/>
                </w14:solidFill>
              </w14:textFill>
            </w:rPr>
            <w:fldChar w:fldCharType="end"/>
          </w:r>
        </w:p>
        <w:p w14:paraId="0A1371D0">
          <w:pPr>
            <w:pStyle w:val="31"/>
            <w:tabs>
              <w:tab w:val="left" w:pos="480"/>
              <w:tab w:val="right" w:leader="dot" w:pos="8296"/>
            </w:tabs>
            <w:spacing w:before="0" w:after="0"/>
            <w:rPr>
              <w:rFonts w:ascii="Times New Roman" w:hAnsi="Times New Roman"/>
              <w:caps w:val="0"/>
              <w:color w:val="000000" w:themeColor="text1"/>
              <w:sz w:val="24"/>
              <w:szCs w:val="24"/>
              <w14:textFill>
                <w14:solidFill>
                  <w14:schemeClr w14:val="tx1"/>
                </w14:solidFill>
              </w14:textFill>
              <w14:ligatures w14:val="standardContextual"/>
            </w:rPr>
          </w:pPr>
          <w:r>
            <w:fldChar w:fldCharType="begin"/>
          </w:r>
          <w:r>
            <w:instrText xml:space="preserve"> HYPERLINK \l "_Toc187653478" </w:instrText>
          </w:r>
          <w:r>
            <w:fldChar w:fldCharType="separate"/>
          </w:r>
          <w:r>
            <w:rPr>
              <w:rStyle w:val="56"/>
              <w:rFonts w:ascii="Times New Roman" w:hAnsi="Times New Roman"/>
              <w:color w:val="000000" w:themeColor="text1"/>
              <w:kern w:val="44"/>
              <w:sz w:val="24"/>
              <w:szCs w:val="24"/>
              <w14:textFill>
                <w14:solidFill>
                  <w14:schemeClr w14:val="tx1"/>
                </w14:solidFill>
              </w14:textFill>
            </w:rPr>
            <w:t>5.</w:t>
          </w:r>
          <w:r>
            <w:rPr>
              <w:rFonts w:ascii="Times New Roman" w:hAnsi="Times New Roman"/>
              <w:caps w:val="0"/>
              <w:color w:val="000000" w:themeColor="text1"/>
              <w:sz w:val="24"/>
              <w:szCs w:val="24"/>
              <w14:textFill>
                <w14:solidFill>
                  <w14:schemeClr w14:val="tx1"/>
                </w14:solidFill>
              </w14:textFill>
              <w14:ligatures w14:val="standardContextual"/>
            </w:rPr>
            <w:tab/>
          </w:r>
          <w:r>
            <w:rPr>
              <w:rStyle w:val="56"/>
              <w:rFonts w:ascii="Times New Roman" w:hAnsi="Times New Roman"/>
              <w:color w:val="000000" w:themeColor="text1"/>
              <w:kern w:val="44"/>
              <w:sz w:val="24"/>
              <w:szCs w:val="24"/>
              <w14:textFill>
                <w14:solidFill>
                  <w14:schemeClr w14:val="tx1"/>
                </w14:solidFill>
              </w14:textFill>
            </w:rPr>
            <w:t>辐射环境管理和辐射监测</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fldChar w:fldCharType="begin"/>
          </w:r>
          <w:r>
            <w:rPr>
              <w:rFonts w:ascii="Times New Roman" w:hAnsi="Times New Roman"/>
              <w:color w:val="000000" w:themeColor="text1"/>
              <w:sz w:val="24"/>
              <w:szCs w:val="24"/>
              <w14:textFill>
                <w14:solidFill>
                  <w14:schemeClr w14:val="tx1"/>
                </w14:solidFill>
              </w14:textFill>
            </w:rPr>
            <w:instrText xml:space="preserve"> PAGEREF _Toc187653478 \h </w:instrText>
          </w:r>
          <w:r>
            <w:rPr>
              <w:rFonts w:ascii="Times New Roman" w:hAnsi="Times New Roman"/>
              <w:color w:val="000000" w:themeColor="text1"/>
              <w:sz w:val="24"/>
              <w:szCs w:val="24"/>
              <w14:textFill>
                <w14:solidFill>
                  <w14:schemeClr w14:val="tx1"/>
                </w14:solidFill>
              </w14:textFill>
            </w:rPr>
            <w:fldChar w:fldCharType="separate"/>
          </w:r>
          <w:r>
            <w:rPr>
              <w:rFonts w:ascii="Times New Roman" w:hAnsi="Times New Roman"/>
              <w:color w:val="000000" w:themeColor="text1"/>
              <w:sz w:val="24"/>
              <w:szCs w:val="24"/>
              <w14:textFill>
                <w14:solidFill>
                  <w14:schemeClr w14:val="tx1"/>
                </w14:solidFill>
              </w14:textFill>
            </w:rPr>
            <w:t>59</w:t>
          </w:r>
          <w:r>
            <w:rPr>
              <w:rFonts w:ascii="Times New Roman" w:hAnsi="Times New Roman"/>
              <w:color w:val="000000" w:themeColor="text1"/>
              <w:sz w:val="24"/>
              <w:szCs w:val="24"/>
              <w14:textFill>
                <w14:solidFill>
                  <w14:schemeClr w14:val="tx1"/>
                </w14:solidFill>
              </w14:textFill>
            </w:rPr>
            <w:fldChar w:fldCharType="end"/>
          </w:r>
          <w:r>
            <w:rPr>
              <w:rFonts w:ascii="Times New Roman" w:hAnsi="Times New Roman"/>
              <w:color w:val="000000" w:themeColor="text1"/>
              <w:sz w:val="24"/>
              <w:szCs w:val="24"/>
              <w14:textFill>
                <w14:solidFill>
                  <w14:schemeClr w14:val="tx1"/>
                </w14:solidFill>
              </w14:textFill>
            </w:rPr>
            <w:fldChar w:fldCharType="end"/>
          </w:r>
        </w:p>
        <w:p w14:paraId="2701E1DA">
          <w:pPr>
            <w:pStyle w:val="37"/>
            <w:tabs>
              <w:tab w:val="left" w:pos="960"/>
              <w:tab w:val="right" w:leader="dot" w:pos="8296"/>
            </w:tabs>
            <w:ind w:left="0" w:firstLine="400" w:firstLineChars="200"/>
            <w:rPr>
              <w:rFonts w:ascii="Times New Roman" w:hAnsi="Times New Roman"/>
              <w:smallCaps w:val="0"/>
              <w:color w:val="000000" w:themeColor="text1"/>
              <w:sz w:val="24"/>
              <w:szCs w:val="24"/>
              <w14:textFill>
                <w14:solidFill>
                  <w14:schemeClr w14:val="tx1"/>
                </w14:solidFill>
              </w14:textFill>
              <w14:ligatures w14:val="standardContextual"/>
            </w:rPr>
          </w:pPr>
          <w:r>
            <w:fldChar w:fldCharType="begin"/>
          </w:r>
          <w:r>
            <w:instrText xml:space="preserve"> HYPERLINK \l "_Toc187653479" </w:instrText>
          </w:r>
          <w:r>
            <w:fldChar w:fldCharType="separate"/>
          </w:r>
          <w:r>
            <w:rPr>
              <w:rStyle w:val="56"/>
              <w:rFonts w:ascii="Times New Roman" w:hAnsi="Times New Roman"/>
              <w:color w:val="000000" w:themeColor="text1"/>
              <w:sz w:val="24"/>
              <w:szCs w:val="24"/>
              <w14:textFill>
                <w14:solidFill>
                  <w14:schemeClr w14:val="tx1"/>
                </w14:solidFill>
              </w14:textFill>
            </w:rPr>
            <w:t>5.1</w:t>
          </w:r>
          <w:r>
            <w:rPr>
              <w:rFonts w:ascii="Times New Roman" w:hAnsi="Times New Roman"/>
              <w:smallCaps w:val="0"/>
              <w:color w:val="000000" w:themeColor="text1"/>
              <w:sz w:val="24"/>
              <w:szCs w:val="24"/>
              <w14:textFill>
                <w14:solidFill>
                  <w14:schemeClr w14:val="tx1"/>
                </w14:solidFill>
              </w14:textFill>
              <w14:ligatures w14:val="standardContextual"/>
            </w:rPr>
            <w:tab/>
          </w:r>
          <w:r>
            <w:rPr>
              <w:rStyle w:val="56"/>
              <w:rFonts w:ascii="Times New Roman" w:hAnsi="Times New Roman"/>
              <w:color w:val="000000" w:themeColor="text1"/>
              <w:sz w:val="24"/>
              <w:szCs w:val="24"/>
              <w14:textFill>
                <w14:solidFill>
                  <w14:schemeClr w14:val="tx1"/>
                </w14:solidFill>
              </w14:textFill>
            </w:rPr>
            <w:t>辐射环境管理</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fldChar w:fldCharType="begin"/>
          </w:r>
          <w:r>
            <w:rPr>
              <w:rFonts w:ascii="Times New Roman" w:hAnsi="Times New Roman"/>
              <w:color w:val="000000" w:themeColor="text1"/>
              <w:sz w:val="24"/>
              <w:szCs w:val="24"/>
              <w14:textFill>
                <w14:solidFill>
                  <w14:schemeClr w14:val="tx1"/>
                </w14:solidFill>
              </w14:textFill>
            </w:rPr>
            <w:instrText xml:space="preserve"> PAGEREF _Toc187653479 \h </w:instrText>
          </w:r>
          <w:r>
            <w:rPr>
              <w:rFonts w:ascii="Times New Roman" w:hAnsi="Times New Roman"/>
              <w:color w:val="000000" w:themeColor="text1"/>
              <w:sz w:val="24"/>
              <w:szCs w:val="24"/>
              <w14:textFill>
                <w14:solidFill>
                  <w14:schemeClr w14:val="tx1"/>
                </w14:solidFill>
              </w14:textFill>
            </w:rPr>
            <w:fldChar w:fldCharType="separate"/>
          </w:r>
          <w:r>
            <w:rPr>
              <w:rFonts w:ascii="Times New Roman" w:hAnsi="Times New Roman"/>
              <w:color w:val="000000" w:themeColor="text1"/>
              <w:sz w:val="24"/>
              <w:szCs w:val="24"/>
              <w14:textFill>
                <w14:solidFill>
                  <w14:schemeClr w14:val="tx1"/>
                </w14:solidFill>
              </w14:textFill>
            </w:rPr>
            <w:t>59</w:t>
          </w:r>
          <w:r>
            <w:rPr>
              <w:rFonts w:ascii="Times New Roman" w:hAnsi="Times New Roman"/>
              <w:color w:val="000000" w:themeColor="text1"/>
              <w:sz w:val="24"/>
              <w:szCs w:val="24"/>
              <w14:textFill>
                <w14:solidFill>
                  <w14:schemeClr w14:val="tx1"/>
                </w14:solidFill>
              </w14:textFill>
            </w:rPr>
            <w:fldChar w:fldCharType="end"/>
          </w:r>
          <w:r>
            <w:rPr>
              <w:rFonts w:ascii="Times New Roman" w:hAnsi="Times New Roman"/>
              <w:color w:val="000000" w:themeColor="text1"/>
              <w:sz w:val="24"/>
              <w:szCs w:val="24"/>
              <w14:textFill>
                <w14:solidFill>
                  <w14:schemeClr w14:val="tx1"/>
                </w14:solidFill>
              </w14:textFill>
            </w:rPr>
            <w:fldChar w:fldCharType="end"/>
          </w:r>
        </w:p>
        <w:p w14:paraId="0E421EE5">
          <w:pPr>
            <w:pStyle w:val="37"/>
            <w:tabs>
              <w:tab w:val="left" w:pos="960"/>
              <w:tab w:val="right" w:leader="dot" w:pos="8296"/>
            </w:tabs>
            <w:ind w:left="0" w:firstLine="400" w:firstLineChars="200"/>
            <w:rPr>
              <w:rFonts w:ascii="Times New Roman" w:hAnsi="Times New Roman"/>
              <w:smallCaps w:val="0"/>
              <w:color w:val="000000" w:themeColor="text1"/>
              <w:sz w:val="24"/>
              <w:szCs w:val="24"/>
              <w14:textFill>
                <w14:solidFill>
                  <w14:schemeClr w14:val="tx1"/>
                </w14:solidFill>
              </w14:textFill>
              <w14:ligatures w14:val="standardContextual"/>
            </w:rPr>
          </w:pPr>
          <w:r>
            <w:fldChar w:fldCharType="begin"/>
          </w:r>
          <w:r>
            <w:instrText xml:space="preserve"> HYPERLINK \l "_Toc187653480" </w:instrText>
          </w:r>
          <w:r>
            <w:fldChar w:fldCharType="separate"/>
          </w:r>
          <w:r>
            <w:rPr>
              <w:rStyle w:val="56"/>
              <w:rFonts w:ascii="Times New Roman" w:hAnsi="Times New Roman"/>
              <w:color w:val="000000" w:themeColor="text1"/>
              <w:sz w:val="24"/>
              <w:szCs w:val="24"/>
              <w14:textFill>
                <w14:solidFill>
                  <w14:schemeClr w14:val="tx1"/>
                </w14:solidFill>
              </w14:textFill>
            </w:rPr>
            <w:t>5.2</w:t>
          </w:r>
          <w:r>
            <w:rPr>
              <w:rFonts w:ascii="Times New Roman" w:hAnsi="Times New Roman"/>
              <w:smallCaps w:val="0"/>
              <w:color w:val="000000" w:themeColor="text1"/>
              <w:sz w:val="24"/>
              <w:szCs w:val="24"/>
              <w14:textFill>
                <w14:solidFill>
                  <w14:schemeClr w14:val="tx1"/>
                </w14:solidFill>
              </w14:textFill>
              <w14:ligatures w14:val="standardContextual"/>
            </w:rPr>
            <w:tab/>
          </w:r>
          <w:r>
            <w:rPr>
              <w:rStyle w:val="56"/>
              <w:rFonts w:ascii="Times New Roman" w:hAnsi="Times New Roman"/>
              <w:color w:val="000000" w:themeColor="text1"/>
              <w:sz w:val="24"/>
              <w:szCs w:val="24"/>
              <w14:textFill>
                <w14:solidFill>
                  <w14:schemeClr w14:val="tx1"/>
                </w14:solidFill>
              </w14:textFill>
            </w:rPr>
            <w:t>流出物监测</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fldChar w:fldCharType="begin"/>
          </w:r>
          <w:r>
            <w:rPr>
              <w:rFonts w:ascii="Times New Roman" w:hAnsi="Times New Roman"/>
              <w:color w:val="000000" w:themeColor="text1"/>
              <w:sz w:val="24"/>
              <w:szCs w:val="24"/>
              <w14:textFill>
                <w14:solidFill>
                  <w14:schemeClr w14:val="tx1"/>
                </w14:solidFill>
              </w14:textFill>
            </w:rPr>
            <w:instrText xml:space="preserve"> PAGEREF _Toc187653480 \h </w:instrText>
          </w:r>
          <w:r>
            <w:rPr>
              <w:rFonts w:ascii="Times New Roman" w:hAnsi="Times New Roman"/>
              <w:color w:val="000000" w:themeColor="text1"/>
              <w:sz w:val="24"/>
              <w:szCs w:val="24"/>
              <w14:textFill>
                <w14:solidFill>
                  <w14:schemeClr w14:val="tx1"/>
                </w14:solidFill>
              </w14:textFill>
            </w:rPr>
            <w:fldChar w:fldCharType="separate"/>
          </w:r>
          <w:r>
            <w:rPr>
              <w:rFonts w:ascii="Times New Roman" w:hAnsi="Times New Roman"/>
              <w:color w:val="000000" w:themeColor="text1"/>
              <w:sz w:val="24"/>
              <w:szCs w:val="24"/>
              <w14:textFill>
                <w14:solidFill>
                  <w14:schemeClr w14:val="tx1"/>
                </w14:solidFill>
              </w14:textFill>
            </w:rPr>
            <w:t>63</w:t>
          </w:r>
          <w:r>
            <w:rPr>
              <w:rFonts w:ascii="Times New Roman" w:hAnsi="Times New Roman"/>
              <w:color w:val="000000" w:themeColor="text1"/>
              <w:sz w:val="24"/>
              <w:szCs w:val="24"/>
              <w14:textFill>
                <w14:solidFill>
                  <w14:schemeClr w14:val="tx1"/>
                </w14:solidFill>
              </w14:textFill>
            </w:rPr>
            <w:fldChar w:fldCharType="end"/>
          </w:r>
          <w:r>
            <w:rPr>
              <w:rFonts w:ascii="Times New Roman" w:hAnsi="Times New Roman"/>
              <w:color w:val="000000" w:themeColor="text1"/>
              <w:sz w:val="24"/>
              <w:szCs w:val="24"/>
              <w14:textFill>
                <w14:solidFill>
                  <w14:schemeClr w14:val="tx1"/>
                </w14:solidFill>
              </w14:textFill>
            </w:rPr>
            <w:fldChar w:fldCharType="end"/>
          </w:r>
        </w:p>
        <w:p w14:paraId="19A80199">
          <w:pPr>
            <w:pStyle w:val="37"/>
            <w:tabs>
              <w:tab w:val="left" w:pos="960"/>
              <w:tab w:val="right" w:leader="dot" w:pos="8296"/>
            </w:tabs>
            <w:ind w:left="0" w:firstLine="400" w:firstLineChars="200"/>
            <w:rPr>
              <w:rFonts w:ascii="Times New Roman" w:hAnsi="Times New Roman"/>
              <w:smallCaps w:val="0"/>
              <w:color w:val="000000" w:themeColor="text1"/>
              <w:sz w:val="24"/>
              <w:szCs w:val="24"/>
              <w14:textFill>
                <w14:solidFill>
                  <w14:schemeClr w14:val="tx1"/>
                </w14:solidFill>
              </w14:textFill>
              <w14:ligatures w14:val="standardContextual"/>
            </w:rPr>
          </w:pPr>
          <w:r>
            <w:fldChar w:fldCharType="begin"/>
          </w:r>
          <w:r>
            <w:instrText xml:space="preserve"> HYPERLINK \l "_Toc187653481" </w:instrText>
          </w:r>
          <w:r>
            <w:fldChar w:fldCharType="separate"/>
          </w:r>
          <w:r>
            <w:rPr>
              <w:rStyle w:val="56"/>
              <w:rFonts w:ascii="Times New Roman" w:hAnsi="Times New Roman"/>
              <w:color w:val="000000" w:themeColor="text1"/>
              <w:sz w:val="24"/>
              <w:szCs w:val="24"/>
              <w14:textFill>
                <w14:solidFill>
                  <w14:schemeClr w14:val="tx1"/>
                </w14:solidFill>
              </w14:textFill>
            </w:rPr>
            <w:t>5.3</w:t>
          </w:r>
          <w:r>
            <w:rPr>
              <w:rFonts w:ascii="Times New Roman" w:hAnsi="Times New Roman"/>
              <w:smallCaps w:val="0"/>
              <w:color w:val="000000" w:themeColor="text1"/>
              <w:sz w:val="24"/>
              <w:szCs w:val="24"/>
              <w14:textFill>
                <w14:solidFill>
                  <w14:schemeClr w14:val="tx1"/>
                </w14:solidFill>
              </w14:textFill>
              <w14:ligatures w14:val="standardContextual"/>
            </w:rPr>
            <w:tab/>
          </w:r>
          <w:r>
            <w:rPr>
              <w:rStyle w:val="56"/>
              <w:rFonts w:ascii="Times New Roman" w:hAnsi="Times New Roman"/>
              <w:color w:val="000000" w:themeColor="text1"/>
              <w:sz w:val="24"/>
              <w:szCs w:val="24"/>
              <w14:textFill>
                <w14:solidFill>
                  <w14:schemeClr w14:val="tx1"/>
                </w14:solidFill>
              </w14:textFill>
            </w:rPr>
            <w:t>辐射环境监测</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fldChar w:fldCharType="begin"/>
          </w:r>
          <w:r>
            <w:rPr>
              <w:rFonts w:ascii="Times New Roman" w:hAnsi="Times New Roman"/>
              <w:color w:val="000000" w:themeColor="text1"/>
              <w:sz w:val="24"/>
              <w:szCs w:val="24"/>
              <w14:textFill>
                <w14:solidFill>
                  <w14:schemeClr w14:val="tx1"/>
                </w14:solidFill>
              </w14:textFill>
            </w:rPr>
            <w:instrText xml:space="preserve"> PAGEREF _Toc187653481 \h </w:instrText>
          </w:r>
          <w:r>
            <w:rPr>
              <w:rFonts w:ascii="Times New Roman" w:hAnsi="Times New Roman"/>
              <w:color w:val="000000" w:themeColor="text1"/>
              <w:sz w:val="24"/>
              <w:szCs w:val="24"/>
              <w14:textFill>
                <w14:solidFill>
                  <w14:schemeClr w14:val="tx1"/>
                </w14:solidFill>
              </w14:textFill>
            </w:rPr>
            <w:fldChar w:fldCharType="separate"/>
          </w:r>
          <w:r>
            <w:rPr>
              <w:rFonts w:ascii="Times New Roman" w:hAnsi="Times New Roman"/>
              <w:color w:val="000000" w:themeColor="text1"/>
              <w:sz w:val="24"/>
              <w:szCs w:val="24"/>
              <w14:textFill>
                <w14:solidFill>
                  <w14:schemeClr w14:val="tx1"/>
                </w14:solidFill>
              </w14:textFill>
            </w:rPr>
            <w:t>64</w:t>
          </w:r>
          <w:r>
            <w:rPr>
              <w:rFonts w:ascii="Times New Roman" w:hAnsi="Times New Roman"/>
              <w:color w:val="000000" w:themeColor="text1"/>
              <w:sz w:val="24"/>
              <w:szCs w:val="24"/>
              <w14:textFill>
                <w14:solidFill>
                  <w14:schemeClr w14:val="tx1"/>
                </w14:solidFill>
              </w14:textFill>
            </w:rPr>
            <w:fldChar w:fldCharType="end"/>
          </w:r>
          <w:r>
            <w:rPr>
              <w:rFonts w:ascii="Times New Roman" w:hAnsi="Times New Roman"/>
              <w:color w:val="000000" w:themeColor="text1"/>
              <w:sz w:val="24"/>
              <w:szCs w:val="24"/>
              <w14:textFill>
                <w14:solidFill>
                  <w14:schemeClr w14:val="tx1"/>
                </w14:solidFill>
              </w14:textFill>
            </w:rPr>
            <w:fldChar w:fldCharType="end"/>
          </w:r>
        </w:p>
        <w:p w14:paraId="5D520C38">
          <w:pPr>
            <w:pStyle w:val="37"/>
            <w:tabs>
              <w:tab w:val="left" w:pos="960"/>
              <w:tab w:val="right" w:leader="dot" w:pos="8296"/>
            </w:tabs>
            <w:ind w:left="0" w:firstLine="400" w:firstLineChars="200"/>
            <w:rPr>
              <w:rFonts w:ascii="Times New Roman" w:hAnsi="Times New Roman"/>
              <w:smallCaps w:val="0"/>
              <w:color w:val="000000" w:themeColor="text1"/>
              <w:sz w:val="24"/>
              <w:szCs w:val="24"/>
              <w14:textFill>
                <w14:solidFill>
                  <w14:schemeClr w14:val="tx1"/>
                </w14:solidFill>
              </w14:textFill>
              <w14:ligatures w14:val="standardContextual"/>
            </w:rPr>
          </w:pPr>
          <w:r>
            <w:fldChar w:fldCharType="begin"/>
          </w:r>
          <w:r>
            <w:instrText xml:space="preserve"> HYPERLINK \l "_Toc187653482" </w:instrText>
          </w:r>
          <w:r>
            <w:fldChar w:fldCharType="separate"/>
          </w:r>
          <w:r>
            <w:rPr>
              <w:rStyle w:val="56"/>
              <w:rFonts w:ascii="Times New Roman" w:hAnsi="Times New Roman"/>
              <w:color w:val="000000" w:themeColor="text1"/>
              <w:sz w:val="24"/>
              <w:szCs w:val="24"/>
              <w14:textFill>
                <w14:solidFill>
                  <w14:schemeClr w14:val="tx1"/>
                </w14:solidFill>
              </w14:textFill>
            </w:rPr>
            <w:t>5.4</w:t>
          </w:r>
          <w:r>
            <w:rPr>
              <w:rFonts w:ascii="Times New Roman" w:hAnsi="Times New Roman"/>
              <w:smallCaps w:val="0"/>
              <w:color w:val="000000" w:themeColor="text1"/>
              <w:sz w:val="24"/>
              <w:szCs w:val="24"/>
              <w14:textFill>
                <w14:solidFill>
                  <w14:schemeClr w14:val="tx1"/>
                </w14:solidFill>
              </w14:textFill>
              <w14:ligatures w14:val="standardContextual"/>
            </w:rPr>
            <w:tab/>
          </w:r>
          <w:r>
            <w:rPr>
              <w:rStyle w:val="56"/>
              <w:rFonts w:ascii="Times New Roman" w:hAnsi="Times New Roman"/>
              <w:color w:val="000000" w:themeColor="text1"/>
              <w:sz w:val="24"/>
              <w:szCs w:val="24"/>
              <w14:textFill>
                <w14:solidFill>
                  <w14:schemeClr w14:val="tx1"/>
                </w14:solidFill>
              </w14:textFill>
            </w:rPr>
            <w:t>固体废物监测</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fldChar w:fldCharType="begin"/>
          </w:r>
          <w:r>
            <w:rPr>
              <w:rFonts w:ascii="Times New Roman" w:hAnsi="Times New Roman"/>
              <w:color w:val="000000" w:themeColor="text1"/>
              <w:sz w:val="24"/>
              <w:szCs w:val="24"/>
              <w14:textFill>
                <w14:solidFill>
                  <w14:schemeClr w14:val="tx1"/>
                </w14:solidFill>
              </w14:textFill>
            </w:rPr>
            <w:instrText xml:space="preserve"> PAGEREF _Toc187653482 \h </w:instrText>
          </w:r>
          <w:r>
            <w:rPr>
              <w:rFonts w:ascii="Times New Roman" w:hAnsi="Times New Roman"/>
              <w:color w:val="000000" w:themeColor="text1"/>
              <w:sz w:val="24"/>
              <w:szCs w:val="24"/>
              <w14:textFill>
                <w14:solidFill>
                  <w14:schemeClr w14:val="tx1"/>
                </w14:solidFill>
              </w14:textFill>
            </w:rPr>
            <w:fldChar w:fldCharType="separate"/>
          </w:r>
          <w:r>
            <w:rPr>
              <w:rFonts w:ascii="Times New Roman" w:hAnsi="Times New Roman"/>
              <w:color w:val="000000" w:themeColor="text1"/>
              <w:sz w:val="24"/>
              <w:szCs w:val="24"/>
              <w14:textFill>
                <w14:solidFill>
                  <w14:schemeClr w14:val="tx1"/>
                </w14:solidFill>
              </w14:textFill>
            </w:rPr>
            <w:t>66</w:t>
          </w:r>
          <w:r>
            <w:rPr>
              <w:rFonts w:ascii="Times New Roman" w:hAnsi="Times New Roman"/>
              <w:color w:val="000000" w:themeColor="text1"/>
              <w:sz w:val="24"/>
              <w:szCs w:val="24"/>
              <w14:textFill>
                <w14:solidFill>
                  <w14:schemeClr w14:val="tx1"/>
                </w14:solidFill>
              </w14:textFill>
            </w:rPr>
            <w:fldChar w:fldCharType="end"/>
          </w:r>
          <w:r>
            <w:rPr>
              <w:rFonts w:ascii="Times New Roman" w:hAnsi="Times New Roman"/>
              <w:color w:val="000000" w:themeColor="text1"/>
              <w:sz w:val="24"/>
              <w:szCs w:val="24"/>
              <w14:textFill>
                <w14:solidFill>
                  <w14:schemeClr w14:val="tx1"/>
                </w14:solidFill>
              </w14:textFill>
            </w:rPr>
            <w:fldChar w:fldCharType="end"/>
          </w:r>
        </w:p>
        <w:p w14:paraId="2FAB9EAE">
          <w:pPr>
            <w:pStyle w:val="37"/>
            <w:tabs>
              <w:tab w:val="left" w:pos="960"/>
              <w:tab w:val="right" w:leader="dot" w:pos="8296"/>
            </w:tabs>
            <w:ind w:left="0" w:firstLine="400" w:firstLineChars="200"/>
            <w:rPr>
              <w:rFonts w:ascii="Times New Roman" w:hAnsi="Times New Roman"/>
              <w:smallCaps w:val="0"/>
              <w:color w:val="000000" w:themeColor="text1"/>
              <w:sz w:val="24"/>
              <w:szCs w:val="24"/>
              <w14:textFill>
                <w14:solidFill>
                  <w14:schemeClr w14:val="tx1"/>
                </w14:solidFill>
              </w14:textFill>
              <w14:ligatures w14:val="standardContextual"/>
            </w:rPr>
          </w:pPr>
          <w:r>
            <w:fldChar w:fldCharType="begin"/>
          </w:r>
          <w:r>
            <w:instrText xml:space="preserve"> HYPERLINK \l "_Toc187653483" </w:instrText>
          </w:r>
          <w:r>
            <w:fldChar w:fldCharType="separate"/>
          </w:r>
          <w:r>
            <w:rPr>
              <w:rStyle w:val="56"/>
              <w:rFonts w:ascii="Times New Roman" w:hAnsi="Times New Roman"/>
              <w:color w:val="000000" w:themeColor="text1"/>
              <w:sz w:val="24"/>
              <w:szCs w:val="24"/>
              <w14:textFill>
                <w14:solidFill>
                  <w14:schemeClr w14:val="tx1"/>
                </w14:solidFill>
              </w14:textFill>
            </w:rPr>
            <w:t>5.5</w:t>
          </w:r>
          <w:r>
            <w:rPr>
              <w:rFonts w:ascii="Times New Roman" w:hAnsi="Times New Roman"/>
              <w:smallCaps w:val="0"/>
              <w:color w:val="000000" w:themeColor="text1"/>
              <w:sz w:val="24"/>
              <w:szCs w:val="24"/>
              <w14:textFill>
                <w14:solidFill>
                  <w14:schemeClr w14:val="tx1"/>
                </w14:solidFill>
              </w14:textFill>
              <w14:ligatures w14:val="standardContextual"/>
            </w:rPr>
            <w:tab/>
          </w:r>
          <w:r>
            <w:rPr>
              <w:rStyle w:val="56"/>
              <w:rFonts w:ascii="Times New Roman" w:hAnsi="Times New Roman"/>
              <w:color w:val="000000" w:themeColor="text1"/>
              <w:sz w:val="24"/>
              <w:szCs w:val="24"/>
              <w14:textFill>
                <w14:solidFill>
                  <w14:schemeClr w14:val="tx1"/>
                </w14:solidFill>
              </w14:textFill>
            </w:rPr>
            <w:t>辐射环境保护竣工验收</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fldChar w:fldCharType="begin"/>
          </w:r>
          <w:r>
            <w:rPr>
              <w:rFonts w:ascii="Times New Roman" w:hAnsi="Times New Roman"/>
              <w:color w:val="000000" w:themeColor="text1"/>
              <w:sz w:val="24"/>
              <w:szCs w:val="24"/>
              <w14:textFill>
                <w14:solidFill>
                  <w14:schemeClr w14:val="tx1"/>
                </w14:solidFill>
              </w14:textFill>
            </w:rPr>
            <w:instrText xml:space="preserve"> PAGEREF _Toc187653483 \h </w:instrText>
          </w:r>
          <w:r>
            <w:rPr>
              <w:rFonts w:ascii="Times New Roman" w:hAnsi="Times New Roman"/>
              <w:color w:val="000000" w:themeColor="text1"/>
              <w:sz w:val="24"/>
              <w:szCs w:val="24"/>
              <w14:textFill>
                <w14:solidFill>
                  <w14:schemeClr w14:val="tx1"/>
                </w14:solidFill>
              </w14:textFill>
            </w:rPr>
            <w:fldChar w:fldCharType="separate"/>
          </w:r>
          <w:r>
            <w:rPr>
              <w:rFonts w:ascii="Times New Roman" w:hAnsi="Times New Roman"/>
              <w:color w:val="000000" w:themeColor="text1"/>
              <w:sz w:val="24"/>
              <w:szCs w:val="24"/>
              <w14:textFill>
                <w14:solidFill>
                  <w14:schemeClr w14:val="tx1"/>
                </w14:solidFill>
              </w14:textFill>
            </w:rPr>
            <w:t>66</w:t>
          </w:r>
          <w:r>
            <w:rPr>
              <w:rFonts w:ascii="Times New Roman" w:hAnsi="Times New Roman"/>
              <w:color w:val="000000" w:themeColor="text1"/>
              <w:sz w:val="24"/>
              <w:szCs w:val="24"/>
              <w14:textFill>
                <w14:solidFill>
                  <w14:schemeClr w14:val="tx1"/>
                </w14:solidFill>
              </w14:textFill>
            </w:rPr>
            <w:fldChar w:fldCharType="end"/>
          </w:r>
          <w:r>
            <w:rPr>
              <w:rFonts w:ascii="Times New Roman" w:hAnsi="Times New Roman"/>
              <w:color w:val="000000" w:themeColor="text1"/>
              <w:sz w:val="24"/>
              <w:szCs w:val="24"/>
              <w14:textFill>
                <w14:solidFill>
                  <w14:schemeClr w14:val="tx1"/>
                </w14:solidFill>
              </w14:textFill>
            </w:rPr>
            <w:fldChar w:fldCharType="end"/>
          </w:r>
        </w:p>
        <w:p w14:paraId="65F346FC">
          <w:pPr>
            <w:pStyle w:val="37"/>
            <w:tabs>
              <w:tab w:val="left" w:pos="960"/>
              <w:tab w:val="right" w:leader="dot" w:pos="8296"/>
            </w:tabs>
            <w:ind w:left="0" w:firstLine="400" w:firstLineChars="200"/>
            <w:rPr>
              <w:rFonts w:ascii="Times New Roman" w:hAnsi="Times New Roman"/>
              <w:smallCaps w:val="0"/>
              <w:color w:val="000000" w:themeColor="text1"/>
              <w:sz w:val="24"/>
              <w:szCs w:val="24"/>
              <w14:textFill>
                <w14:solidFill>
                  <w14:schemeClr w14:val="tx1"/>
                </w14:solidFill>
              </w14:textFill>
              <w14:ligatures w14:val="standardContextual"/>
            </w:rPr>
          </w:pPr>
          <w:r>
            <w:fldChar w:fldCharType="begin"/>
          </w:r>
          <w:r>
            <w:instrText xml:space="preserve"> HYPERLINK \l "_Toc187653484" </w:instrText>
          </w:r>
          <w:r>
            <w:fldChar w:fldCharType="separate"/>
          </w:r>
          <w:r>
            <w:rPr>
              <w:rStyle w:val="56"/>
              <w:rFonts w:ascii="Times New Roman" w:hAnsi="Times New Roman"/>
              <w:color w:val="000000" w:themeColor="text1"/>
              <w:sz w:val="24"/>
              <w:szCs w:val="24"/>
              <w14:textFill>
                <w14:solidFill>
                  <w14:schemeClr w14:val="tx1"/>
                </w14:solidFill>
              </w14:textFill>
            </w:rPr>
            <w:t>5.6</w:t>
          </w:r>
          <w:r>
            <w:rPr>
              <w:rFonts w:ascii="Times New Roman" w:hAnsi="Times New Roman"/>
              <w:smallCaps w:val="0"/>
              <w:color w:val="000000" w:themeColor="text1"/>
              <w:sz w:val="24"/>
              <w:szCs w:val="24"/>
              <w14:textFill>
                <w14:solidFill>
                  <w14:schemeClr w14:val="tx1"/>
                </w14:solidFill>
              </w14:textFill>
              <w14:ligatures w14:val="standardContextual"/>
            </w:rPr>
            <w:tab/>
          </w:r>
          <w:r>
            <w:rPr>
              <w:rStyle w:val="56"/>
              <w:rFonts w:ascii="Times New Roman" w:hAnsi="Times New Roman"/>
              <w:color w:val="000000" w:themeColor="text1"/>
              <w:sz w:val="24"/>
              <w:szCs w:val="24"/>
              <w14:textFill>
                <w14:solidFill>
                  <w14:schemeClr w14:val="tx1"/>
                </w14:solidFill>
              </w14:textFill>
            </w:rPr>
            <w:t>质量保证</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fldChar w:fldCharType="begin"/>
          </w:r>
          <w:r>
            <w:rPr>
              <w:rFonts w:ascii="Times New Roman" w:hAnsi="Times New Roman"/>
              <w:color w:val="000000" w:themeColor="text1"/>
              <w:sz w:val="24"/>
              <w:szCs w:val="24"/>
              <w14:textFill>
                <w14:solidFill>
                  <w14:schemeClr w14:val="tx1"/>
                </w14:solidFill>
              </w14:textFill>
            </w:rPr>
            <w:instrText xml:space="preserve"> PAGEREF _Toc187653484 \h </w:instrText>
          </w:r>
          <w:r>
            <w:rPr>
              <w:rFonts w:ascii="Times New Roman" w:hAnsi="Times New Roman"/>
              <w:color w:val="000000" w:themeColor="text1"/>
              <w:sz w:val="24"/>
              <w:szCs w:val="24"/>
              <w14:textFill>
                <w14:solidFill>
                  <w14:schemeClr w14:val="tx1"/>
                </w14:solidFill>
              </w14:textFill>
            </w:rPr>
            <w:fldChar w:fldCharType="separate"/>
          </w:r>
          <w:r>
            <w:rPr>
              <w:rFonts w:ascii="Times New Roman" w:hAnsi="Times New Roman"/>
              <w:color w:val="000000" w:themeColor="text1"/>
              <w:sz w:val="24"/>
              <w:szCs w:val="24"/>
              <w14:textFill>
                <w14:solidFill>
                  <w14:schemeClr w14:val="tx1"/>
                </w14:solidFill>
              </w14:textFill>
            </w:rPr>
            <w:t>66</w:t>
          </w:r>
          <w:r>
            <w:rPr>
              <w:rFonts w:ascii="Times New Roman" w:hAnsi="Times New Roman"/>
              <w:color w:val="000000" w:themeColor="text1"/>
              <w:sz w:val="24"/>
              <w:szCs w:val="24"/>
              <w14:textFill>
                <w14:solidFill>
                  <w14:schemeClr w14:val="tx1"/>
                </w14:solidFill>
              </w14:textFill>
            </w:rPr>
            <w:fldChar w:fldCharType="end"/>
          </w:r>
          <w:r>
            <w:rPr>
              <w:rFonts w:ascii="Times New Roman" w:hAnsi="Times New Roman"/>
              <w:color w:val="000000" w:themeColor="text1"/>
              <w:sz w:val="24"/>
              <w:szCs w:val="24"/>
              <w14:textFill>
                <w14:solidFill>
                  <w14:schemeClr w14:val="tx1"/>
                </w14:solidFill>
              </w14:textFill>
            </w:rPr>
            <w:fldChar w:fldCharType="end"/>
          </w:r>
        </w:p>
        <w:p w14:paraId="40F72037">
          <w:pPr>
            <w:pStyle w:val="31"/>
            <w:tabs>
              <w:tab w:val="left" w:pos="480"/>
              <w:tab w:val="right" w:leader="dot" w:pos="8296"/>
            </w:tabs>
            <w:spacing w:before="0" w:after="0"/>
            <w:rPr>
              <w:rFonts w:ascii="Times New Roman" w:hAnsi="Times New Roman"/>
              <w:caps w:val="0"/>
              <w:color w:val="000000" w:themeColor="text1"/>
              <w:sz w:val="24"/>
              <w:szCs w:val="24"/>
              <w14:textFill>
                <w14:solidFill>
                  <w14:schemeClr w14:val="tx1"/>
                </w14:solidFill>
              </w14:textFill>
              <w14:ligatures w14:val="standardContextual"/>
            </w:rPr>
          </w:pPr>
          <w:r>
            <w:fldChar w:fldCharType="begin"/>
          </w:r>
          <w:r>
            <w:instrText xml:space="preserve"> HYPERLINK \l "_Toc187653485" </w:instrText>
          </w:r>
          <w:r>
            <w:fldChar w:fldCharType="separate"/>
          </w:r>
          <w:r>
            <w:rPr>
              <w:rStyle w:val="56"/>
              <w:rFonts w:ascii="Times New Roman" w:hAnsi="Times New Roman"/>
              <w:color w:val="000000" w:themeColor="text1"/>
              <w:kern w:val="44"/>
              <w:sz w:val="24"/>
              <w:szCs w:val="24"/>
              <w14:textFill>
                <w14:solidFill>
                  <w14:schemeClr w14:val="tx1"/>
                </w14:solidFill>
              </w14:textFill>
            </w:rPr>
            <w:t>6.</w:t>
          </w:r>
          <w:r>
            <w:rPr>
              <w:rFonts w:ascii="Times New Roman" w:hAnsi="Times New Roman"/>
              <w:caps w:val="0"/>
              <w:color w:val="000000" w:themeColor="text1"/>
              <w:sz w:val="24"/>
              <w:szCs w:val="24"/>
              <w14:textFill>
                <w14:solidFill>
                  <w14:schemeClr w14:val="tx1"/>
                </w14:solidFill>
              </w14:textFill>
              <w14:ligatures w14:val="standardContextual"/>
            </w:rPr>
            <w:tab/>
          </w:r>
          <w:r>
            <w:rPr>
              <w:rStyle w:val="56"/>
              <w:rFonts w:ascii="Times New Roman" w:hAnsi="Times New Roman"/>
              <w:color w:val="000000" w:themeColor="text1"/>
              <w:kern w:val="44"/>
              <w:sz w:val="24"/>
              <w:szCs w:val="24"/>
              <w14:textFill>
                <w14:solidFill>
                  <w14:schemeClr w14:val="tx1"/>
                </w14:solidFill>
              </w14:textFill>
            </w:rPr>
            <w:t>结论与建议</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fldChar w:fldCharType="begin"/>
          </w:r>
          <w:r>
            <w:rPr>
              <w:rFonts w:ascii="Times New Roman" w:hAnsi="Times New Roman"/>
              <w:color w:val="000000" w:themeColor="text1"/>
              <w:sz w:val="24"/>
              <w:szCs w:val="24"/>
              <w14:textFill>
                <w14:solidFill>
                  <w14:schemeClr w14:val="tx1"/>
                </w14:solidFill>
              </w14:textFill>
            </w:rPr>
            <w:instrText xml:space="preserve"> PAGEREF _Toc187653485 \h </w:instrText>
          </w:r>
          <w:r>
            <w:rPr>
              <w:rFonts w:ascii="Times New Roman" w:hAnsi="Times New Roman"/>
              <w:color w:val="000000" w:themeColor="text1"/>
              <w:sz w:val="24"/>
              <w:szCs w:val="24"/>
              <w14:textFill>
                <w14:solidFill>
                  <w14:schemeClr w14:val="tx1"/>
                </w14:solidFill>
              </w14:textFill>
            </w:rPr>
            <w:fldChar w:fldCharType="separate"/>
          </w:r>
          <w:r>
            <w:rPr>
              <w:rFonts w:ascii="Times New Roman" w:hAnsi="Times New Roman"/>
              <w:color w:val="000000" w:themeColor="text1"/>
              <w:sz w:val="24"/>
              <w:szCs w:val="24"/>
              <w14:textFill>
                <w14:solidFill>
                  <w14:schemeClr w14:val="tx1"/>
                </w14:solidFill>
              </w14:textFill>
            </w:rPr>
            <w:t>68</w:t>
          </w:r>
          <w:r>
            <w:rPr>
              <w:rFonts w:ascii="Times New Roman" w:hAnsi="Times New Roman"/>
              <w:color w:val="000000" w:themeColor="text1"/>
              <w:sz w:val="24"/>
              <w:szCs w:val="24"/>
              <w14:textFill>
                <w14:solidFill>
                  <w14:schemeClr w14:val="tx1"/>
                </w14:solidFill>
              </w14:textFill>
            </w:rPr>
            <w:fldChar w:fldCharType="end"/>
          </w:r>
          <w:r>
            <w:rPr>
              <w:rFonts w:ascii="Times New Roman" w:hAnsi="Times New Roman"/>
              <w:color w:val="000000" w:themeColor="text1"/>
              <w:sz w:val="24"/>
              <w:szCs w:val="24"/>
              <w14:textFill>
                <w14:solidFill>
                  <w14:schemeClr w14:val="tx1"/>
                </w14:solidFill>
              </w14:textFill>
            </w:rPr>
            <w:fldChar w:fldCharType="end"/>
          </w:r>
        </w:p>
        <w:p w14:paraId="639BC2AF">
          <w:pPr>
            <w:pStyle w:val="37"/>
            <w:tabs>
              <w:tab w:val="left" w:pos="960"/>
              <w:tab w:val="right" w:leader="dot" w:pos="8296"/>
            </w:tabs>
            <w:ind w:left="0" w:firstLine="400" w:firstLineChars="200"/>
            <w:rPr>
              <w:rFonts w:ascii="Times New Roman" w:hAnsi="Times New Roman"/>
              <w:smallCaps w:val="0"/>
              <w:color w:val="000000" w:themeColor="text1"/>
              <w:sz w:val="24"/>
              <w:szCs w:val="24"/>
              <w14:textFill>
                <w14:solidFill>
                  <w14:schemeClr w14:val="tx1"/>
                </w14:solidFill>
              </w14:textFill>
              <w14:ligatures w14:val="standardContextual"/>
            </w:rPr>
          </w:pPr>
          <w:r>
            <w:fldChar w:fldCharType="begin"/>
          </w:r>
          <w:r>
            <w:instrText xml:space="preserve"> HYPERLINK \l "_Toc187653486" </w:instrText>
          </w:r>
          <w:r>
            <w:fldChar w:fldCharType="separate"/>
          </w:r>
          <w:r>
            <w:rPr>
              <w:rStyle w:val="56"/>
              <w:rFonts w:ascii="Times New Roman" w:hAnsi="Times New Roman"/>
              <w:color w:val="000000" w:themeColor="text1"/>
              <w:sz w:val="24"/>
              <w:szCs w:val="24"/>
              <w14:textFill>
                <w14:solidFill>
                  <w14:schemeClr w14:val="tx1"/>
                </w14:solidFill>
              </w14:textFill>
            </w:rPr>
            <w:t>6.1</w:t>
          </w:r>
          <w:r>
            <w:rPr>
              <w:rFonts w:ascii="Times New Roman" w:hAnsi="Times New Roman"/>
              <w:smallCaps w:val="0"/>
              <w:color w:val="000000" w:themeColor="text1"/>
              <w:sz w:val="24"/>
              <w:szCs w:val="24"/>
              <w14:textFill>
                <w14:solidFill>
                  <w14:schemeClr w14:val="tx1"/>
                </w14:solidFill>
              </w14:textFill>
              <w14:ligatures w14:val="standardContextual"/>
            </w:rPr>
            <w:tab/>
          </w:r>
          <w:r>
            <w:rPr>
              <w:rStyle w:val="56"/>
              <w:rFonts w:ascii="Times New Roman" w:hAnsi="Times New Roman"/>
              <w:color w:val="000000" w:themeColor="text1"/>
              <w:sz w:val="24"/>
              <w:szCs w:val="24"/>
              <w14:textFill>
                <w14:solidFill>
                  <w14:schemeClr w14:val="tx1"/>
                </w14:solidFill>
              </w14:textFill>
            </w:rPr>
            <w:t>结论</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fldChar w:fldCharType="begin"/>
          </w:r>
          <w:r>
            <w:rPr>
              <w:rFonts w:ascii="Times New Roman" w:hAnsi="Times New Roman"/>
              <w:color w:val="000000" w:themeColor="text1"/>
              <w:sz w:val="24"/>
              <w:szCs w:val="24"/>
              <w14:textFill>
                <w14:solidFill>
                  <w14:schemeClr w14:val="tx1"/>
                </w14:solidFill>
              </w14:textFill>
            </w:rPr>
            <w:instrText xml:space="preserve"> PAGEREF _Toc187653486 \h </w:instrText>
          </w:r>
          <w:r>
            <w:rPr>
              <w:rFonts w:ascii="Times New Roman" w:hAnsi="Times New Roman"/>
              <w:color w:val="000000" w:themeColor="text1"/>
              <w:sz w:val="24"/>
              <w:szCs w:val="24"/>
              <w14:textFill>
                <w14:solidFill>
                  <w14:schemeClr w14:val="tx1"/>
                </w14:solidFill>
              </w14:textFill>
            </w:rPr>
            <w:fldChar w:fldCharType="separate"/>
          </w:r>
          <w:r>
            <w:rPr>
              <w:rFonts w:ascii="Times New Roman" w:hAnsi="Times New Roman"/>
              <w:color w:val="000000" w:themeColor="text1"/>
              <w:sz w:val="24"/>
              <w:szCs w:val="24"/>
              <w14:textFill>
                <w14:solidFill>
                  <w14:schemeClr w14:val="tx1"/>
                </w14:solidFill>
              </w14:textFill>
            </w:rPr>
            <w:t>68</w:t>
          </w:r>
          <w:r>
            <w:rPr>
              <w:rFonts w:ascii="Times New Roman" w:hAnsi="Times New Roman"/>
              <w:color w:val="000000" w:themeColor="text1"/>
              <w:sz w:val="24"/>
              <w:szCs w:val="24"/>
              <w14:textFill>
                <w14:solidFill>
                  <w14:schemeClr w14:val="tx1"/>
                </w14:solidFill>
              </w14:textFill>
            </w:rPr>
            <w:fldChar w:fldCharType="end"/>
          </w:r>
          <w:r>
            <w:rPr>
              <w:rFonts w:ascii="Times New Roman" w:hAnsi="Times New Roman"/>
              <w:color w:val="000000" w:themeColor="text1"/>
              <w:sz w:val="24"/>
              <w:szCs w:val="24"/>
              <w14:textFill>
                <w14:solidFill>
                  <w14:schemeClr w14:val="tx1"/>
                </w14:solidFill>
              </w14:textFill>
            </w:rPr>
            <w:fldChar w:fldCharType="end"/>
          </w:r>
        </w:p>
        <w:p w14:paraId="69889235">
          <w:pPr>
            <w:pStyle w:val="37"/>
            <w:tabs>
              <w:tab w:val="left" w:pos="960"/>
              <w:tab w:val="right" w:leader="dot" w:pos="8296"/>
            </w:tabs>
            <w:ind w:left="0" w:firstLine="400" w:firstLineChars="200"/>
            <w:rPr>
              <w:rFonts w:ascii="Times New Roman" w:hAnsi="Times New Roman"/>
              <w:smallCaps w:val="0"/>
              <w:color w:val="000000" w:themeColor="text1"/>
              <w:sz w:val="24"/>
              <w:szCs w:val="24"/>
              <w14:textFill>
                <w14:solidFill>
                  <w14:schemeClr w14:val="tx1"/>
                </w14:solidFill>
              </w14:textFill>
              <w14:ligatures w14:val="standardContextual"/>
            </w:rPr>
          </w:pPr>
          <w:r>
            <w:fldChar w:fldCharType="begin"/>
          </w:r>
          <w:r>
            <w:instrText xml:space="preserve"> HYPERLINK \l "_Toc187653487" </w:instrText>
          </w:r>
          <w:r>
            <w:fldChar w:fldCharType="separate"/>
          </w:r>
          <w:r>
            <w:rPr>
              <w:rStyle w:val="56"/>
              <w:rFonts w:ascii="Times New Roman" w:hAnsi="Times New Roman"/>
              <w:color w:val="000000" w:themeColor="text1"/>
              <w:sz w:val="24"/>
              <w:szCs w:val="24"/>
              <w14:textFill>
                <w14:solidFill>
                  <w14:schemeClr w14:val="tx1"/>
                </w14:solidFill>
              </w14:textFill>
            </w:rPr>
            <w:t>6.2</w:t>
          </w:r>
          <w:r>
            <w:rPr>
              <w:rFonts w:ascii="Times New Roman" w:hAnsi="Times New Roman"/>
              <w:smallCaps w:val="0"/>
              <w:color w:val="000000" w:themeColor="text1"/>
              <w:sz w:val="24"/>
              <w:szCs w:val="24"/>
              <w14:textFill>
                <w14:solidFill>
                  <w14:schemeClr w14:val="tx1"/>
                </w14:solidFill>
              </w14:textFill>
              <w14:ligatures w14:val="standardContextual"/>
            </w:rPr>
            <w:tab/>
          </w:r>
          <w:r>
            <w:rPr>
              <w:rStyle w:val="56"/>
              <w:rFonts w:ascii="Times New Roman" w:hAnsi="Times New Roman"/>
              <w:color w:val="000000" w:themeColor="text1"/>
              <w:sz w:val="24"/>
              <w:szCs w:val="24"/>
              <w14:textFill>
                <w14:solidFill>
                  <w14:schemeClr w14:val="tx1"/>
                </w14:solidFill>
              </w14:textFill>
            </w:rPr>
            <w:t>存在的问题和建议</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fldChar w:fldCharType="begin"/>
          </w:r>
          <w:r>
            <w:rPr>
              <w:rFonts w:ascii="Times New Roman" w:hAnsi="Times New Roman"/>
              <w:color w:val="000000" w:themeColor="text1"/>
              <w:sz w:val="24"/>
              <w:szCs w:val="24"/>
              <w14:textFill>
                <w14:solidFill>
                  <w14:schemeClr w14:val="tx1"/>
                </w14:solidFill>
              </w14:textFill>
            </w:rPr>
            <w:instrText xml:space="preserve"> PAGEREF _Toc187653487 \h </w:instrText>
          </w:r>
          <w:r>
            <w:rPr>
              <w:rFonts w:ascii="Times New Roman" w:hAnsi="Times New Roman"/>
              <w:color w:val="000000" w:themeColor="text1"/>
              <w:sz w:val="24"/>
              <w:szCs w:val="24"/>
              <w14:textFill>
                <w14:solidFill>
                  <w14:schemeClr w14:val="tx1"/>
                </w14:solidFill>
              </w14:textFill>
            </w:rPr>
            <w:fldChar w:fldCharType="separate"/>
          </w:r>
          <w:r>
            <w:rPr>
              <w:rFonts w:ascii="Times New Roman" w:hAnsi="Times New Roman"/>
              <w:color w:val="000000" w:themeColor="text1"/>
              <w:sz w:val="24"/>
              <w:szCs w:val="24"/>
              <w14:textFill>
                <w14:solidFill>
                  <w14:schemeClr w14:val="tx1"/>
                </w14:solidFill>
              </w14:textFill>
            </w:rPr>
            <w:t>69</w:t>
          </w:r>
          <w:r>
            <w:rPr>
              <w:rFonts w:ascii="Times New Roman" w:hAnsi="Times New Roman"/>
              <w:color w:val="000000" w:themeColor="text1"/>
              <w:sz w:val="24"/>
              <w:szCs w:val="24"/>
              <w14:textFill>
                <w14:solidFill>
                  <w14:schemeClr w14:val="tx1"/>
                </w14:solidFill>
              </w14:textFill>
            </w:rPr>
            <w:fldChar w:fldCharType="end"/>
          </w:r>
          <w:r>
            <w:rPr>
              <w:rFonts w:ascii="Times New Roman" w:hAnsi="Times New Roman"/>
              <w:color w:val="000000" w:themeColor="text1"/>
              <w:sz w:val="24"/>
              <w:szCs w:val="24"/>
              <w14:textFill>
                <w14:solidFill>
                  <w14:schemeClr w14:val="tx1"/>
                </w14:solidFill>
              </w14:textFill>
            </w:rPr>
            <w:fldChar w:fldCharType="end"/>
          </w:r>
        </w:p>
        <w:p w14:paraId="375DE4E7">
          <w:pPr>
            <w:spacing w:after="0" w:line="360" w:lineRule="auto"/>
            <w:ind w:firstLine="480" w:firstLineChars="200"/>
            <w:rPr>
              <w:color w:val="000000" w:themeColor="text1"/>
              <w14:textFill>
                <w14:solidFill>
                  <w14:schemeClr w14:val="tx1"/>
                </w14:solidFill>
              </w14:textFill>
            </w:rPr>
          </w:pPr>
          <w:r>
            <w:rPr>
              <w:rFonts w:ascii="Times New Roman" w:hAnsi="Times New Roman" w:eastAsia="宋体" w:cs="Times New Roman"/>
              <w:caps/>
              <w:color w:val="000000" w:themeColor="text1"/>
              <w:kern w:val="2"/>
              <w:sz w:val="24"/>
              <w:szCs w:val="24"/>
              <w:lang w:val="zh-CN"/>
              <w14:textFill>
                <w14:solidFill>
                  <w14:schemeClr w14:val="tx1"/>
                </w14:solidFill>
              </w14:textFill>
            </w:rPr>
            <w:fldChar w:fldCharType="end"/>
          </w:r>
        </w:p>
      </w:sdtContent>
    </w:sdt>
    <w:p w14:paraId="04A99E6F">
      <w:pPr>
        <w:spacing w:after="0" w:line="360" w:lineRule="auto"/>
        <w:ind w:firstLine="461"/>
        <w:rPr>
          <w:rFonts w:ascii="Times New Roman" w:hAnsi="Times New Roman"/>
          <w:b/>
          <w:color w:val="000000" w:themeColor="text1"/>
          <w:spacing w:val="-2"/>
          <w:sz w:val="24"/>
          <w:szCs w:val="24"/>
          <w14:textFill>
            <w14:solidFill>
              <w14:schemeClr w14:val="tx1"/>
            </w14:solidFill>
          </w14:textFill>
        </w:rPr>
      </w:pPr>
    </w:p>
    <w:p w14:paraId="2823501B">
      <w:pPr>
        <w:tabs>
          <w:tab w:val="right" w:leader="dot" w:pos="8820"/>
        </w:tabs>
        <w:spacing w:after="0" w:line="360" w:lineRule="auto"/>
        <w:rPr>
          <w:rFonts w:ascii="Times New Roman" w:hAnsi="Times New Roman"/>
          <w:b/>
          <w:color w:val="000000" w:themeColor="text1"/>
          <w:spacing w:val="-2"/>
          <w:sz w:val="24"/>
          <w:szCs w:val="24"/>
          <w14:textFill>
            <w14:solidFill>
              <w14:schemeClr w14:val="tx1"/>
            </w14:solidFill>
          </w14:textFill>
        </w:rPr>
      </w:pPr>
      <w:r>
        <w:rPr>
          <w:rFonts w:ascii="Times New Roman" w:hAnsi="Times New Roman"/>
          <w:b/>
          <w:color w:val="000000" w:themeColor="text1"/>
          <w:spacing w:val="-2"/>
          <w:sz w:val="24"/>
          <w:szCs w:val="24"/>
          <w14:textFill>
            <w14:solidFill>
              <w14:schemeClr w14:val="tx1"/>
            </w14:solidFill>
          </w14:textFill>
        </w:rPr>
        <w:t>附图</w:t>
      </w:r>
    </w:p>
    <w:p w14:paraId="6DC4DBA5">
      <w:pPr>
        <w:spacing w:after="0" w:line="360" w:lineRule="auto"/>
        <w:ind w:firstLine="461"/>
        <w:rPr>
          <w:rFonts w:ascii="Times New Roman" w:hAnsi="Times New Roman"/>
          <w:color w:val="000000" w:themeColor="text1"/>
          <w:spacing w:val="-2"/>
          <w:sz w:val="24"/>
          <w:szCs w:val="24"/>
          <w14:textFill>
            <w14:solidFill>
              <w14:schemeClr w14:val="tx1"/>
            </w14:solidFill>
          </w14:textFill>
        </w:rPr>
      </w:pPr>
      <w:r>
        <w:rPr>
          <w:rFonts w:hint="eastAsia" w:ascii="Times New Roman" w:hAnsi="Times New Roman"/>
          <w:color w:val="000000" w:themeColor="text1"/>
          <w:spacing w:val="-2"/>
          <w:sz w:val="24"/>
          <w:szCs w:val="24"/>
          <w14:textFill>
            <w14:solidFill>
              <w14:schemeClr w14:val="tx1"/>
            </w14:solidFill>
          </w14:textFill>
        </w:rPr>
        <w:t>附图1 项目地理位置示意图</w:t>
      </w:r>
    </w:p>
    <w:p w14:paraId="342B3FDB">
      <w:pPr>
        <w:spacing w:after="0" w:line="360" w:lineRule="auto"/>
        <w:ind w:firstLine="461"/>
        <w:rPr>
          <w:rFonts w:ascii="Times New Roman" w:hAnsi="Times New Roman"/>
          <w:color w:val="000000" w:themeColor="text1"/>
          <w:spacing w:val="-2"/>
          <w:sz w:val="24"/>
          <w:szCs w:val="24"/>
          <w14:textFill>
            <w14:solidFill>
              <w14:schemeClr w14:val="tx1"/>
            </w14:solidFill>
          </w14:textFill>
        </w:rPr>
      </w:pPr>
      <w:r>
        <w:rPr>
          <w:rFonts w:hint="eastAsia" w:ascii="Times New Roman" w:hAnsi="Times New Roman"/>
          <w:color w:val="000000" w:themeColor="text1"/>
          <w:spacing w:val="-2"/>
          <w:sz w:val="24"/>
          <w:szCs w:val="24"/>
          <w14:textFill>
            <w14:solidFill>
              <w14:schemeClr w14:val="tx1"/>
            </w14:solidFill>
          </w14:textFill>
        </w:rPr>
        <w:t>附图2 项目与创大进口汽车仓储物流园总平面布置关系示意图</w:t>
      </w:r>
    </w:p>
    <w:p w14:paraId="7A3D7239">
      <w:pPr>
        <w:spacing w:after="0" w:line="360" w:lineRule="auto"/>
        <w:ind w:firstLine="461"/>
        <w:rPr>
          <w:rFonts w:ascii="Times New Roman" w:hAnsi="Times New Roman"/>
          <w:color w:val="000000" w:themeColor="text1"/>
          <w:spacing w:val="-2"/>
          <w:sz w:val="24"/>
          <w:szCs w:val="24"/>
          <w14:textFill>
            <w14:solidFill>
              <w14:schemeClr w14:val="tx1"/>
            </w14:solidFill>
          </w14:textFill>
        </w:rPr>
      </w:pPr>
      <w:r>
        <w:rPr>
          <w:rFonts w:hint="eastAsia" w:ascii="Times New Roman" w:hAnsi="Times New Roman"/>
          <w:color w:val="000000" w:themeColor="text1"/>
          <w:spacing w:val="-2"/>
          <w:sz w:val="24"/>
          <w:szCs w:val="24"/>
          <w14:textFill>
            <w14:solidFill>
              <w14:schemeClr w14:val="tx1"/>
            </w14:solidFill>
          </w14:textFill>
        </w:rPr>
        <w:t>附图3 项目车间平面布置示意图</w:t>
      </w:r>
    </w:p>
    <w:p w14:paraId="2253E15B">
      <w:pPr>
        <w:spacing w:after="0" w:line="360" w:lineRule="auto"/>
        <w:rPr>
          <w:rFonts w:ascii="Times New Roman" w:hAnsi="Times New Roman"/>
          <w:b/>
          <w:bCs/>
          <w:color w:val="000000" w:themeColor="text1"/>
          <w:spacing w:val="-2"/>
          <w:sz w:val="24"/>
          <w:szCs w:val="24"/>
          <w14:textFill>
            <w14:solidFill>
              <w14:schemeClr w14:val="tx1"/>
            </w14:solidFill>
          </w14:textFill>
        </w:rPr>
      </w:pPr>
      <w:r>
        <w:rPr>
          <w:rFonts w:ascii="Times New Roman" w:hAnsi="Times New Roman"/>
          <w:b/>
          <w:bCs/>
          <w:color w:val="000000" w:themeColor="text1"/>
          <w:spacing w:val="-2"/>
          <w:sz w:val="24"/>
          <w:szCs w:val="24"/>
          <w14:textFill>
            <w14:solidFill>
              <w14:schemeClr w14:val="tx1"/>
            </w14:solidFill>
          </w14:textFill>
        </w:rPr>
        <w:t>附件</w:t>
      </w:r>
    </w:p>
    <w:p w14:paraId="06F92239">
      <w:pPr>
        <w:spacing w:after="0" w:line="360" w:lineRule="auto"/>
        <w:ind w:firstLine="461"/>
        <w:rPr>
          <w:rFonts w:ascii="Times New Roman" w:hAnsi="Times New Roman"/>
          <w:color w:val="000000" w:themeColor="text1"/>
          <w:spacing w:val="-2"/>
          <w:sz w:val="24"/>
          <w:szCs w:val="24"/>
          <w14:textFill>
            <w14:solidFill>
              <w14:schemeClr w14:val="tx1"/>
            </w14:solidFill>
          </w14:textFill>
        </w:rPr>
      </w:pPr>
      <w:r>
        <w:rPr>
          <w:rFonts w:hint="eastAsia" w:ascii="Times New Roman" w:hAnsi="Times New Roman"/>
          <w:color w:val="000000" w:themeColor="text1"/>
          <w:spacing w:val="-2"/>
          <w:sz w:val="24"/>
          <w:szCs w:val="24"/>
          <w14:textFill>
            <w14:solidFill>
              <w14:schemeClr w14:val="tx1"/>
            </w14:solidFill>
          </w14:textFill>
        </w:rPr>
        <w:t>附件1 原料核素浓度检测报告</w:t>
      </w:r>
    </w:p>
    <w:p w14:paraId="1EA2A719">
      <w:pPr>
        <w:spacing w:after="0" w:line="360" w:lineRule="auto"/>
        <w:ind w:firstLine="461"/>
        <w:rPr>
          <w:rFonts w:ascii="Times New Roman" w:hAnsi="Times New Roman"/>
          <w:color w:val="000000" w:themeColor="text1"/>
          <w:spacing w:val="-2"/>
          <w:sz w:val="24"/>
          <w:szCs w:val="24"/>
          <w14:textFill>
            <w14:solidFill>
              <w14:schemeClr w14:val="tx1"/>
            </w14:solidFill>
          </w14:textFill>
        </w:rPr>
      </w:pPr>
    </w:p>
    <w:p w14:paraId="60F11B02">
      <w:pPr>
        <w:spacing w:after="0" w:line="360" w:lineRule="auto"/>
        <w:ind w:firstLine="461"/>
        <w:rPr>
          <w:rFonts w:ascii="Times New Roman" w:hAnsi="Times New Roman"/>
          <w:color w:val="000000" w:themeColor="text1"/>
          <w:spacing w:val="-2"/>
          <w:sz w:val="24"/>
          <w:szCs w:val="24"/>
          <w14:textFill>
            <w14:solidFill>
              <w14:schemeClr w14:val="tx1"/>
            </w14:solidFill>
          </w14:textFill>
        </w:rPr>
      </w:pPr>
    </w:p>
    <w:p w14:paraId="1CA60D05">
      <w:pPr>
        <w:spacing w:after="0" w:line="360" w:lineRule="auto"/>
        <w:ind w:firstLine="461"/>
        <w:rPr>
          <w:rFonts w:ascii="Times New Roman" w:hAnsi="Times New Roman"/>
          <w:color w:val="000000" w:themeColor="text1"/>
          <w:spacing w:val="-2"/>
          <w:sz w:val="24"/>
          <w:szCs w:val="24"/>
          <w14:textFill>
            <w14:solidFill>
              <w14:schemeClr w14:val="tx1"/>
            </w14:solidFill>
          </w14:textFill>
        </w:rPr>
      </w:pPr>
    </w:p>
    <w:p w14:paraId="294E44DF">
      <w:pPr>
        <w:spacing w:after="0" w:line="360" w:lineRule="auto"/>
        <w:ind w:firstLine="461"/>
        <w:rPr>
          <w:rFonts w:ascii="Times New Roman" w:hAnsi="Times New Roman"/>
          <w:color w:val="000000" w:themeColor="text1"/>
          <w:spacing w:val="-2"/>
          <w:sz w:val="24"/>
          <w:szCs w:val="24"/>
          <w14:textFill>
            <w14:solidFill>
              <w14:schemeClr w14:val="tx1"/>
            </w14:solidFill>
          </w14:textFill>
        </w:rPr>
      </w:pPr>
    </w:p>
    <w:p w14:paraId="3AB4E080">
      <w:pPr>
        <w:keepNext/>
        <w:keepLines/>
        <w:widowControl w:val="0"/>
        <w:spacing w:after="0" w:line="360" w:lineRule="auto"/>
        <w:jc w:val="center"/>
        <w:outlineLvl w:val="0"/>
        <w:rPr>
          <w:rFonts w:ascii="Times New Roman" w:hAnsi="Times New Roman" w:eastAsia="宋体" w:cs="Times New Roman"/>
          <w:b/>
          <w:color w:val="000000" w:themeColor="text1"/>
          <w:spacing w:val="-2"/>
          <w:kern w:val="44"/>
          <w:sz w:val="30"/>
          <w:szCs w:val="44"/>
          <w14:textFill>
            <w14:solidFill>
              <w14:schemeClr w14:val="tx1"/>
            </w14:solidFill>
          </w14:textFill>
        </w:rPr>
        <w:sectPr>
          <w:headerReference r:id="rId10" w:type="first"/>
          <w:footerReference r:id="rId12" w:type="first"/>
          <w:headerReference r:id="rId9" w:type="even"/>
          <w:footerReference r:id="rId11" w:type="even"/>
          <w:pgSz w:w="11906" w:h="16838"/>
          <w:pgMar w:top="1418" w:right="1418" w:bottom="1418" w:left="1418" w:header="851" w:footer="737" w:gutter="0"/>
          <w:cols w:space="720" w:num="1"/>
          <w:docGrid w:linePitch="323" w:charSpace="0"/>
        </w:sectPr>
      </w:pPr>
      <w:bookmarkStart w:id="0" w:name="_Toc78822630"/>
    </w:p>
    <w:p w14:paraId="48155EE6">
      <w:pPr>
        <w:keepNext/>
        <w:keepLines/>
        <w:widowControl w:val="0"/>
        <w:spacing w:after="0" w:line="360" w:lineRule="auto"/>
        <w:jc w:val="center"/>
        <w:outlineLvl w:val="0"/>
        <w:rPr>
          <w:rFonts w:ascii="Times New Roman" w:hAnsi="Times New Roman" w:eastAsia="宋体" w:cs="Times New Roman"/>
          <w:b/>
          <w:color w:val="000000" w:themeColor="text1"/>
          <w:spacing w:val="-2"/>
          <w:kern w:val="44"/>
          <w:sz w:val="30"/>
          <w:szCs w:val="44"/>
          <w14:textFill>
            <w14:solidFill>
              <w14:schemeClr w14:val="tx1"/>
            </w14:solidFill>
          </w14:textFill>
        </w:rPr>
      </w:pPr>
      <w:bookmarkStart w:id="1" w:name="_Toc187653455"/>
      <w:r>
        <w:rPr>
          <w:rFonts w:ascii="Times New Roman" w:hAnsi="Times New Roman" w:eastAsia="宋体" w:cs="Times New Roman"/>
          <w:b/>
          <w:color w:val="000000" w:themeColor="text1"/>
          <w:spacing w:val="-2"/>
          <w:kern w:val="44"/>
          <w:sz w:val="30"/>
          <w:szCs w:val="44"/>
          <w14:textFill>
            <w14:solidFill>
              <w14:schemeClr w14:val="tx1"/>
            </w14:solidFill>
          </w14:textFill>
        </w:rPr>
        <w:t>前言</w:t>
      </w:r>
      <w:bookmarkEnd w:id="0"/>
      <w:bookmarkEnd w:id="1"/>
    </w:p>
    <w:p w14:paraId="76E67392">
      <w:pPr>
        <w:widowControl w:val="0"/>
        <w:spacing w:after="0" w:line="360" w:lineRule="auto"/>
        <w:ind w:firstLine="482"/>
        <w:jc w:val="both"/>
        <w:rPr>
          <w:rFonts w:ascii="Times New Roman" w:hAnsi="Times New Roman" w:eastAsia="宋体" w:cs="Times New Roman"/>
          <w:color w:val="000000" w:themeColor="text1"/>
          <w:spacing w:val="-2"/>
          <w:sz w:val="24"/>
          <w:szCs w:val="24"/>
          <w14:textFill>
            <w14:solidFill>
              <w14:schemeClr w14:val="tx1"/>
            </w14:solidFill>
          </w14:textFill>
        </w:rPr>
      </w:pPr>
    </w:p>
    <w:p w14:paraId="01EC95F7">
      <w:pPr>
        <w:widowControl w:val="0"/>
        <w:spacing w:after="0" w:line="360" w:lineRule="auto"/>
        <w:ind w:firstLine="482"/>
        <w:jc w:val="both"/>
        <w:rPr>
          <w:rFonts w:ascii="Times New Roman" w:hAnsi="Times New Roman" w:eastAsia="宋体" w:cs="Times New Roman"/>
          <w:b/>
          <w:bCs/>
          <w:color w:val="000000" w:themeColor="text1"/>
          <w:spacing w:val="-2"/>
          <w:sz w:val="24"/>
          <w:szCs w:val="24"/>
          <w14:textFill>
            <w14:solidFill>
              <w14:schemeClr w14:val="tx1"/>
            </w14:solidFill>
          </w14:textFill>
        </w:rPr>
      </w:pPr>
      <w:r>
        <w:rPr>
          <w:rFonts w:hint="eastAsia" w:ascii="Times New Roman" w:hAnsi="Times New Roman" w:eastAsia="宋体" w:cs="Times New Roman"/>
          <w:b/>
          <w:bCs/>
          <w:color w:val="000000" w:themeColor="text1"/>
          <w:spacing w:val="-2"/>
          <w:sz w:val="24"/>
          <w:szCs w:val="24"/>
          <w14:textFill>
            <w14:solidFill>
              <w14:schemeClr w14:val="tx1"/>
            </w14:solidFill>
          </w14:textFill>
        </w:rPr>
        <w:t>一、项目背景</w:t>
      </w:r>
    </w:p>
    <w:p w14:paraId="6C41C3D3">
      <w:pPr>
        <w:widowControl w:val="0"/>
        <w:spacing w:after="0" w:line="360" w:lineRule="auto"/>
        <w:ind w:firstLine="482"/>
        <w:jc w:val="both"/>
        <w:rPr>
          <w:rFonts w:ascii="Times New Roman" w:hAnsi="Times New Roman" w:eastAsia="宋体" w:cs="Times New Roman"/>
          <w:color w:val="000000" w:themeColor="text1"/>
          <w:spacing w:val="-2"/>
          <w:sz w:val="24"/>
          <w:szCs w:val="24"/>
          <w14:textFill>
            <w14:solidFill>
              <w14:schemeClr w14:val="tx1"/>
            </w14:solidFill>
          </w14:textFill>
        </w:rPr>
      </w:pPr>
      <w:r>
        <w:rPr>
          <w:rFonts w:hint="eastAsia" w:ascii="Times New Roman" w:hAnsi="Times New Roman" w:eastAsia="宋体" w:cs="Times New Roman"/>
          <w:color w:val="000000" w:themeColor="text1"/>
          <w:spacing w:val="-2"/>
          <w:sz w:val="24"/>
          <w:szCs w:val="24"/>
          <w14:textFill>
            <w14:solidFill>
              <w14:schemeClr w14:val="tx1"/>
            </w14:solidFill>
          </w14:textFill>
        </w:rPr>
        <w:t>钛原料主要用来生产钛白（二氧化钛）、金属钛（海绵钛）、含钛钢以及焊条涂料。钛白不仅是性能优异的白色颜料，而且是重要的化工原料。它广泛用于涂料、油墨、塑料、橡胶、造纸和化纤工业。钛白涂料，色彩鲜艳，色调纯正；钛白是纸张的高级填料，使纸张薄而不透明，白度高，光泽好，强度大和光滑好用。钛白用于塑料工业，是不透明的着色剂；用于橡胶工业，使白色和浅色橡胶强度高，伸展率大，耐老化和不易褪色。它也是化学纤维的最佳消光材料，使透明的化纤</w:t>
      </w:r>
      <w:r>
        <w:rPr>
          <w:rFonts w:hint="eastAsia" w:ascii="Times New Roman" w:hAnsi="Times New Roman" w:eastAsia="宋体" w:cs="Times New Roman"/>
          <w:color w:val="000000" w:themeColor="text1"/>
          <w:spacing w:val="-2"/>
          <w:sz w:val="24"/>
          <w:szCs w:val="24"/>
          <w:lang w:eastAsia="zh-CN"/>
          <w14:textFill>
            <w14:solidFill>
              <w14:schemeClr w14:val="tx1"/>
            </w14:solidFill>
          </w14:textFill>
        </w:rPr>
        <w:t>具有</w:t>
      </w:r>
      <w:r>
        <w:rPr>
          <w:rFonts w:hint="eastAsia" w:ascii="Times New Roman" w:hAnsi="Times New Roman" w:eastAsia="宋体" w:cs="Times New Roman"/>
          <w:color w:val="000000" w:themeColor="text1"/>
          <w:spacing w:val="-2"/>
          <w:sz w:val="24"/>
          <w:szCs w:val="24"/>
          <w14:textFill>
            <w14:solidFill>
              <w14:schemeClr w14:val="tx1"/>
            </w14:solidFill>
          </w14:textFill>
        </w:rPr>
        <w:t>永久性消光效果，并可提高韧性。此外，还用于搪瓷、电器、电子原料</w:t>
      </w:r>
      <w:r>
        <w:rPr>
          <w:rFonts w:hint="eastAsia" w:ascii="Times New Roman" w:hAnsi="Times New Roman" w:eastAsia="宋体" w:cs="Times New Roman"/>
          <w:color w:val="000000" w:themeColor="text1"/>
          <w:spacing w:val="-2"/>
          <w:sz w:val="24"/>
          <w:szCs w:val="24"/>
          <w:lang w:eastAsia="zh-CN"/>
          <w14:textFill>
            <w14:solidFill>
              <w14:schemeClr w14:val="tx1"/>
            </w14:solidFill>
          </w14:textFill>
        </w:rPr>
        <w:t>等</w:t>
      </w:r>
      <w:r>
        <w:rPr>
          <w:rFonts w:hint="eastAsia" w:ascii="Times New Roman" w:hAnsi="Times New Roman" w:eastAsia="宋体" w:cs="Times New Roman"/>
          <w:color w:val="000000" w:themeColor="text1"/>
          <w:spacing w:val="-2"/>
          <w:sz w:val="24"/>
          <w:szCs w:val="24"/>
          <w14:textFill>
            <w14:solidFill>
              <w14:schemeClr w14:val="tx1"/>
            </w14:solidFill>
          </w14:textFill>
        </w:rPr>
        <w:t>方面。钛精矿经冶炼成海绵钛后，再铸锭并制成工业纯钛和钛合金钛材。钛和钛合金钛材主要用于航空和宇航部门。与合金钢相比，钛合金可使飞机重量减轻40%。其他如人造卫星外壳、飞船蒙皮、火箭发动机壳体、导弹等等，钛合金都可大显身手。非宇航部门使用工业纯钛和钛合金主要在于发电站冷凝器、接触海水装置、化学装置和一些机械工程等方面，尤其是海水淡化加热器用钛是钛工业发展中划时代事件。兵工部门将钛主要用于舰船和兵器生产。</w:t>
      </w:r>
    </w:p>
    <w:p w14:paraId="32025E1B">
      <w:pPr>
        <w:widowControl w:val="0"/>
        <w:spacing w:after="0" w:line="360" w:lineRule="auto"/>
        <w:ind w:firstLine="482"/>
        <w:jc w:val="both"/>
        <w:rPr>
          <w:rFonts w:ascii="Times New Roman" w:hAnsi="Times New Roman" w:eastAsia="宋体" w:cs="Times New Roman"/>
          <w:color w:val="000000" w:themeColor="text1"/>
          <w:spacing w:val="-2"/>
          <w:sz w:val="24"/>
          <w:szCs w:val="24"/>
          <w14:textFill>
            <w14:solidFill>
              <w14:schemeClr w14:val="tx1"/>
            </w14:solidFill>
          </w14:textFill>
        </w:rPr>
      </w:pPr>
      <w:r>
        <w:rPr>
          <w:rFonts w:ascii="Times New Roman" w:hAnsi="Times New Roman"/>
          <w:color w:val="000000" w:themeColor="text1"/>
          <w:spacing w:val="-2"/>
          <w:sz w:val="24"/>
          <w:szCs w:val="24"/>
          <w14:textFill>
            <w14:solidFill>
              <w14:schemeClr w14:val="tx1"/>
            </w14:solidFill>
          </w14:textFill>
        </w:rPr>
        <w:t>广西瑞腾贸易有限公司拟建的锆钛矿石分选加工项目，租用广西钦州保税区创大冷链物流公司进口汽车仓储物流园内的3号仓库</w:t>
      </w:r>
      <w:r>
        <w:rPr>
          <w:rFonts w:hint="eastAsia" w:ascii="Times New Roman" w:hAnsi="Times New Roman"/>
          <w:color w:val="000000" w:themeColor="text1"/>
          <w:spacing w:val="-2"/>
          <w:sz w:val="24"/>
          <w:szCs w:val="24"/>
          <w14:textFill>
            <w14:solidFill>
              <w14:schemeClr w14:val="tx1"/>
            </w14:solidFill>
          </w14:textFill>
        </w:rPr>
        <w:t>（中心坐标：</w:t>
      </w:r>
      <w:r>
        <w:rPr>
          <w:rFonts w:ascii="Times New Roman" w:hAnsi="Times New Roman"/>
          <w:color w:val="000000" w:themeColor="text1"/>
          <w:sz w:val="24"/>
          <w:szCs w:val="24"/>
          <w14:textFill>
            <w14:solidFill>
              <w14:schemeClr w14:val="tx1"/>
            </w14:solidFill>
          </w14:textFill>
        </w:rPr>
        <w:t>东经108.66786629°，北纬21.67253665°</w:t>
      </w:r>
      <w:r>
        <w:rPr>
          <w:rFonts w:hint="eastAsia" w:ascii="Times New Roman" w:hAnsi="Times New Roman"/>
          <w:color w:val="000000" w:themeColor="text1"/>
          <w:spacing w:val="-2"/>
          <w:sz w:val="24"/>
          <w:szCs w:val="24"/>
          <w14:textFill>
            <w14:solidFill>
              <w14:schemeClr w14:val="tx1"/>
            </w14:solidFill>
          </w14:textFill>
        </w:rPr>
        <w:t>）</w:t>
      </w:r>
      <w:r>
        <w:rPr>
          <w:rFonts w:ascii="Times New Roman" w:hAnsi="Times New Roman"/>
          <w:color w:val="000000" w:themeColor="text1"/>
          <w:spacing w:val="-2"/>
          <w:sz w:val="24"/>
          <w:szCs w:val="24"/>
          <w14:textFill>
            <w14:solidFill>
              <w14:schemeClr w14:val="tx1"/>
            </w14:solidFill>
          </w14:textFill>
        </w:rPr>
        <w:t>，利用毛矿为原料（大部分来</w:t>
      </w:r>
      <w:r>
        <w:rPr>
          <w:rFonts w:hint="eastAsia" w:ascii="Times New Roman" w:hAnsi="Times New Roman"/>
          <w:color w:val="000000" w:themeColor="text1"/>
          <w:spacing w:val="-2"/>
          <w:sz w:val="24"/>
          <w:szCs w:val="24"/>
          <w14:textFill>
            <w14:solidFill>
              <w14:schemeClr w14:val="tx1"/>
            </w14:solidFill>
          </w14:textFill>
        </w:rPr>
        <w:t>自非洲、东南亚</w:t>
      </w:r>
      <w:r>
        <w:rPr>
          <w:rFonts w:ascii="Times New Roman" w:hAnsi="Times New Roman"/>
          <w:color w:val="000000" w:themeColor="text1"/>
          <w:spacing w:val="-2"/>
          <w:sz w:val="24"/>
          <w:szCs w:val="24"/>
          <w14:textFill>
            <w14:solidFill>
              <w14:schemeClr w14:val="tx1"/>
            </w14:solidFill>
          </w14:textFill>
        </w:rPr>
        <w:t>）</w:t>
      </w:r>
      <w:r>
        <w:rPr>
          <w:rFonts w:hint="eastAsia" w:ascii="Times New Roman" w:hAnsi="Times New Roman"/>
          <w:color w:val="000000" w:themeColor="text1"/>
          <w:spacing w:val="-2"/>
          <w:sz w:val="24"/>
          <w:szCs w:val="24"/>
          <w14:textFill>
            <w14:solidFill>
              <w14:schemeClr w14:val="tx1"/>
            </w14:solidFill>
          </w14:textFill>
        </w:rPr>
        <w:t>，采用干式磁选工艺</w:t>
      </w:r>
      <w:r>
        <w:rPr>
          <w:rFonts w:ascii="Times New Roman" w:hAnsi="Times New Roman"/>
          <w:color w:val="000000" w:themeColor="text1"/>
          <w:spacing w:val="-2"/>
          <w:sz w:val="24"/>
          <w:szCs w:val="24"/>
          <w14:textFill>
            <w14:solidFill>
              <w14:schemeClr w14:val="tx1"/>
            </w14:solidFill>
          </w14:textFill>
        </w:rPr>
        <w:t>分选</w:t>
      </w:r>
      <w:r>
        <w:rPr>
          <w:rFonts w:hint="eastAsia" w:ascii="Times New Roman" w:hAnsi="Times New Roman"/>
          <w:color w:val="000000" w:themeColor="text1"/>
          <w:spacing w:val="-2"/>
          <w:sz w:val="24"/>
          <w:szCs w:val="24"/>
          <w14:textFill>
            <w14:solidFill>
              <w14:schemeClr w14:val="tx1"/>
            </w14:solidFill>
          </w14:textFill>
        </w:rPr>
        <w:t>出</w:t>
      </w:r>
      <w:r>
        <w:rPr>
          <w:rFonts w:ascii="Times New Roman" w:hAnsi="Times New Roman"/>
          <w:color w:val="000000" w:themeColor="text1"/>
          <w:spacing w:val="-2"/>
          <w:sz w:val="24"/>
          <w:szCs w:val="24"/>
          <w14:textFill>
            <w14:solidFill>
              <w14:schemeClr w14:val="tx1"/>
            </w14:solidFill>
          </w14:textFill>
        </w:rPr>
        <w:t>钛铁精矿。</w:t>
      </w:r>
      <w:r>
        <w:rPr>
          <w:rFonts w:hint="eastAsia" w:ascii="Times New Roman" w:hAnsi="Times New Roman"/>
          <w:color w:val="000000" w:themeColor="text1"/>
          <w:spacing w:val="-2"/>
          <w:sz w:val="24"/>
          <w:szCs w:val="24"/>
          <w14:textFill>
            <w14:solidFill>
              <w14:schemeClr w14:val="tx1"/>
            </w14:solidFill>
          </w14:textFill>
        </w:rPr>
        <w:t>项目总用地面积约2500m</w:t>
      </w:r>
      <w:r>
        <w:rPr>
          <w:rFonts w:hint="eastAsia" w:ascii="Times New Roman" w:hAnsi="Times New Roman"/>
          <w:color w:val="000000" w:themeColor="text1"/>
          <w:spacing w:val="-2"/>
          <w:sz w:val="24"/>
          <w:szCs w:val="24"/>
          <w:vertAlign w:val="superscript"/>
          <w14:textFill>
            <w14:solidFill>
              <w14:schemeClr w14:val="tx1"/>
            </w14:solidFill>
          </w14:textFill>
        </w:rPr>
        <w:t>2</w:t>
      </w:r>
      <w:r>
        <w:rPr>
          <w:rFonts w:hint="eastAsia" w:ascii="Times New Roman" w:hAnsi="Times New Roman"/>
          <w:color w:val="000000" w:themeColor="text1"/>
          <w:spacing w:val="-2"/>
          <w:sz w:val="24"/>
          <w:szCs w:val="24"/>
          <w14:textFill>
            <w14:solidFill>
              <w14:schemeClr w14:val="tx1"/>
            </w14:solidFill>
          </w14:textFill>
        </w:rPr>
        <w:t>，建设2条钛铁精矿分选生产线，年产24万吨钛铁精矿。项目在已建成的车间厂房内进行生产线设备安装后便可投入生产运营，无需进行土方开挖、基础工程、主体工程等施工。</w:t>
      </w:r>
    </w:p>
    <w:p w14:paraId="1FE1044F">
      <w:pPr>
        <w:widowControl w:val="0"/>
        <w:spacing w:after="0" w:line="360" w:lineRule="auto"/>
        <w:ind w:firstLine="482"/>
        <w:jc w:val="both"/>
        <w:rPr>
          <w:rFonts w:hint="eastAsia" w:ascii="宋体" w:hAnsi="宋体" w:eastAsia="宋体" w:cs="Times New Roman"/>
          <w:color w:val="000000" w:themeColor="text1"/>
          <w:spacing w:val="-2"/>
          <w:sz w:val="24"/>
          <w:szCs w:val="24"/>
          <w14:textFill>
            <w14:solidFill>
              <w14:schemeClr w14:val="tx1"/>
            </w14:solidFill>
          </w14:textFill>
        </w:rPr>
      </w:pPr>
      <w:r>
        <w:rPr>
          <w:rFonts w:ascii="Times New Roman" w:hAnsi="Times New Roman" w:eastAsia="宋体" w:cs="Times New Roman"/>
          <w:color w:val="000000" w:themeColor="text1"/>
          <w:spacing w:val="-2"/>
          <w:sz w:val="24"/>
          <w:szCs w:val="24"/>
          <w14:textFill>
            <w14:solidFill>
              <w14:schemeClr w14:val="tx1"/>
            </w14:solidFill>
          </w14:textFill>
        </w:rPr>
        <w:t>根据《关于发布</w:t>
      </w:r>
      <w:bookmarkStart w:id="2" w:name="_Hlk186267082"/>
      <w:r>
        <w:rPr>
          <w:rFonts w:ascii="Times New Roman" w:hAnsi="Times New Roman" w:eastAsia="宋体" w:cs="Times New Roman"/>
          <w:color w:val="000000" w:themeColor="text1"/>
          <w:spacing w:val="-2"/>
          <w:sz w:val="24"/>
          <w:szCs w:val="24"/>
          <w14:textFill>
            <w14:solidFill>
              <w14:schemeClr w14:val="tx1"/>
            </w14:solidFill>
          </w14:textFill>
        </w:rPr>
        <w:t>〈</w:t>
      </w:r>
      <w:bookmarkEnd w:id="2"/>
      <w:r>
        <w:rPr>
          <w:rFonts w:ascii="Times New Roman" w:hAnsi="Times New Roman" w:eastAsia="宋体" w:cs="Times New Roman"/>
          <w:color w:val="000000" w:themeColor="text1"/>
          <w:spacing w:val="-2"/>
          <w:sz w:val="24"/>
          <w:szCs w:val="24"/>
          <w14:textFill>
            <w14:solidFill>
              <w14:schemeClr w14:val="tx1"/>
            </w14:solidFill>
          </w14:textFill>
        </w:rPr>
        <w:t>矿产资源开发利用辐射环境监督管理名录〉的公告》（公告 2020年 第54号）的规定，已纳入《矿产资源开发利用辐射环境监督管理名录》，并且原矿、中间产品、尾矿（渣）或者其他残留物中铀（钍）系单个核素含量超过1贝可/克（1Bq/g）的矿产资源开发利用项目需编制辐射环境影响评价专篇。本项目属于《矿产资源开发利用辐射环境监督管理名录》中</w:t>
      </w:r>
      <w:r>
        <w:rPr>
          <w:rFonts w:ascii="宋体" w:hAnsi="宋体" w:eastAsia="宋体" w:cs="Times New Roman"/>
          <w:color w:val="000000" w:themeColor="text1"/>
          <w:spacing w:val="-2"/>
          <w:sz w:val="24"/>
          <w:szCs w:val="24"/>
          <w14:textFill>
            <w14:solidFill>
              <w14:schemeClr w14:val="tx1"/>
            </w14:solidFill>
          </w14:textFill>
        </w:rPr>
        <w:t>的“锆及氧化锆、铌/钽、锡、铝、铅/锌、铜、铁、钒、钼、镍、锗、钛、金的开采、选矿和冶炼”</w:t>
      </w:r>
      <w:r>
        <w:rPr>
          <w:rFonts w:ascii="Times New Roman" w:hAnsi="Times New Roman" w:eastAsia="宋体" w:cs="Times New Roman"/>
          <w:color w:val="000000" w:themeColor="text1"/>
          <w:spacing w:val="-2"/>
          <w:sz w:val="24"/>
          <w:szCs w:val="24"/>
          <w14:textFill>
            <w14:solidFill>
              <w14:schemeClr w14:val="tx1"/>
            </w14:solidFill>
          </w14:textFill>
        </w:rPr>
        <w:t>行业，且原料、产品中的铀（钍）系单个核素含量超过1贝可/克（1Bq/g），所以本项目需要编制辐射环境影响评价专</w:t>
      </w:r>
      <w:r>
        <w:rPr>
          <w:rFonts w:ascii="宋体" w:hAnsi="宋体" w:eastAsia="宋体" w:cs="Times New Roman"/>
          <w:color w:val="000000" w:themeColor="text1"/>
          <w:spacing w:val="-2"/>
          <w:sz w:val="24"/>
          <w:szCs w:val="24"/>
          <w14:textFill>
            <w14:solidFill>
              <w14:schemeClr w14:val="tx1"/>
            </w14:solidFill>
          </w14:textFill>
        </w:rPr>
        <w:t>篇（以下简称“本专篇”）。</w:t>
      </w:r>
    </w:p>
    <w:p w14:paraId="166EFDA7">
      <w:pPr>
        <w:widowControl w:val="0"/>
        <w:spacing w:after="0" w:line="360" w:lineRule="auto"/>
        <w:ind w:firstLine="482"/>
        <w:jc w:val="both"/>
        <w:rPr>
          <w:rFonts w:ascii="Times New Roman" w:hAnsi="Times New Roman" w:eastAsia="宋体" w:cs="Times New Roman"/>
          <w:b/>
          <w:bCs/>
          <w:color w:val="000000" w:themeColor="text1"/>
          <w:spacing w:val="-2"/>
          <w:sz w:val="24"/>
          <w:szCs w:val="24"/>
          <w14:textFill>
            <w14:solidFill>
              <w14:schemeClr w14:val="tx1"/>
            </w14:solidFill>
          </w14:textFill>
        </w:rPr>
      </w:pPr>
      <w:bookmarkStart w:id="3" w:name="_Toc78822631"/>
    </w:p>
    <w:p w14:paraId="3B05B6ED">
      <w:pPr>
        <w:widowControl w:val="0"/>
        <w:spacing w:after="0" w:line="360" w:lineRule="auto"/>
        <w:ind w:firstLine="482"/>
        <w:jc w:val="both"/>
        <w:rPr>
          <w:rFonts w:ascii="Times New Roman" w:hAnsi="Times New Roman" w:eastAsia="宋体" w:cs="Times New Roman"/>
          <w:b/>
          <w:bCs/>
          <w:color w:val="000000" w:themeColor="text1"/>
          <w:spacing w:val="-2"/>
          <w:sz w:val="24"/>
          <w:szCs w:val="24"/>
          <w14:textFill>
            <w14:solidFill>
              <w14:schemeClr w14:val="tx1"/>
            </w14:solidFill>
          </w14:textFill>
        </w:rPr>
      </w:pPr>
      <w:r>
        <w:rPr>
          <w:rFonts w:hint="eastAsia" w:ascii="Times New Roman" w:hAnsi="Times New Roman" w:eastAsia="宋体" w:cs="Times New Roman"/>
          <w:b/>
          <w:bCs/>
          <w:color w:val="000000" w:themeColor="text1"/>
          <w:spacing w:val="-2"/>
          <w:sz w:val="24"/>
          <w:szCs w:val="24"/>
          <w14:textFill>
            <w14:solidFill>
              <w14:schemeClr w14:val="tx1"/>
            </w14:solidFill>
          </w14:textFill>
        </w:rPr>
        <w:t>二、项目特点</w:t>
      </w:r>
    </w:p>
    <w:p w14:paraId="654771F8">
      <w:pPr>
        <w:widowControl w:val="0"/>
        <w:spacing w:after="0" w:line="360" w:lineRule="auto"/>
        <w:ind w:firstLine="482"/>
        <w:jc w:val="both"/>
        <w:rPr>
          <w:rFonts w:ascii="Times New Roman" w:hAnsi="Times New Roman" w:eastAsia="宋体" w:cs="Times New Roman"/>
          <w:color w:val="000000" w:themeColor="text1"/>
          <w:spacing w:val="-2"/>
          <w:sz w:val="24"/>
          <w:szCs w:val="24"/>
          <w14:textFill>
            <w14:solidFill>
              <w14:schemeClr w14:val="tx1"/>
            </w14:solidFill>
          </w14:textFill>
        </w:rPr>
      </w:pPr>
      <w:r>
        <w:rPr>
          <w:rFonts w:hint="eastAsia" w:ascii="Times New Roman" w:hAnsi="Times New Roman" w:eastAsia="宋体" w:cs="Times New Roman"/>
          <w:color w:val="000000" w:themeColor="text1"/>
          <w:spacing w:val="-2"/>
          <w:sz w:val="24"/>
          <w:szCs w:val="24"/>
          <w14:textFill>
            <w14:solidFill>
              <w14:schemeClr w14:val="tx1"/>
            </w14:solidFill>
          </w14:textFill>
        </w:rPr>
        <w:t>1、项目毛矿大部分来自非洲、东南亚，主要为滨海矿砂。海滨砂矿矿物种类多，单体解离度高，颗粒均匀且含泥量少，不需要破碎筛分工序。</w:t>
      </w:r>
    </w:p>
    <w:p w14:paraId="00EC2910">
      <w:pPr>
        <w:widowControl w:val="0"/>
        <w:spacing w:after="0" w:line="360" w:lineRule="auto"/>
        <w:ind w:firstLine="482"/>
        <w:jc w:val="both"/>
        <w:rPr>
          <w:rFonts w:ascii="Times New Roman" w:hAnsi="Times New Roman" w:eastAsia="宋体" w:cs="Times New Roman"/>
          <w:color w:val="000000" w:themeColor="text1"/>
          <w:spacing w:val="-2"/>
          <w:sz w:val="24"/>
          <w:szCs w:val="24"/>
          <w14:textFill>
            <w14:solidFill>
              <w14:schemeClr w14:val="tx1"/>
            </w14:solidFill>
          </w14:textFill>
        </w:rPr>
      </w:pPr>
      <w:r>
        <w:rPr>
          <w:rFonts w:hint="eastAsia" w:ascii="Times New Roman" w:hAnsi="Times New Roman" w:eastAsia="宋体" w:cs="Times New Roman"/>
          <w:color w:val="000000" w:themeColor="text1"/>
          <w:spacing w:val="-2"/>
          <w:sz w:val="24"/>
          <w:szCs w:val="24"/>
          <w14:textFill>
            <w14:solidFill>
              <w14:schemeClr w14:val="tx1"/>
            </w14:solidFill>
          </w14:textFill>
        </w:rPr>
        <w:t>2、本项目进口毛矿作原料，采用磁选工艺进行分选加工生产钛铁精矿。整个筛选过程只需用电，利用钛铁精矿与其他元素物质的物理性质不同，进行物理手段分选，分选过程中无需用水及其他化学药剂等，分选后获得更高品位的钛铁精矿和锆中矿，项目不再进行进一步的锆英砂、金红石、锡、独居石等其他矿物的分选。产品钛铁精矿不进行钛精矿和铁矿的分离，副产品锆中矿作为原料出售给深度分选矿企业。</w:t>
      </w:r>
    </w:p>
    <w:p w14:paraId="7EF008DA">
      <w:pPr>
        <w:widowControl w:val="0"/>
        <w:spacing w:after="0" w:line="360" w:lineRule="auto"/>
        <w:ind w:firstLine="482"/>
        <w:jc w:val="both"/>
        <w:rPr>
          <w:rFonts w:ascii="Times New Roman" w:hAnsi="Times New Roman" w:eastAsia="宋体" w:cs="Times New Roman"/>
          <w:color w:val="000000" w:themeColor="text1"/>
          <w:spacing w:val="-2"/>
          <w:sz w:val="24"/>
          <w:szCs w:val="24"/>
          <w14:textFill>
            <w14:solidFill>
              <w14:schemeClr w14:val="tx1"/>
            </w14:solidFill>
          </w14:textFill>
        </w:rPr>
      </w:pPr>
      <w:r>
        <w:rPr>
          <w:rFonts w:hint="eastAsia" w:ascii="Times New Roman" w:hAnsi="Times New Roman" w:eastAsia="宋体" w:cs="Times New Roman"/>
          <w:color w:val="000000" w:themeColor="text1"/>
          <w:spacing w:val="-2"/>
          <w:sz w:val="24"/>
          <w:szCs w:val="24"/>
          <w14:textFill>
            <w14:solidFill>
              <w14:schemeClr w14:val="tx1"/>
            </w14:solidFill>
          </w14:textFill>
        </w:rPr>
        <w:t>3、本项目租用的生产用房位于广西钦州保税区创大冷链物流公司进口汽车仓储物流园内的3号仓库，租用3号仓库北侧部分面积约2500m</w:t>
      </w:r>
      <w:r>
        <w:rPr>
          <w:rFonts w:hint="eastAsia" w:ascii="Times New Roman" w:hAnsi="Times New Roman" w:eastAsia="宋体" w:cs="Times New Roman"/>
          <w:color w:val="000000" w:themeColor="text1"/>
          <w:spacing w:val="-2"/>
          <w:sz w:val="24"/>
          <w:szCs w:val="24"/>
          <w:vertAlign w:val="superscript"/>
          <w14:textFill>
            <w14:solidFill>
              <w14:schemeClr w14:val="tx1"/>
            </w14:solidFill>
          </w14:textFill>
        </w:rPr>
        <w:t>2</w:t>
      </w:r>
      <w:r>
        <w:rPr>
          <w:rFonts w:hint="eastAsia" w:ascii="Times New Roman" w:hAnsi="Times New Roman" w:eastAsia="宋体" w:cs="Times New Roman"/>
          <w:color w:val="000000" w:themeColor="text1"/>
          <w:spacing w:val="-2"/>
          <w:sz w:val="24"/>
          <w:szCs w:val="24"/>
          <w14:textFill>
            <w14:solidFill>
              <w14:schemeClr w14:val="tx1"/>
            </w14:solidFill>
          </w14:textFill>
        </w:rPr>
        <w:t>，厂房内设置两个生产车间，分别为1#原料处理车间、2#分选车间。</w:t>
      </w:r>
    </w:p>
    <w:p w14:paraId="59907C52">
      <w:pPr>
        <w:widowControl w:val="0"/>
        <w:spacing w:after="0" w:line="360" w:lineRule="auto"/>
        <w:ind w:firstLine="482"/>
        <w:jc w:val="both"/>
        <w:rPr>
          <w:rFonts w:ascii="Times New Roman" w:hAnsi="Times New Roman" w:eastAsia="宋体" w:cs="Times New Roman"/>
          <w:color w:val="000000" w:themeColor="text1"/>
          <w:spacing w:val="-2"/>
          <w:sz w:val="24"/>
          <w:szCs w:val="24"/>
          <w14:textFill>
            <w14:solidFill>
              <w14:schemeClr w14:val="tx1"/>
            </w14:solidFill>
          </w14:textFill>
        </w:rPr>
      </w:pPr>
      <w:r>
        <w:rPr>
          <w:rFonts w:hint="eastAsia" w:ascii="Times New Roman" w:hAnsi="Times New Roman" w:eastAsia="宋体" w:cs="Times New Roman"/>
          <w:color w:val="000000" w:themeColor="text1"/>
          <w:spacing w:val="-2"/>
          <w:sz w:val="24"/>
          <w:szCs w:val="24"/>
          <w14:textFill>
            <w14:solidFill>
              <w14:schemeClr w14:val="tx1"/>
            </w14:solidFill>
          </w14:textFill>
        </w:rPr>
        <w:t>4、项目运营期生产的辐射排放源项主要以生产车间粉尘气载流出物、伴生放射性物料的照射影响为主。</w:t>
      </w:r>
    </w:p>
    <w:p w14:paraId="16FE352D">
      <w:pPr>
        <w:widowControl w:val="0"/>
        <w:spacing w:after="0" w:line="360" w:lineRule="auto"/>
        <w:ind w:firstLine="482"/>
        <w:jc w:val="both"/>
        <w:rPr>
          <w:rFonts w:ascii="Times New Roman" w:hAnsi="Times New Roman" w:eastAsia="宋体" w:cs="Times New Roman"/>
          <w:color w:val="000000" w:themeColor="text1"/>
          <w:spacing w:val="-2"/>
          <w:sz w:val="24"/>
          <w:szCs w:val="24"/>
          <w14:textFill>
            <w14:solidFill>
              <w14:schemeClr w14:val="tx1"/>
            </w14:solidFill>
          </w14:textFill>
        </w:rPr>
      </w:pPr>
      <w:r>
        <w:rPr>
          <w:rFonts w:hint="eastAsia" w:ascii="Times New Roman" w:hAnsi="Times New Roman" w:eastAsia="宋体" w:cs="Times New Roman"/>
          <w:b/>
          <w:bCs/>
          <w:color w:val="000000" w:themeColor="text1"/>
          <w:spacing w:val="-2"/>
          <w:sz w:val="24"/>
          <w:szCs w:val="24"/>
          <w14:textFill>
            <w14:solidFill>
              <w14:schemeClr w14:val="tx1"/>
            </w14:solidFill>
          </w14:textFill>
        </w:rPr>
        <w:t xml:space="preserve">三、环境影响评价的工作过程 </w:t>
      </w:r>
    </w:p>
    <w:p w14:paraId="314ABB97">
      <w:pPr>
        <w:widowControl w:val="0"/>
        <w:spacing w:after="0" w:line="360" w:lineRule="auto"/>
        <w:ind w:firstLine="482"/>
        <w:jc w:val="both"/>
        <w:rPr>
          <w:rFonts w:ascii="Times New Roman" w:hAnsi="Times New Roman" w:eastAsia="宋体" w:cs="Times New Roman"/>
          <w:color w:val="000000" w:themeColor="text1"/>
          <w:spacing w:val="-2"/>
          <w:sz w:val="24"/>
          <w:szCs w:val="24"/>
          <w14:textFill>
            <w14:solidFill>
              <w14:schemeClr w14:val="tx1"/>
            </w14:solidFill>
          </w14:textFill>
        </w:rPr>
      </w:pPr>
      <w:r>
        <w:rPr>
          <w:rFonts w:ascii="Times New Roman" w:hAnsi="Times New Roman" w:eastAsia="宋体" w:cs="Times New Roman"/>
          <w:color w:val="000000" w:themeColor="text1"/>
          <w:spacing w:val="-2"/>
          <w:sz w:val="24"/>
          <w:szCs w:val="24"/>
          <w14:textFill>
            <w14:solidFill>
              <w14:schemeClr w14:val="tx1"/>
            </w14:solidFill>
          </w14:textFill>
        </w:rPr>
        <w:t>广西瑞腾贸易有限公司于202</w:t>
      </w:r>
      <w:r>
        <w:rPr>
          <w:rFonts w:hint="eastAsia" w:ascii="Times New Roman" w:hAnsi="Times New Roman" w:eastAsia="宋体" w:cs="Times New Roman"/>
          <w:color w:val="000000" w:themeColor="text1"/>
          <w:spacing w:val="-2"/>
          <w:sz w:val="24"/>
          <w:szCs w:val="24"/>
          <w14:textFill>
            <w14:solidFill>
              <w14:schemeClr w14:val="tx1"/>
            </w14:solidFill>
          </w14:textFill>
        </w:rPr>
        <w:t>4</w:t>
      </w:r>
      <w:r>
        <w:rPr>
          <w:rFonts w:ascii="Times New Roman" w:hAnsi="Times New Roman" w:eastAsia="宋体" w:cs="Times New Roman"/>
          <w:color w:val="000000" w:themeColor="text1"/>
          <w:spacing w:val="-2"/>
          <w:sz w:val="24"/>
          <w:szCs w:val="24"/>
          <w14:textFill>
            <w14:solidFill>
              <w14:schemeClr w14:val="tx1"/>
            </w14:solidFill>
          </w14:textFill>
        </w:rPr>
        <w:t>年</w:t>
      </w:r>
      <w:r>
        <w:rPr>
          <w:rFonts w:hint="eastAsia" w:ascii="Times New Roman" w:hAnsi="Times New Roman" w:eastAsia="宋体" w:cs="Times New Roman"/>
          <w:color w:val="000000" w:themeColor="text1"/>
          <w:spacing w:val="-2"/>
          <w:sz w:val="24"/>
          <w:szCs w:val="24"/>
          <w14:textFill>
            <w14:solidFill>
              <w14:schemeClr w14:val="tx1"/>
            </w14:solidFill>
          </w14:textFill>
        </w:rPr>
        <w:t>9</w:t>
      </w:r>
      <w:r>
        <w:rPr>
          <w:rFonts w:ascii="Times New Roman" w:hAnsi="Times New Roman" w:eastAsia="宋体" w:cs="Times New Roman"/>
          <w:color w:val="000000" w:themeColor="text1"/>
          <w:spacing w:val="-2"/>
          <w:sz w:val="24"/>
          <w:szCs w:val="24"/>
          <w14:textFill>
            <w14:solidFill>
              <w14:schemeClr w14:val="tx1"/>
            </w14:solidFill>
          </w14:textFill>
        </w:rPr>
        <w:t>月委托广西绿港环保科技有限公司编制该项目的辐射环境影响评价专篇。接受委托后，广西绿港环保科技有限公司成立项目组，项目组人员赴现场开展环境现状调查、资料收集，并委托广西壮族自治区辐射环境监督管理站进行现场检测和样品采集。在充分了解工艺流程，研读相关技术资料的基础上，对项目运行、环境影响进行了分析、评价。在编制环境影响报告书阶段，广西瑞腾贸易有限公司按照《环境影响评价公众参与办法》要求进行了公众参与，通过项目公示方式告知当地公众可能产生的环境影响、并征求项目建设的意见和建议。没有公众或团体对项目建设提出反对意见。在此基础上，广西绿港环保科技有限公司编制完成《广西瑞腾贸易有限公司锆钛矿石分选加工项目辐射环境影响评价专篇（送审稿）》，与《广西瑞腾贸易有限公司锆钛矿石分选加工项目环境影响报告书》一并呈报生态环境主管部门审查。</w:t>
      </w:r>
    </w:p>
    <w:p w14:paraId="1B0B6B32">
      <w:pPr>
        <w:widowControl w:val="0"/>
        <w:spacing w:after="0" w:line="360" w:lineRule="auto"/>
        <w:ind w:firstLine="482"/>
        <w:jc w:val="both"/>
        <w:rPr>
          <w:rFonts w:ascii="Times New Roman" w:hAnsi="Times New Roman" w:eastAsia="宋体" w:cs="Times New Roman"/>
          <w:b/>
          <w:bCs/>
          <w:color w:val="000000" w:themeColor="text1"/>
          <w:spacing w:val="-2"/>
          <w:sz w:val="24"/>
          <w:szCs w:val="24"/>
          <w14:textFill>
            <w14:solidFill>
              <w14:schemeClr w14:val="tx1"/>
            </w14:solidFill>
          </w14:textFill>
        </w:rPr>
      </w:pPr>
      <w:r>
        <w:rPr>
          <w:rFonts w:hint="eastAsia" w:ascii="Times New Roman" w:hAnsi="Times New Roman" w:eastAsia="宋体" w:cs="Times New Roman"/>
          <w:b/>
          <w:bCs/>
          <w:color w:val="000000" w:themeColor="text1"/>
          <w:spacing w:val="-2"/>
          <w:sz w:val="24"/>
          <w:szCs w:val="24"/>
          <w14:textFill>
            <w14:solidFill>
              <w14:schemeClr w14:val="tx1"/>
            </w14:solidFill>
          </w14:textFill>
        </w:rPr>
        <w:t>四、评价结论</w:t>
      </w:r>
    </w:p>
    <w:p w14:paraId="201C20C0">
      <w:pPr>
        <w:widowControl w:val="0"/>
        <w:spacing w:after="0" w:line="360" w:lineRule="auto"/>
        <w:ind w:firstLine="482"/>
        <w:jc w:val="both"/>
        <w:rPr>
          <w:rFonts w:ascii="Times New Roman" w:hAnsi="Times New Roman" w:eastAsia="宋体" w:cs="Times New Roman"/>
          <w:color w:val="000000" w:themeColor="text1"/>
          <w:spacing w:val="-2"/>
          <w:sz w:val="24"/>
          <w:szCs w:val="24"/>
          <w14:textFill>
            <w14:solidFill>
              <w14:schemeClr w14:val="tx1"/>
            </w14:solidFill>
          </w14:textFill>
        </w:rPr>
      </w:pPr>
      <w:r>
        <w:rPr>
          <w:rFonts w:hint="eastAsia" w:ascii="Times New Roman" w:hAnsi="Times New Roman" w:eastAsia="宋体" w:cs="Times New Roman"/>
          <w:color w:val="000000" w:themeColor="text1"/>
          <w:spacing w:val="-2"/>
          <w:sz w:val="24"/>
          <w:szCs w:val="24"/>
          <w14:textFill>
            <w14:solidFill>
              <w14:schemeClr w14:val="tx1"/>
            </w14:solidFill>
          </w14:textFill>
        </w:rPr>
        <w:t>广西瑞腾贸易有限公司拟建的锆钛矿石分选加工项目在全面落实本报告提出的各项辐射防护措施的基础上，本项目运营期的辐射影响不会明显增加当地环境的污染负荷，不会对周围敏感点造成明显影响，评价范围内公众成员、涉辐射工作人员的年有效剂量满足相关标准要求，项目在运行中严格落实管理和监测计划，从辐射环境保护角度出发，项目可行。</w:t>
      </w:r>
    </w:p>
    <w:p w14:paraId="72213971">
      <w:pPr>
        <w:pStyle w:val="2"/>
        <w:rPr>
          <w:color w:val="000000" w:themeColor="text1"/>
          <w14:textFill>
            <w14:solidFill>
              <w14:schemeClr w14:val="tx1"/>
            </w14:solidFill>
          </w14:textFill>
        </w:rPr>
        <w:sectPr>
          <w:footerReference r:id="rId13" w:type="default"/>
          <w:pgSz w:w="11906" w:h="16838"/>
          <w:pgMar w:top="1418" w:right="1418" w:bottom="1418" w:left="1418" w:header="851" w:footer="737" w:gutter="0"/>
          <w:pgNumType w:start="1"/>
          <w:cols w:space="720" w:num="1"/>
          <w:docGrid w:linePitch="323" w:charSpace="0"/>
        </w:sectPr>
      </w:pPr>
    </w:p>
    <w:p w14:paraId="7FA5A021">
      <w:pPr>
        <w:pStyle w:val="3"/>
        <w:widowControl w:val="0"/>
        <w:numPr>
          <w:ilvl w:val="0"/>
          <w:numId w:val="1"/>
        </w:numPr>
        <w:pBdr>
          <w:left w:val="none" w:color="auto" w:sz="0" w:space="0"/>
        </w:pBdr>
        <w:spacing w:before="0" w:after="0" w:line="360" w:lineRule="auto"/>
        <w:ind w:left="0" w:firstLine="0"/>
        <w:jc w:val="both"/>
        <w:rPr>
          <w:rFonts w:ascii="Times New Roman" w:hAnsi="Times New Roman" w:eastAsia="黑体" w:cs="Times New Roman"/>
          <w:b/>
          <w:bCs/>
          <w:caps w:val="0"/>
          <w:color w:val="000000" w:themeColor="text1"/>
          <w:spacing w:val="0"/>
          <w:kern w:val="44"/>
          <w:sz w:val="30"/>
          <w:szCs w:val="44"/>
          <w14:textFill>
            <w14:solidFill>
              <w14:schemeClr w14:val="tx1"/>
            </w14:solidFill>
          </w14:textFill>
        </w:rPr>
      </w:pPr>
      <w:bookmarkStart w:id="4" w:name="_Toc187653456"/>
      <w:r>
        <w:rPr>
          <w:rFonts w:ascii="Times New Roman" w:hAnsi="Times New Roman" w:eastAsia="黑体" w:cs="Times New Roman"/>
          <w:b/>
          <w:bCs/>
          <w:caps w:val="0"/>
          <w:color w:val="000000" w:themeColor="text1"/>
          <w:spacing w:val="0"/>
          <w:kern w:val="44"/>
          <w:sz w:val="30"/>
          <w:szCs w:val="44"/>
          <w14:textFill>
            <w14:solidFill>
              <w14:schemeClr w14:val="tx1"/>
            </w14:solidFill>
          </w14:textFill>
        </w:rPr>
        <w:t>概述</w:t>
      </w:r>
      <w:bookmarkEnd w:id="3"/>
      <w:bookmarkEnd w:id="4"/>
    </w:p>
    <w:p w14:paraId="0FFD0A67">
      <w:pPr>
        <w:pStyle w:val="4"/>
        <w:widowControl w:val="0"/>
        <w:numPr>
          <w:ilvl w:val="1"/>
          <w:numId w:val="1"/>
        </w:numPr>
        <w:spacing w:before="0" w:line="360" w:lineRule="auto"/>
        <w:ind w:left="0" w:firstLine="0"/>
        <w:jc w:val="both"/>
        <w:rPr>
          <w:rFonts w:ascii="Times New Roman" w:hAnsi="Times New Roman" w:eastAsia="黑体" w:cs="Times New Roman"/>
          <w:b/>
          <w:bCs/>
          <w:color w:val="000000" w:themeColor="text1"/>
          <w:kern w:val="2"/>
          <w:sz w:val="28"/>
          <w:szCs w:val="32"/>
          <w14:textFill>
            <w14:solidFill>
              <w14:schemeClr w14:val="tx1"/>
            </w14:solidFill>
          </w14:textFill>
        </w:rPr>
      </w:pPr>
      <w:bookmarkStart w:id="5" w:name="_Toc187653457"/>
      <w:bookmarkStart w:id="6" w:name="_Toc78822632"/>
      <w:r>
        <w:rPr>
          <w:rFonts w:ascii="Times New Roman" w:hAnsi="Times New Roman" w:eastAsia="黑体" w:cs="Times New Roman"/>
          <w:b/>
          <w:bCs/>
          <w:color w:val="000000" w:themeColor="text1"/>
          <w:kern w:val="2"/>
          <w:sz w:val="28"/>
          <w:szCs w:val="32"/>
          <w14:textFill>
            <w14:solidFill>
              <w14:schemeClr w14:val="tx1"/>
            </w14:solidFill>
          </w14:textFill>
        </w:rPr>
        <w:t>编制依据</w:t>
      </w:r>
      <w:bookmarkEnd w:id="5"/>
      <w:bookmarkEnd w:id="6"/>
    </w:p>
    <w:p w14:paraId="7984C0FF">
      <w:pPr>
        <w:pStyle w:val="5"/>
        <w:widowControl w:val="0"/>
        <w:numPr>
          <w:ilvl w:val="2"/>
          <w:numId w:val="1"/>
        </w:numPr>
        <w:spacing w:before="0" w:line="360" w:lineRule="auto"/>
        <w:jc w:val="both"/>
        <w:rPr>
          <w:rFonts w:ascii="Times New Roman" w:hAnsi="Times New Roman" w:eastAsia="黑体" w:cs="Times New Roman"/>
          <w:b/>
          <w:bCs/>
          <w:caps w:val="0"/>
          <w:color w:val="000000" w:themeColor="text1"/>
          <w:kern w:val="2"/>
          <w:sz w:val="24"/>
          <w:szCs w:val="32"/>
          <w14:textFill>
            <w14:solidFill>
              <w14:schemeClr w14:val="tx1"/>
            </w14:solidFill>
          </w14:textFill>
        </w:rPr>
      </w:pPr>
      <w:bookmarkStart w:id="7" w:name="_Toc51255198"/>
      <w:bookmarkStart w:id="8" w:name="_Toc78822633"/>
      <w:bookmarkStart w:id="9" w:name="_Toc524680687"/>
      <w:r>
        <w:rPr>
          <w:rFonts w:ascii="Times New Roman" w:hAnsi="Times New Roman" w:eastAsia="黑体" w:cs="Times New Roman"/>
          <w:b/>
          <w:bCs/>
          <w:caps w:val="0"/>
          <w:color w:val="000000" w:themeColor="text1"/>
          <w:kern w:val="2"/>
          <w:sz w:val="24"/>
          <w:szCs w:val="32"/>
          <w14:textFill>
            <w14:solidFill>
              <w14:schemeClr w14:val="tx1"/>
            </w14:solidFill>
          </w14:textFill>
        </w:rPr>
        <w:t>相关法律、法规和规章制度</w:t>
      </w:r>
      <w:bookmarkEnd w:id="7"/>
      <w:bookmarkEnd w:id="8"/>
      <w:bookmarkEnd w:id="9"/>
    </w:p>
    <w:p w14:paraId="74ECDD96">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bookmarkStart w:id="10" w:name="_Toc51255199"/>
      <w:bookmarkStart w:id="11" w:name="_Toc524680688"/>
      <w:r>
        <w:rPr>
          <w:rFonts w:ascii="Times New Roman" w:hAnsi="Times New Roman" w:eastAsia="宋体" w:cs="Times New Roman"/>
          <w:color w:val="000000" w:themeColor="text1"/>
          <w:spacing w:val="-2"/>
          <w:sz w:val="24"/>
          <w:szCs w:val="20"/>
          <w14:textFill>
            <w14:solidFill>
              <w14:schemeClr w14:val="tx1"/>
            </w14:solidFill>
          </w14:textFill>
        </w:rPr>
        <w:t>（1）</w:t>
      </w:r>
      <w:r>
        <w:rPr>
          <w:rFonts w:ascii="Times New Roman" w:hAnsi="Times New Roman"/>
          <w:color w:val="000000" w:themeColor="text1"/>
          <w:spacing w:val="-2"/>
          <w:sz w:val="24"/>
          <w:szCs w:val="20"/>
          <w14:textFill>
            <w14:solidFill>
              <w14:schemeClr w14:val="tx1"/>
            </w14:solidFill>
          </w14:textFill>
        </w:rPr>
        <w:t>《中华人民共和国环境保护法》（2014年4月24日修订通过，自2015年1月1日起施行）；</w:t>
      </w:r>
    </w:p>
    <w:p w14:paraId="3DFDB383">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（2）《中华人民共和国环境影响评价法》（2018年12月29日修订）；</w:t>
      </w:r>
    </w:p>
    <w:p w14:paraId="48DC7158">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（3）《中华人民共和国放射性污染防治法》（2003年10月1日施行）；</w:t>
      </w:r>
    </w:p>
    <w:p w14:paraId="4BF5251E">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（4）《中华人民共和国固体废物污染环境防治法》（2020年4月29日修订）；</w:t>
      </w:r>
    </w:p>
    <w:p w14:paraId="169DDC2C">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（5）《建设项目环境保护管理条例》（中华人民共和国国务院令第682号，2017年10月1日起修订实施）；</w:t>
      </w:r>
    </w:p>
    <w:p w14:paraId="41144985">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（6）《放射性废物安全管理条例》中华人民共和国国务院令第612号，2012年3月1日起施行；</w:t>
      </w:r>
    </w:p>
    <w:p w14:paraId="42553C5F">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（7）《建设项目环境影响评价分类管理名录》（2021版）部令第16号（2021年11月5日修正）；</w:t>
      </w:r>
    </w:p>
    <w:p w14:paraId="5AF9E62C">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（8）公告 2020年 第54号《关于发布</w:t>
      </w:r>
      <w:r>
        <w:rPr>
          <w:rFonts w:ascii="Times New Roman" w:hAnsi="Times New Roman" w:eastAsia="宋体" w:cs="Times New Roman"/>
          <w:color w:val="000000" w:themeColor="text1"/>
          <w:spacing w:val="-2"/>
          <w:sz w:val="24"/>
          <w:szCs w:val="24"/>
          <w14:textFill>
            <w14:solidFill>
              <w14:schemeClr w14:val="tx1"/>
            </w14:solidFill>
          </w14:textFill>
        </w:rPr>
        <w:t>〈</w:t>
      </w:r>
      <w:r>
        <w:rPr>
          <w:rFonts w:ascii="Times New Roman" w:hAnsi="Times New Roman" w:eastAsia="宋体" w:cs="Times New Roman"/>
          <w:color w:val="000000" w:themeColor="text1"/>
          <w:spacing w:val="-2"/>
          <w:sz w:val="24"/>
          <w:szCs w:val="20"/>
          <w14:textFill>
            <w14:solidFill>
              <w14:schemeClr w14:val="tx1"/>
            </w14:solidFill>
          </w14:textFill>
        </w:rPr>
        <w:t>矿产资源开发利用辐射环境监督管理名录〉的公告》, 自2021年1月1日起施行；</w:t>
      </w:r>
    </w:p>
    <w:p w14:paraId="400001C6">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（9）《建设项目竣工环境保护验收暂行办法》（国环规环评﹝2017﹞4号。自2017 年11 月20 日起施行；</w:t>
      </w:r>
    </w:p>
    <w:p w14:paraId="5B50CFF6">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（1</w:t>
      </w:r>
      <w:r>
        <w:rPr>
          <w:rFonts w:hint="eastAsia" w:ascii="Times New Roman" w:hAnsi="Times New Roman" w:eastAsia="宋体" w:cs="Times New Roman"/>
          <w:color w:val="000000" w:themeColor="text1"/>
          <w:spacing w:val="-2"/>
          <w:sz w:val="24"/>
          <w:szCs w:val="20"/>
          <w14:textFill>
            <w14:solidFill>
              <w14:schemeClr w14:val="tx1"/>
            </w14:solidFill>
          </w14:textFill>
        </w:rPr>
        <w:t>0</w:t>
      </w:r>
      <w:r>
        <w:rPr>
          <w:rFonts w:ascii="Times New Roman" w:hAnsi="Times New Roman" w:eastAsia="宋体" w:cs="Times New Roman"/>
          <w:color w:val="000000" w:themeColor="text1"/>
          <w:spacing w:val="-2"/>
          <w:sz w:val="24"/>
          <w:szCs w:val="20"/>
          <w14:textFill>
            <w14:solidFill>
              <w14:schemeClr w14:val="tx1"/>
            </w14:solidFill>
          </w14:textFill>
        </w:rPr>
        <w:t>）《关于发布〈伴生放射性矿物资源开发利用项目环境影响报告书（表）的内容和格式〉的通知》（环监﹝1994﹞080号）（参考其中关于辐射环境影响评价范围的条款）；</w:t>
      </w:r>
    </w:p>
    <w:p w14:paraId="4646F1B3">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（12）《矿产资源开发利用辐射环境影响评价专篇格式与内容（试行）》（2015 年1月）；</w:t>
      </w:r>
    </w:p>
    <w:p w14:paraId="2AB337FF">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（13）《伴生放射性矿开发利用企业环境辐射监测及信息公开办法（试行）》（国环规辐射〔2018〕1 号）。</w:t>
      </w:r>
    </w:p>
    <w:p w14:paraId="3877EE8E">
      <w:pPr>
        <w:pStyle w:val="5"/>
        <w:widowControl w:val="0"/>
        <w:numPr>
          <w:ilvl w:val="2"/>
          <w:numId w:val="1"/>
        </w:numPr>
        <w:spacing w:before="0" w:line="360" w:lineRule="auto"/>
        <w:jc w:val="both"/>
        <w:rPr>
          <w:rFonts w:ascii="Times New Roman" w:hAnsi="Times New Roman" w:eastAsia="黑体" w:cs="Times New Roman"/>
          <w:b/>
          <w:bCs/>
          <w:caps w:val="0"/>
          <w:color w:val="000000" w:themeColor="text1"/>
          <w:kern w:val="2"/>
          <w:sz w:val="24"/>
          <w:szCs w:val="32"/>
          <w14:textFill>
            <w14:solidFill>
              <w14:schemeClr w14:val="tx1"/>
            </w14:solidFill>
          </w14:textFill>
        </w:rPr>
      </w:pPr>
      <w:bookmarkStart w:id="12" w:name="_Toc78822634"/>
      <w:r>
        <w:rPr>
          <w:rFonts w:ascii="Times New Roman" w:hAnsi="Times New Roman" w:eastAsia="黑体" w:cs="Times New Roman"/>
          <w:b/>
          <w:bCs/>
          <w:caps w:val="0"/>
          <w:color w:val="000000" w:themeColor="text1"/>
          <w:kern w:val="2"/>
          <w:sz w:val="24"/>
          <w:szCs w:val="32"/>
          <w14:textFill>
            <w14:solidFill>
              <w14:schemeClr w14:val="tx1"/>
            </w14:solidFill>
          </w14:textFill>
        </w:rPr>
        <w:t>技术规范</w:t>
      </w:r>
      <w:bookmarkEnd w:id="10"/>
      <w:bookmarkEnd w:id="11"/>
      <w:r>
        <w:rPr>
          <w:rFonts w:ascii="Times New Roman" w:hAnsi="Times New Roman" w:eastAsia="黑体" w:cs="Times New Roman"/>
          <w:b/>
          <w:bCs/>
          <w:caps w:val="0"/>
          <w:color w:val="000000" w:themeColor="text1"/>
          <w:kern w:val="2"/>
          <w:sz w:val="24"/>
          <w:szCs w:val="32"/>
          <w14:textFill>
            <w14:solidFill>
              <w14:schemeClr w14:val="tx1"/>
            </w14:solidFill>
          </w14:textFill>
        </w:rPr>
        <w:t>、标准</w:t>
      </w:r>
      <w:bookmarkEnd w:id="12"/>
    </w:p>
    <w:p w14:paraId="6C078AE9">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（1）《电离辐射防护与辐射源安全基本标准》（GB18871－2002）；</w:t>
      </w:r>
    </w:p>
    <w:p w14:paraId="7868F7DD">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（2）《污水综合排放标准》（GB8978-1996）；</w:t>
      </w:r>
    </w:p>
    <w:p w14:paraId="6DF9D6CA">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（3）《地下水质量标准》（GB/T14848-2017）；</w:t>
      </w:r>
    </w:p>
    <w:p w14:paraId="24B1E6D1">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（4）《稀土工业污染物排放标准》（GB26451-2011）；</w:t>
      </w:r>
    </w:p>
    <w:p w14:paraId="57F094E6">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（5）《放射性物品安全运输规程》（GB11806-2019）；</w:t>
      </w:r>
    </w:p>
    <w:p w14:paraId="438D2581">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（6）《可免于辐射防护监管的物料中放射性核素活度浓度》（GB27742-2011）；</w:t>
      </w:r>
    </w:p>
    <w:p w14:paraId="18E49990">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（7）《辐射环境监测技术规范》（HJ 61-2021）；</w:t>
      </w:r>
    </w:p>
    <w:p w14:paraId="14E3D8AC">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（8）《环境γ辐射剂量率测量技术规范》（ HJ 1157—2021）；</w:t>
      </w:r>
    </w:p>
    <w:p w14:paraId="27758EF6">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（9）《伴生放射性物料贮存及固体废物填埋辐射环境保护技术规范（试行）》（ HJ1114-2020）</w:t>
      </w:r>
      <w:r>
        <w:rPr>
          <w:rFonts w:hint="eastAsia" w:ascii="Times New Roman" w:hAnsi="Times New Roman" w:eastAsia="宋体" w:cs="Times New Roman"/>
          <w:color w:val="000000" w:themeColor="text1"/>
          <w:spacing w:val="-2"/>
          <w:sz w:val="24"/>
          <w:szCs w:val="20"/>
          <w14:textFill>
            <w14:solidFill>
              <w14:schemeClr w14:val="tx1"/>
            </w14:solidFill>
          </w14:textFill>
        </w:rPr>
        <w:t>；</w:t>
      </w:r>
    </w:p>
    <w:p w14:paraId="03FBEA2C">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u w:val="single"/>
          <w14:textFill>
            <w14:solidFill>
              <w14:schemeClr w14:val="tx1"/>
            </w14:solidFill>
          </w14:textFill>
        </w:rPr>
      </w:pPr>
      <w:r>
        <w:rPr>
          <w:rFonts w:hint="eastAsia" w:ascii="Times New Roman" w:hAnsi="Times New Roman" w:eastAsia="宋体" w:cs="Times New Roman"/>
          <w:color w:val="000000" w:themeColor="text1"/>
          <w:spacing w:val="-2"/>
          <w:sz w:val="24"/>
          <w:szCs w:val="20"/>
          <w:u w:val="single"/>
          <w14:textFill>
            <w14:solidFill>
              <w14:schemeClr w14:val="tx1"/>
            </w14:solidFill>
          </w14:textFill>
        </w:rPr>
        <w:t>（10）</w:t>
      </w:r>
      <w:r>
        <w:rPr>
          <w:rFonts w:hint="eastAsia" w:ascii="Times New Roman" w:hAnsi="Times New Roman"/>
          <w:color w:val="000000" w:themeColor="text1"/>
          <w:spacing w:val="-2"/>
          <w:sz w:val="24"/>
          <w:szCs w:val="20"/>
          <w:u w:val="single"/>
          <w14:textFill>
            <w14:solidFill>
              <w14:schemeClr w14:val="tx1"/>
            </w14:solidFill>
          </w14:textFill>
        </w:rPr>
        <w:t>《铀矿冶设施所造成的气态（载）放射性与有毒性源项的确定》（</w:t>
      </w:r>
      <w:r>
        <w:rPr>
          <w:rFonts w:ascii="Times New Roman" w:hAnsi="Times New Roman"/>
          <w:color w:val="000000" w:themeColor="text1"/>
          <w:spacing w:val="-2"/>
          <w:sz w:val="24"/>
          <w:szCs w:val="20"/>
          <w:u w:val="single"/>
          <w14:textFill>
            <w14:solidFill>
              <w14:schemeClr w14:val="tx1"/>
            </w14:solidFill>
          </w14:textFill>
        </w:rPr>
        <w:t>EJ/T 1090-1998</w:t>
      </w:r>
      <w:r>
        <w:rPr>
          <w:rFonts w:hint="eastAsia" w:ascii="Times New Roman" w:hAnsi="Times New Roman"/>
          <w:color w:val="000000" w:themeColor="text1"/>
          <w:spacing w:val="-2"/>
          <w:sz w:val="24"/>
          <w:szCs w:val="20"/>
          <w:u w:val="single"/>
          <w14:textFill>
            <w14:solidFill>
              <w14:schemeClr w14:val="tx1"/>
            </w14:solidFill>
          </w14:textFill>
        </w:rPr>
        <w:t>）</w:t>
      </w:r>
      <w:r>
        <w:rPr>
          <w:rFonts w:ascii="Times New Roman" w:hAnsi="Times New Roman" w:eastAsia="宋体" w:cs="Times New Roman"/>
          <w:color w:val="000000" w:themeColor="text1"/>
          <w:spacing w:val="-2"/>
          <w:sz w:val="24"/>
          <w:szCs w:val="20"/>
          <w:u w:val="single"/>
          <w14:textFill>
            <w14:solidFill>
              <w14:schemeClr w14:val="tx1"/>
            </w14:solidFill>
          </w14:textFill>
        </w:rPr>
        <w:t>。</w:t>
      </w:r>
    </w:p>
    <w:p w14:paraId="7253497C">
      <w:pPr>
        <w:pStyle w:val="5"/>
        <w:widowControl w:val="0"/>
        <w:numPr>
          <w:ilvl w:val="2"/>
          <w:numId w:val="1"/>
        </w:numPr>
        <w:spacing w:before="0" w:line="360" w:lineRule="auto"/>
        <w:jc w:val="both"/>
        <w:rPr>
          <w:rFonts w:ascii="Times New Roman" w:hAnsi="Times New Roman" w:eastAsia="黑体" w:cs="Times New Roman"/>
          <w:b/>
          <w:bCs/>
          <w:caps w:val="0"/>
          <w:color w:val="000000" w:themeColor="text1"/>
          <w:kern w:val="2"/>
          <w:sz w:val="24"/>
          <w:szCs w:val="32"/>
          <w14:textFill>
            <w14:solidFill>
              <w14:schemeClr w14:val="tx1"/>
            </w14:solidFill>
          </w14:textFill>
        </w:rPr>
      </w:pPr>
      <w:bookmarkStart w:id="13" w:name="_Toc78822635"/>
      <w:bookmarkStart w:id="14" w:name="_Toc51255201"/>
      <w:r>
        <w:rPr>
          <w:rFonts w:ascii="Times New Roman" w:hAnsi="Times New Roman" w:eastAsia="黑体" w:cs="Times New Roman"/>
          <w:b/>
          <w:bCs/>
          <w:caps w:val="0"/>
          <w:color w:val="000000" w:themeColor="text1"/>
          <w:kern w:val="2"/>
          <w:sz w:val="24"/>
          <w:szCs w:val="32"/>
          <w14:textFill>
            <w14:solidFill>
              <w14:schemeClr w14:val="tx1"/>
            </w14:solidFill>
          </w14:textFill>
        </w:rPr>
        <w:t>其他相关文件</w:t>
      </w:r>
      <w:bookmarkEnd w:id="13"/>
      <w:bookmarkEnd w:id="14"/>
    </w:p>
    <w:p w14:paraId="00372066">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bookmarkStart w:id="15" w:name="_Toc327895946"/>
      <w:bookmarkStart w:id="16" w:name="_Toc325990162"/>
      <w:bookmarkStart w:id="17" w:name="_Toc326224259"/>
      <w:r>
        <w:rPr>
          <w:rFonts w:hint="eastAsia" w:ascii="Times New Roman" w:hAnsi="Times New Roman" w:eastAsia="宋体" w:cs="Times New Roman"/>
          <w:color w:val="000000" w:themeColor="text1"/>
          <w:spacing w:val="-2"/>
          <w:sz w:val="24"/>
          <w:szCs w:val="20"/>
          <w14:textFill>
            <w14:solidFill>
              <w14:schemeClr w14:val="tx1"/>
            </w14:solidFill>
          </w14:textFill>
        </w:rPr>
        <w:t>（1）</w:t>
      </w:r>
      <w:r>
        <w:rPr>
          <w:rFonts w:ascii="Times New Roman" w:hAnsi="Times New Roman" w:eastAsia="宋体" w:cs="Times New Roman"/>
          <w:color w:val="000000" w:themeColor="text1"/>
          <w:spacing w:val="-2"/>
          <w:sz w:val="24"/>
          <w:szCs w:val="20"/>
          <w14:textFill>
            <w14:solidFill>
              <w14:schemeClr w14:val="tx1"/>
            </w14:solidFill>
          </w14:textFill>
        </w:rPr>
        <w:t>《广西瑞腾贸易有限公司锆钛矿石分选加工项目环境影响报告书</w:t>
      </w:r>
      <w:bookmarkEnd w:id="15"/>
      <w:bookmarkEnd w:id="16"/>
      <w:bookmarkEnd w:id="17"/>
      <w:r>
        <w:rPr>
          <w:rFonts w:ascii="Times New Roman" w:hAnsi="Times New Roman" w:eastAsia="宋体" w:cs="Times New Roman"/>
          <w:color w:val="000000" w:themeColor="text1"/>
          <w:spacing w:val="-2"/>
          <w:sz w:val="24"/>
          <w:szCs w:val="20"/>
          <w14:textFill>
            <w14:solidFill>
              <w14:schemeClr w14:val="tx1"/>
            </w14:solidFill>
          </w14:textFill>
        </w:rPr>
        <w:t>》。</w:t>
      </w:r>
    </w:p>
    <w:p w14:paraId="5DE29064">
      <w:pPr>
        <w:pStyle w:val="4"/>
        <w:widowControl w:val="0"/>
        <w:numPr>
          <w:ilvl w:val="1"/>
          <w:numId w:val="1"/>
        </w:numPr>
        <w:spacing w:before="0" w:line="360" w:lineRule="auto"/>
        <w:jc w:val="both"/>
        <w:rPr>
          <w:rFonts w:ascii="Times New Roman" w:hAnsi="Times New Roman" w:eastAsia="黑体" w:cs="Times New Roman"/>
          <w:b/>
          <w:bCs/>
          <w:color w:val="000000" w:themeColor="text1"/>
          <w:kern w:val="2"/>
          <w:sz w:val="28"/>
          <w:szCs w:val="32"/>
          <w14:textFill>
            <w14:solidFill>
              <w14:schemeClr w14:val="tx1"/>
            </w14:solidFill>
          </w14:textFill>
        </w:rPr>
      </w:pPr>
      <w:bookmarkStart w:id="18" w:name="_Toc78822636"/>
      <w:bookmarkStart w:id="19" w:name="_Toc187653458"/>
      <w:r>
        <w:rPr>
          <w:rFonts w:ascii="Times New Roman" w:hAnsi="Times New Roman" w:eastAsia="黑体" w:cs="Times New Roman"/>
          <w:b/>
          <w:bCs/>
          <w:color w:val="000000" w:themeColor="text1"/>
          <w:kern w:val="2"/>
          <w:sz w:val="28"/>
          <w:szCs w:val="32"/>
          <w14:textFill>
            <w14:solidFill>
              <w14:schemeClr w14:val="tx1"/>
            </w14:solidFill>
          </w14:textFill>
        </w:rPr>
        <w:t>控制指标</w:t>
      </w:r>
      <w:bookmarkEnd w:id="18"/>
      <w:bookmarkEnd w:id="19"/>
    </w:p>
    <w:p w14:paraId="57CA3407">
      <w:pPr>
        <w:pStyle w:val="5"/>
        <w:widowControl w:val="0"/>
        <w:numPr>
          <w:ilvl w:val="2"/>
          <w:numId w:val="1"/>
        </w:numPr>
        <w:spacing w:before="0" w:line="360" w:lineRule="auto"/>
        <w:jc w:val="both"/>
        <w:rPr>
          <w:rFonts w:ascii="Times New Roman" w:hAnsi="Times New Roman" w:eastAsia="黑体" w:cs="Times New Roman"/>
          <w:b/>
          <w:bCs/>
          <w:caps w:val="0"/>
          <w:color w:val="000000" w:themeColor="text1"/>
          <w:kern w:val="2"/>
          <w:sz w:val="24"/>
          <w:szCs w:val="32"/>
          <w:u w:val="single"/>
          <w14:textFill>
            <w14:solidFill>
              <w14:schemeClr w14:val="tx1"/>
            </w14:solidFill>
          </w14:textFill>
        </w:rPr>
      </w:pPr>
      <w:r>
        <w:rPr>
          <w:rFonts w:hint="eastAsia" w:ascii="Times New Roman" w:hAnsi="Times New Roman" w:eastAsia="黑体" w:cs="Times New Roman"/>
          <w:b/>
          <w:bCs/>
          <w:caps w:val="0"/>
          <w:color w:val="000000" w:themeColor="text1"/>
          <w:kern w:val="2"/>
          <w:sz w:val="24"/>
          <w:szCs w:val="32"/>
          <w:u w:val="single"/>
          <w14:textFill>
            <w14:solidFill>
              <w14:schemeClr w14:val="tx1"/>
            </w14:solidFill>
          </w14:textFill>
        </w:rPr>
        <w:t>剂量限值</w:t>
      </w:r>
    </w:p>
    <w:p w14:paraId="033AE7C2">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u w:val="single"/>
          <w14:textFill>
            <w14:solidFill>
              <w14:schemeClr w14:val="tx1"/>
            </w14:solidFill>
          </w14:textFill>
        </w:rPr>
      </w:pPr>
      <w:r>
        <w:rPr>
          <w:rFonts w:hint="eastAsia" w:ascii="Times New Roman" w:hAnsi="Times New Roman" w:eastAsia="宋体" w:cs="Times New Roman"/>
          <w:color w:val="000000" w:themeColor="text1"/>
          <w:spacing w:val="-2"/>
          <w:sz w:val="24"/>
          <w:szCs w:val="20"/>
          <w:u w:val="single"/>
          <w14:textFill>
            <w14:solidFill>
              <w14:schemeClr w14:val="tx1"/>
            </w14:solidFill>
          </w14:textFill>
        </w:rPr>
        <w:t>本</w:t>
      </w:r>
      <w:r>
        <w:rPr>
          <w:rFonts w:ascii="Times New Roman" w:hAnsi="Times New Roman" w:eastAsia="宋体" w:cs="Times New Roman"/>
          <w:color w:val="000000" w:themeColor="text1"/>
          <w:spacing w:val="-2"/>
          <w:sz w:val="24"/>
          <w:szCs w:val="20"/>
          <w:u w:val="single"/>
          <w14:textFill>
            <w14:solidFill>
              <w14:schemeClr w14:val="tx1"/>
            </w14:solidFill>
          </w14:textFill>
        </w:rPr>
        <w:t>项目依据</w:t>
      </w:r>
      <w:r>
        <w:rPr>
          <w:rFonts w:hint="eastAsia" w:ascii="Times New Roman" w:hAnsi="Times New Roman" w:eastAsia="宋体" w:cs="Times New Roman"/>
          <w:color w:val="000000" w:themeColor="text1"/>
          <w:spacing w:val="-2"/>
          <w:sz w:val="24"/>
          <w:szCs w:val="20"/>
          <w:u w:val="single"/>
          <w14:textFill>
            <w14:solidFill>
              <w14:schemeClr w14:val="tx1"/>
            </w14:solidFill>
          </w14:textFill>
        </w:rPr>
        <w:t>或参</w:t>
      </w:r>
      <w:r>
        <w:rPr>
          <w:rFonts w:ascii="Times New Roman" w:hAnsi="Times New Roman" w:eastAsia="宋体" w:cs="Times New Roman"/>
          <w:color w:val="000000" w:themeColor="text1"/>
          <w:spacing w:val="-2"/>
          <w:sz w:val="24"/>
          <w:szCs w:val="20"/>
          <w:u w:val="single"/>
          <w14:textFill>
            <w14:solidFill>
              <w14:schemeClr w14:val="tx1"/>
            </w14:solidFill>
          </w14:textFill>
        </w:rPr>
        <w:t>照《电离辐射防护与辐射源安全基本标准》 (GB18871-2002)</w:t>
      </w:r>
      <w:r>
        <w:rPr>
          <w:rFonts w:hint="eastAsia" w:ascii="Times New Roman" w:hAnsi="Times New Roman" w:eastAsia="宋体" w:cs="Times New Roman"/>
          <w:color w:val="000000" w:themeColor="text1"/>
          <w:spacing w:val="-2"/>
          <w:sz w:val="24"/>
          <w:szCs w:val="20"/>
          <w:u w:val="single"/>
          <w14:textFill>
            <w14:solidFill>
              <w14:schemeClr w14:val="tx1"/>
            </w14:solidFill>
          </w14:textFill>
        </w:rPr>
        <w:t>、</w:t>
      </w:r>
      <w:r>
        <w:rPr>
          <w:rFonts w:ascii="Times New Roman" w:hAnsi="Times New Roman" w:eastAsia="宋体" w:cs="Times New Roman"/>
          <w:color w:val="000000" w:themeColor="text1"/>
          <w:spacing w:val="-2"/>
          <w:sz w:val="24"/>
          <w:szCs w:val="20"/>
          <w:u w:val="single"/>
          <w14:textFill>
            <w14:solidFill>
              <w14:schemeClr w14:val="tx1"/>
            </w14:solidFill>
          </w14:textFill>
        </w:rPr>
        <w:t>《稀土工业污染物排放标准》（GB26451-2011）</w:t>
      </w:r>
      <w:r>
        <w:rPr>
          <w:rFonts w:hint="eastAsia" w:ascii="Times New Roman" w:hAnsi="Times New Roman" w:eastAsia="宋体" w:cs="Times New Roman"/>
          <w:color w:val="000000" w:themeColor="text1"/>
          <w:spacing w:val="-2"/>
          <w:sz w:val="24"/>
          <w:szCs w:val="20"/>
          <w:u w:val="single"/>
          <w14:textFill>
            <w14:solidFill>
              <w14:schemeClr w14:val="tx1"/>
            </w14:solidFill>
          </w14:textFill>
        </w:rPr>
        <w:t>等，</w:t>
      </w:r>
      <w:r>
        <w:rPr>
          <w:rFonts w:ascii="Times New Roman" w:hAnsi="Times New Roman" w:eastAsia="宋体" w:cs="Times New Roman"/>
          <w:color w:val="000000" w:themeColor="text1"/>
          <w:spacing w:val="-2"/>
          <w:sz w:val="24"/>
          <w:szCs w:val="20"/>
          <w:u w:val="single"/>
          <w14:textFill>
            <w14:solidFill>
              <w14:schemeClr w14:val="tx1"/>
            </w14:solidFill>
          </w14:textFill>
        </w:rPr>
        <w:t>确定正常工况公众剂量约束值、非正常工况的公众剂量控制值</w:t>
      </w:r>
      <w:r>
        <w:rPr>
          <w:rFonts w:hint="eastAsia" w:ascii="Times New Roman" w:hAnsi="Times New Roman" w:eastAsia="宋体" w:cs="Times New Roman"/>
          <w:color w:val="000000" w:themeColor="text1"/>
          <w:spacing w:val="-2"/>
          <w:sz w:val="24"/>
          <w:szCs w:val="20"/>
          <w:u w:val="single"/>
          <w14:textFill>
            <w14:solidFill>
              <w14:schemeClr w14:val="tx1"/>
            </w14:solidFill>
          </w14:textFill>
        </w:rPr>
        <w:t>，</w:t>
      </w:r>
      <w:r>
        <w:rPr>
          <w:rFonts w:ascii="Times New Roman" w:hAnsi="Times New Roman" w:eastAsia="宋体" w:cs="Times New Roman"/>
          <w:color w:val="000000" w:themeColor="text1"/>
          <w:spacing w:val="-2"/>
          <w:sz w:val="24"/>
          <w:szCs w:val="20"/>
          <w:u w:val="single"/>
          <w14:textFill>
            <w14:solidFill>
              <w14:schemeClr w14:val="tx1"/>
            </w14:solidFill>
          </w14:textFill>
        </w:rPr>
        <w:t>气载流出物和液态流出物的放射性控制指标</w:t>
      </w:r>
      <w:r>
        <w:rPr>
          <w:rFonts w:hint="eastAsia" w:ascii="Times New Roman" w:hAnsi="Times New Roman" w:eastAsia="宋体" w:cs="Times New Roman"/>
          <w:color w:val="000000" w:themeColor="text1"/>
          <w:spacing w:val="-2"/>
          <w:sz w:val="24"/>
          <w:szCs w:val="20"/>
          <w:u w:val="single"/>
          <w14:textFill>
            <w14:solidFill>
              <w14:schemeClr w14:val="tx1"/>
            </w14:solidFill>
          </w14:textFill>
        </w:rPr>
        <w:t>。</w:t>
      </w:r>
    </w:p>
    <w:p w14:paraId="05D9B095">
      <w:pPr>
        <w:pStyle w:val="6"/>
        <w:widowControl w:val="0"/>
        <w:numPr>
          <w:ilvl w:val="3"/>
          <w:numId w:val="1"/>
        </w:numPr>
        <w:spacing w:before="0" w:line="360" w:lineRule="auto"/>
        <w:ind w:left="0" w:firstLine="0"/>
        <w:jc w:val="both"/>
        <w:rPr>
          <w:rFonts w:ascii="Times New Roman" w:hAnsi="Times New Roman" w:eastAsia="黑体" w:cs="Times New Roman"/>
          <w:bCs/>
          <w:i w:val="0"/>
          <w:iCs w:val="0"/>
          <w:color w:val="000000" w:themeColor="text1"/>
          <w:kern w:val="2"/>
          <w:sz w:val="24"/>
          <w:u w:val="single"/>
          <w14:textFill>
            <w14:solidFill>
              <w14:schemeClr w14:val="tx1"/>
            </w14:solidFill>
          </w14:textFill>
        </w:rPr>
      </w:pPr>
      <w:r>
        <w:rPr>
          <w:rFonts w:ascii="Times New Roman" w:hAnsi="Times New Roman" w:eastAsia="黑体" w:cs="Times New Roman"/>
          <w:bCs/>
          <w:i w:val="0"/>
          <w:iCs w:val="0"/>
          <w:color w:val="000000" w:themeColor="text1"/>
          <w:kern w:val="2"/>
          <w:sz w:val="24"/>
          <w:u w:val="single"/>
          <w14:textFill>
            <w14:solidFill>
              <w14:schemeClr w14:val="tx1"/>
            </w14:solidFill>
          </w14:textFill>
        </w:rPr>
        <w:t>公众剂量约束值</w:t>
      </w:r>
    </w:p>
    <w:p w14:paraId="0B57F2F7">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u w:val="single"/>
          <w14:textFill>
            <w14:solidFill>
              <w14:schemeClr w14:val="tx1"/>
            </w14:solidFill>
          </w14:textFill>
        </w:rPr>
      </w:pPr>
      <w:bookmarkStart w:id="20" w:name="_Hlk187703862"/>
      <w:r>
        <w:rPr>
          <w:rFonts w:ascii="Times New Roman" w:hAnsi="Times New Roman" w:eastAsia="宋体" w:cs="Times New Roman"/>
          <w:color w:val="000000" w:themeColor="text1"/>
          <w:spacing w:val="-2"/>
          <w:sz w:val="24"/>
          <w:szCs w:val="20"/>
          <w:u w:val="single"/>
          <w14:textFill>
            <w14:solidFill>
              <w14:schemeClr w14:val="tx1"/>
            </w14:solidFill>
          </w14:textFill>
        </w:rPr>
        <w:t>依据《电离辐射防护与辐射源安全基本标准》</w:t>
      </w:r>
      <w:r>
        <w:rPr>
          <w:rFonts w:hint="eastAsia" w:ascii="Times New Roman" w:hAnsi="Times New Roman" w:eastAsia="宋体" w:cs="Times New Roman"/>
          <w:color w:val="000000" w:themeColor="text1"/>
          <w:spacing w:val="-2"/>
          <w:sz w:val="24"/>
          <w:szCs w:val="20"/>
          <w:u w:val="single"/>
          <w14:textFill>
            <w14:solidFill>
              <w14:schemeClr w14:val="tx1"/>
            </w14:solidFill>
          </w14:textFill>
        </w:rPr>
        <w:t>（</w:t>
      </w:r>
      <w:r>
        <w:rPr>
          <w:rFonts w:ascii="Times New Roman" w:hAnsi="Times New Roman" w:eastAsia="宋体" w:cs="Times New Roman"/>
          <w:color w:val="000000" w:themeColor="text1"/>
          <w:spacing w:val="-2"/>
          <w:sz w:val="24"/>
          <w:szCs w:val="20"/>
          <w:u w:val="single"/>
          <w14:textFill>
            <w14:solidFill>
              <w14:schemeClr w14:val="tx1"/>
            </w14:solidFill>
          </w14:textFill>
        </w:rPr>
        <w:t>GB18871-2002</w:t>
      </w:r>
      <w:r>
        <w:rPr>
          <w:rFonts w:hint="eastAsia" w:ascii="Times New Roman" w:hAnsi="Times New Roman" w:eastAsia="宋体" w:cs="Times New Roman"/>
          <w:color w:val="000000" w:themeColor="text1"/>
          <w:spacing w:val="-2"/>
          <w:sz w:val="24"/>
          <w:szCs w:val="20"/>
          <w:u w:val="single"/>
          <w14:textFill>
            <w14:solidFill>
              <w14:schemeClr w14:val="tx1"/>
            </w14:solidFill>
          </w14:textFill>
        </w:rPr>
        <w:t>）</w:t>
      </w:r>
      <w:r>
        <w:rPr>
          <w:rFonts w:ascii="Times New Roman" w:hAnsi="Times New Roman" w:eastAsia="宋体" w:cs="Times New Roman"/>
          <w:color w:val="000000" w:themeColor="text1"/>
          <w:spacing w:val="-2"/>
          <w:sz w:val="24"/>
          <w:szCs w:val="20"/>
          <w:u w:val="single"/>
          <w14:textFill>
            <w14:solidFill>
              <w14:schemeClr w14:val="tx1"/>
            </w14:solidFill>
          </w14:textFill>
        </w:rPr>
        <w:t>中 11.4.3.2 款规定：</w:t>
      </w:r>
      <w:r>
        <w:rPr>
          <w:rFonts w:ascii="宋体" w:hAnsi="宋体" w:eastAsia="宋体" w:cs="Times New Roman"/>
          <w:color w:val="000000" w:themeColor="text1"/>
          <w:spacing w:val="-2"/>
          <w:sz w:val="24"/>
          <w:szCs w:val="20"/>
          <w:u w:val="single"/>
          <w14:textFill>
            <w14:solidFill>
              <w14:schemeClr w14:val="tx1"/>
            </w14:solidFill>
          </w14:textFill>
        </w:rPr>
        <w:t>“剂量约束</w:t>
      </w:r>
      <w:r>
        <w:rPr>
          <w:rFonts w:ascii="Times New Roman" w:hAnsi="Times New Roman" w:eastAsia="宋体" w:cs="Times New Roman"/>
          <w:color w:val="000000" w:themeColor="text1"/>
          <w:spacing w:val="-2"/>
          <w:sz w:val="24"/>
          <w:szCs w:val="20"/>
          <w:u w:val="single"/>
          <w14:textFill>
            <w14:solidFill>
              <w14:schemeClr w14:val="tx1"/>
            </w14:solidFill>
          </w14:textFill>
        </w:rPr>
        <w:t>值通常应在公众照射剂量限值10%～30%</w:t>
      </w:r>
      <w:r>
        <w:rPr>
          <w:rFonts w:hint="eastAsia" w:ascii="Times New Roman" w:hAnsi="Times New Roman" w:eastAsia="宋体" w:cs="Times New Roman"/>
          <w:color w:val="000000" w:themeColor="text1"/>
          <w:spacing w:val="-2"/>
          <w:sz w:val="24"/>
          <w:szCs w:val="20"/>
          <w:u w:val="single"/>
          <w14:textFill>
            <w14:solidFill>
              <w14:schemeClr w14:val="tx1"/>
            </w14:solidFill>
          </w14:textFill>
        </w:rPr>
        <w:t>（</w:t>
      </w:r>
      <w:r>
        <w:rPr>
          <w:rFonts w:ascii="Times New Roman" w:hAnsi="Times New Roman" w:eastAsia="宋体" w:cs="Times New Roman"/>
          <w:color w:val="000000" w:themeColor="text1"/>
          <w:spacing w:val="-2"/>
          <w:sz w:val="24"/>
          <w:szCs w:val="20"/>
          <w:u w:val="single"/>
          <w14:textFill>
            <w14:solidFill>
              <w14:schemeClr w14:val="tx1"/>
            </w14:solidFill>
          </w14:textFill>
        </w:rPr>
        <w:t>即0.1mSv/a～0.30mSv/a</w:t>
      </w:r>
      <w:r>
        <w:rPr>
          <w:rFonts w:hint="eastAsia" w:ascii="Times New Roman" w:hAnsi="Times New Roman" w:eastAsia="宋体" w:cs="Times New Roman"/>
          <w:color w:val="000000" w:themeColor="text1"/>
          <w:spacing w:val="-2"/>
          <w:sz w:val="24"/>
          <w:szCs w:val="20"/>
          <w:u w:val="single"/>
          <w14:textFill>
            <w14:solidFill>
              <w14:schemeClr w14:val="tx1"/>
            </w14:solidFill>
          </w14:textFill>
        </w:rPr>
        <w:t>）</w:t>
      </w:r>
      <w:r>
        <w:rPr>
          <w:rFonts w:ascii="Times New Roman" w:hAnsi="Times New Roman" w:eastAsia="宋体" w:cs="Times New Roman"/>
          <w:color w:val="000000" w:themeColor="text1"/>
          <w:spacing w:val="-2"/>
          <w:sz w:val="24"/>
          <w:szCs w:val="20"/>
          <w:u w:val="single"/>
          <w14:textFill>
            <w14:solidFill>
              <w14:schemeClr w14:val="tx1"/>
            </w14:solidFill>
          </w14:textFill>
        </w:rPr>
        <w:t>的范围之内</w:t>
      </w:r>
      <w:r>
        <w:rPr>
          <w:rFonts w:ascii="宋体" w:hAnsi="宋体" w:eastAsia="宋体" w:cs="Times New Roman"/>
          <w:color w:val="000000" w:themeColor="text1"/>
          <w:spacing w:val="-2"/>
          <w:sz w:val="24"/>
          <w:szCs w:val="20"/>
          <w:u w:val="single"/>
          <w14:textFill>
            <w14:solidFill>
              <w14:schemeClr w14:val="tx1"/>
            </w14:solidFill>
          </w14:textFill>
        </w:rPr>
        <w:t>”。</w:t>
      </w:r>
      <w:r>
        <w:rPr>
          <w:rFonts w:ascii="Times New Roman" w:hAnsi="Times New Roman" w:eastAsia="宋体" w:cs="Times New Roman"/>
          <w:color w:val="000000" w:themeColor="text1"/>
          <w:spacing w:val="-2"/>
          <w:sz w:val="24"/>
          <w:szCs w:val="20"/>
          <w:u w:val="single"/>
          <w14:textFill>
            <w14:solidFill>
              <w14:schemeClr w14:val="tx1"/>
            </w14:solidFill>
          </w14:textFill>
        </w:rPr>
        <w:t>该项目企业属于伴生放射性矿资源开发利用企业，依据《电离辐射防护与辐射源安全基本标准》</w:t>
      </w:r>
      <w:r>
        <w:rPr>
          <w:rFonts w:hint="eastAsia" w:ascii="Times New Roman" w:hAnsi="Times New Roman" w:eastAsia="宋体" w:cs="Times New Roman"/>
          <w:color w:val="000000" w:themeColor="text1"/>
          <w:spacing w:val="-2"/>
          <w:sz w:val="24"/>
          <w:szCs w:val="20"/>
          <w:u w:val="single"/>
          <w14:textFill>
            <w14:solidFill>
              <w14:schemeClr w14:val="tx1"/>
            </w14:solidFill>
          </w14:textFill>
        </w:rPr>
        <w:t>（</w:t>
      </w:r>
      <w:r>
        <w:rPr>
          <w:rFonts w:ascii="Times New Roman" w:hAnsi="Times New Roman" w:eastAsia="宋体" w:cs="Times New Roman"/>
          <w:color w:val="000000" w:themeColor="text1"/>
          <w:spacing w:val="-2"/>
          <w:sz w:val="24"/>
          <w:szCs w:val="20"/>
          <w:u w:val="single"/>
          <w14:textFill>
            <w14:solidFill>
              <w14:schemeClr w14:val="tx1"/>
            </w14:solidFill>
          </w14:textFill>
        </w:rPr>
        <w:t>GB18871-2002</w:t>
      </w:r>
      <w:r>
        <w:rPr>
          <w:rFonts w:hint="eastAsia" w:ascii="Times New Roman" w:hAnsi="Times New Roman" w:eastAsia="宋体" w:cs="Times New Roman"/>
          <w:color w:val="000000" w:themeColor="text1"/>
          <w:spacing w:val="-2"/>
          <w:sz w:val="24"/>
          <w:szCs w:val="20"/>
          <w:u w:val="single"/>
          <w14:textFill>
            <w14:solidFill>
              <w14:schemeClr w14:val="tx1"/>
            </w14:solidFill>
          </w14:textFill>
        </w:rPr>
        <w:t>）</w:t>
      </w:r>
      <w:r>
        <w:rPr>
          <w:rFonts w:ascii="Times New Roman" w:hAnsi="Times New Roman" w:eastAsia="宋体" w:cs="Times New Roman"/>
          <w:color w:val="000000" w:themeColor="text1"/>
          <w:spacing w:val="-2"/>
          <w:sz w:val="24"/>
          <w:szCs w:val="20"/>
          <w:u w:val="single"/>
          <w14:textFill>
            <w14:solidFill>
              <w14:schemeClr w14:val="tx1"/>
            </w14:solidFill>
          </w14:textFill>
        </w:rPr>
        <w:t>、参照《铀矿冶辐射防护和辐射环境保护规定》</w:t>
      </w:r>
      <w:r>
        <w:rPr>
          <w:rFonts w:hint="eastAsia" w:ascii="Times New Roman" w:hAnsi="Times New Roman" w:eastAsia="宋体" w:cs="Times New Roman"/>
          <w:color w:val="000000" w:themeColor="text1"/>
          <w:spacing w:val="-2"/>
          <w:sz w:val="24"/>
          <w:szCs w:val="20"/>
          <w:u w:val="single"/>
          <w14:textFill>
            <w14:solidFill>
              <w14:schemeClr w14:val="tx1"/>
            </w14:solidFill>
          </w14:textFill>
        </w:rPr>
        <w:t>5.1.2中的剂量限值：“辐射实践累计所致公众年有效剂量限值不超过1mSv”。</w:t>
      </w:r>
      <w:r>
        <w:rPr>
          <w:rFonts w:ascii="Times New Roman" w:hAnsi="Times New Roman" w:eastAsia="宋体" w:cs="Times New Roman"/>
          <w:color w:val="000000" w:themeColor="text1"/>
          <w:spacing w:val="-2"/>
          <w:sz w:val="24"/>
          <w:szCs w:val="20"/>
          <w:u w:val="single"/>
          <w14:textFill>
            <w14:solidFill>
              <w14:schemeClr w14:val="tx1"/>
            </w14:solidFill>
          </w14:textFill>
        </w:rPr>
        <w:t>确定企业周围公众成员年有效剂量管理目标值</w:t>
      </w:r>
      <w:r>
        <w:rPr>
          <w:rFonts w:hint="eastAsia" w:ascii="Times New Roman" w:hAnsi="Times New Roman" w:eastAsia="宋体" w:cs="Times New Roman"/>
          <w:color w:val="000000" w:themeColor="text1"/>
          <w:spacing w:val="-2"/>
          <w:sz w:val="24"/>
          <w:szCs w:val="20"/>
          <w:u w:val="single"/>
          <w14:textFill>
            <w14:solidFill>
              <w14:schemeClr w14:val="tx1"/>
            </w14:solidFill>
          </w14:textFill>
        </w:rPr>
        <w:t>：</w:t>
      </w:r>
    </w:p>
    <w:p w14:paraId="4810A5FE">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u w:val="single"/>
          <w14:textFill>
            <w14:solidFill>
              <w14:schemeClr w14:val="tx1"/>
            </w14:solidFill>
          </w14:textFill>
        </w:rPr>
      </w:pPr>
      <w:r>
        <w:rPr>
          <w:rFonts w:hint="eastAsia" w:ascii="Times New Roman" w:hAnsi="Times New Roman" w:eastAsia="宋体" w:cs="Times New Roman"/>
          <w:color w:val="000000" w:themeColor="text1"/>
          <w:spacing w:val="-2"/>
          <w:sz w:val="24"/>
          <w:szCs w:val="20"/>
          <w:u w:val="single"/>
          <w14:textFill>
            <w14:solidFill>
              <w14:schemeClr w14:val="tx1"/>
            </w14:solidFill>
          </w14:textFill>
        </w:rPr>
        <w:t>1、</w:t>
      </w:r>
      <w:r>
        <w:rPr>
          <w:rFonts w:ascii="Times New Roman" w:hAnsi="Times New Roman" w:eastAsia="宋体" w:cs="Times New Roman"/>
          <w:color w:val="000000" w:themeColor="text1"/>
          <w:spacing w:val="-2"/>
          <w:sz w:val="24"/>
          <w:szCs w:val="20"/>
          <w:u w:val="single"/>
          <w14:textFill>
            <w14:solidFill>
              <w14:schemeClr w14:val="tx1"/>
            </w14:solidFill>
          </w14:textFill>
        </w:rPr>
        <w:t>正常工况，运行期公众照射的剂量约束值取连续5年的平均有效剂量不超过0.3 mSv/a；</w:t>
      </w:r>
    </w:p>
    <w:p w14:paraId="41BCDBAA">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u w:val="single"/>
          <w14:textFill>
            <w14:solidFill>
              <w14:schemeClr w14:val="tx1"/>
            </w14:solidFill>
          </w14:textFill>
        </w:rPr>
      </w:pPr>
      <w:r>
        <w:rPr>
          <w:rFonts w:hint="eastAsia" w:ascii="Times New Roman" w:hAnsi="Times New Roman" w:eastAsia="宋体" w:cs="Times New Roman"/>
          <w:color w:val="000000" w:themeColor="text1"/>
          <w:spacing w:val="-2"/>
          <w:sz w:val="24"/>
          <w:szCs w:val="20"/>
          <w:u w:val="single"/>
          <w14:textFill>
            <w14:solidFill>
              <w14:schemeClr w14:val="tx1"/>
            </w14:solidFill>
          </w14:textFill>
        </w:rPr>
        <w:t>2、</w:t>
      </w:r>
      <w:r>
        <w:rPr>
          <w:rFonts w:ascii="Times New Roman" w:hAnsi="Times New Roman" w:eastAsia="宋体" w:cs="Times New Roman"/>
          <w:color w:val="000000" w:themeColor="text1"/>
          <w:spacing w:val="-2"/>
          <w:sz w:val="24"/>
          <w:szCs w:val="20"/>
          <w:u w:val="single"/>
          <w14:textFill>
            <w14:solidFill>
              <w14:schemeClr w14:val="tx1"/>
            </w14:solidFill>
          </w14:textFill>
        </w:rPr>
        <w:t>非正常工况，公众照射的剂量约束值可以大于0.3 mSv/a，但不得超过1mSv/a</w:t>
      </w:r>
      <w:r>
        <w:rPr>
          <w:rFonts w:hint="eastAsia" w:ascii="Times New Roman" w:hAnsi="Times New Roman" w:eastAsia="宋体" w:cs="Times New Roman"/>
          <w:color w:val="000000" w:themeColor="text1"/>
          <w:spacing w:val="-2"/>
          <w:sz w:val="24"/>
          <w:szCs w:val="20"/>
          <w:u w:val="single"/>
          <w14:textFill>
            <w14:solidFill>
              <w14:schemeClr w14:val="tx1"/>
            </w14:solidFill>
          </w14:textFill>
        </w:rPr>
        <w:t>。</w:t>
      </w:r>
      <w:bookmarkEnd w:id="20"/>
    </w:p>
    <w:p w14:paraId="0543EC44">
      <w:pPr>
        <w:pStyle w:val="6"/>
        <w:widowControl w:val="0"/>
        <w:numPr>
          <w:ilvl w:val="3"/>
          <w:numId w:val="1"/>
        </w:numPr>
        <w:spacing w:before="0" w:line="360" w:lineRule="auto"/>
        <w:ind w:left="0" w:firstLine="0"/>
        <w:jc w:val="both"/>
        <w:rPr>
          <w:rFonts w:ascii="Times New Roman" w:hAnsi="Times New Roman" w:eastAsia="黑体" w:cs="Times New Roman"/>
          <w:bCs/>
          <w:i w:val="0"/>
          <w:iCs w:val="0"/>
          <w:color w:val="000000" w:themeColor="text1"/>
          <w:kern w:val="2"/>
          <w:sz w:val="24"/>
          <w:u w:val="single"/>
          <w14:textFill>
            <w14:solidFill>
              <w14:schemeClr w14:val="tx1"/>
            </w14:solidFill>
          </w14:textFill>
        </w:rPr>
      </w:pPr>
      <w:bookmarkStart w:id="21" w:name="_Hlk187703897"/>
      <w:r>
        <w:rPr>
          <w:rFonts w:hint="eastAsia" w:ascii="Times New Roman" w:hAnsi="Times New Roman" w:eastAsia="黑体" w:cs="Times New Roman"/>
          <w:bCs/>
          <w:i w:val="0"/>
          <w:iCs w:val="0"/>
          <w:color w:val="000000" w:themeColor="text1"/>
          <w:kern w:val="2"/>
          <w:sz w:val="24"/>
          <w:u w:val="single"/>
          <w14:textFill>
            <w14:solidFill>
              <w14:schemeClr w14:val="tx1"/>
            </w14:solidFill>
          </w14:textFill>
        </w:rPr>
        <w:t>工作人员剂量约束值</w:t>
      </w:r>
      <w:bookmarkEnd w:id="21"/>
    </w:p>
    <w:p w14:paraId="19CBA893">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u w:val="single"/>
          <w14:textFill>
            <w14:solidFill>
              <w14:schemeClr w14:val="tx1"/>
            </w14:solidFill>
          </w14:textFill>
        </w:rPr>
      </w:pPr>
      <w:bookmarkStart w:id="22" w:name="_Hlk187703926"/>
      <w:r>
        <w:rPr>
          <w:rFonts w:hint="eastAsia" w:ascii="Times New Roman" w:hAnsi="Times New Roman" w:eastAsia="宋体" w:cs="Times New Roman"/>
          <w:color w:val="000000" w:themeColor="text1"/>
          <w:spacing w:val="-2"/>
          <w:sz w:val="24"/>
          <w:szCs w:val="20"/>
          <w:u w:val="single"/>
          <w14:textFill>
            <w14:solidFill>
              <w14:schemeClr w14:val="tx1"/>
            </w14:solidFill>
          </w14:textFill>
        </w:rPr>
        <w:t>工作人员所致年附加有效附加剂量：依据《电离辐射防护与辐射源安全基本标准》 （GB18871-2002）中“由审管部门决定的连续5 年的年平均有效剂量（但不可作任何追溯性平均），20mSv/a”，本项目取其四分之一即5.0mSv/a作为工作人员年有效剂量管理目标值。</w:t>
      </w:r>
      <w:bookmarkEnd w:id="22"/>
    </w:p>
    <w:p w14:paraId="350EC7E6">
      <w:pPr>
        <w:pStyle w:val="5"/>
        <w:widowControl w:val="0"/>
        <w:numPr>
          <w:ilvl w:val="2"/>
          <w:numId w:val="1"/>
        </w:numPr>
        <w:spacing w:before="0" w:line="360" w:lineRule="auto"/>
        <w:jc w:val="both"/>
        <w:rPr>
          <w:rFonts w:ascii="Times New Roman" w:hAnsi="Times New Roman" w:eastAsia="黑体" w:cs="Times New Roman"/>
          <w:b/>
          <w:bCs/>
          <w:caps w:val="0"/>
          <w:color w:val="000000" w:themeColor="text1"/>
          <w:kern w:val="2"/>
          <w:sz w:val="24"/>
          <w:szCs w:val="32"/>
          <w14:textFill>
            <w14:solidFill>
              <w14:schemeClr w14:val="tx1"/>
            </w14:solidFill>
          </w14:textFill>
        </w:rPr>
      </w:pPr>
      <w:r>
        <w:rPr>
          <w:rFonts w:hint="eastAsia" w:ascii="Times New Roman" w:hAnsi="Times New Roman" w:eastAsia="黑体" w:cs="Times New Roman"/>
          <w:b/>
          <w:bCs/>
          <w:caps w:val="0"/>
          <w:color w:val="000000" w:themeColor="text1"/>
          <w:kern w:val="2"/>
          <w:sz w:val="24"/>
          <w:szCs w:val="32"/>
          <w14:textFill>
            <w14:solidFill>
              <w14:schemeClr w14:val="tx1"/>
            </w14:solidFill>
          </w14:textFill>
        </w:rPr>
        <w:t>放射性评价标准</w:t>
      </w:r>
    </w:p>
    <w:p w14:paraId="13179AC0">
      <w:pPr>
        <w:pStyle w:val="6"/>
        <w:widowControl w:val="0"/>
        <w:numPr>
          <w:ilvl w:val="3"/>
          <w:numId w:val="1"/>
        </w:numPr>
        <w:spacing w:before="0" w:line="360" w:lineRule="auto"/>
        <w:ind w:left="0" w:firstLine="0"/>
        <w:jc w:val="both"/>
        <w:rPr>
          <w:rFonts w:ascii="Times New Roman" w:hAnsi="Times New Roman" w:eastAsia="黑体" w:cs="Times New Roman"/>
          <w:bCs/>
          <w:i w:val="0"/>
          <w:iCs w:val="0"/>
          <w:color w:val="000000" w:themeColor="text1"/>
          <w:kern w:val="2"/>
          <w:sz w:val="24"/>
          <w14:textFill>
            <w14:solidFill>
              <w14:schemeClr w14:val="tx1"/>
            </w14:solidFill>
          </w14:textFill>
        </w:rPr>
      </w:pPr>
      <w:r>
        <w:rPr>
          <w:rFonts w:hint="eastAsia" w:ascii="Times New Roman" w:hAnsi="Times New Roman" w:eastAsia="黑体" w:cs="Times New Roman"/>
          <w:bCs/>
          <w:i w:val="0"/>
          <w:iCs w:val="0"/>
          <w:color w:val="000000" w:themeColor="text1"/>
          <w:kern w:val="2"/>
          <w:sz w:val="24"/>
          <w14:textFill>
            <w14:solidFill>
              <w14:schemeClr w14:val="tx1"/>
            </w14:solidFill>
          </w14:textFill>
        </w:rPr>
        <w:t>辐射环境质量标准</w:t>
      </w:r>
    </w:p>
    <w:p w14:paraId="0B986336">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（1）</w:t>
      </w:r>
      <w:r>
        <w:rPr>
          <w:rFonts w:ascii="Times New Roman" w:hAnsi="Times New Roman" w:eastAsia="宋体" w:cs="Times New Roman"/>
          <w:color w:val="000000" w:themeColor="text1"/>
          <w:spacing w:val="-2"/>
          <w:sz w:val="24"/>
          <w:szCs w:val="20"/>
          <w14:textFill>
            <w14:solidFill>
              <w14:schemeClr w14:val="tx1"/>
            </w14:solidFill>
          </w14:textFill>
        </w:rPr>
        <w:t>γ</w:t>
      </w:r>
      <w:r>
        <w:rPr>
          <w:rFonts w:hint="eastAsia" w:ascii="Times New Roman" w:hAnsi="Times New Roman" w:eastAsia="宋体" w:cs="Times New Roman"/>
          <w:color w:val="000000" w:themeColor="text1"/>
          <w:spacing w:val="-2"/>
          <w:sz w:val="24"/>
          <w:szCs w:val="20"/>
          <w14:textFill>
            <w14:solidFill>
              <w14:schemeClr w14:val="tx1"/>
            </w14:solidFill>
          </w14:textFill>
        </w:rPr>
        <w:t>辐射空气吸收剂量率</w:t>
      </w:r>
    </w:p>
    <w:p w14:paraId="7022CF94">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根据《中国环境天然放射性水平》（国家环境保护局，1995年）中，广西原野γ辐射空气吸收剂量率为10.7～238.7nGy/h。</w:t>
      </w:r>
    </w:p>
    <w:p w14:paraId="02824D1E">
      <w:pPr>
        <w:widowControl w:val="0"/>
        <w:spacing w:after="0" w:line="360" w:lineRule="auto"/>
        <w:jc w:val="center"/>
        <w:rPr>
          <w:rFonts w:ascii="Times New Roman" w:hAnsi="Times New Roman" w:eastAsia="宋体" w:cs="Times New Roman"/>
          <w:b/>
          <w:bCs/>
          <w:color w:val="000000" w:themeColor="text1"/>
          <w:spacing w:val="-2"/>
          <w:sz w:val="24"/>
          <w:szCs w:val="20"/>
          <w14:textFill>
            <w14:solidFill>
              <w14:schemeClr w14:val="tx1"/>
            </w14:solidFill>
          </w14:textFill>
        </w:rPr>
      </w:pPr>
      <w:r>
        <w:rPr>
          <w:rFonts w:hint="eastAsia" w:ascii="Times New Roman" w:hAnsi="Times New Roman" w:eastAsia="宋体" w:cs="Times New Roman"/>
          <w:b/>
          <w:bCs/>
          <w:color w:val="000000" w:themeColor="text1"/>
          <w:spacing w:val="-2"/>
          <w:sz w:val="24"/>
          <w:szCs w:val="20"/>
          <w14:textFill>
            <w14:solidFill>
              <w14:schemeClr w14:val="tx1"/>
            </w14:solidFill>
          </w14:textFill>
        </w:rPr>
        <w:t xml:space="preserve">表1.2-1 </w:t>
      </w:r>
      <w:r>
        <w:rPr>
          <w:rFonts w:ascii="Times New Roman" w:hAnsi="Times New Roman" w:eastAsia="宋体" w:cs="Times New Roman"/>
          <w:b/>
          <w:bCs/>
          <w:color w:val="000000" w:themeColor="text1"/>
          <w:spacing w:val="-2"/>
          <w:sz w:val="24"/>
          <w:szCs w:val="20"/>
          <w14:textFill>
            <w14:solidFill>
              <w14:schemeClr w14:val="tx1"/>
            </w14:solidFill>
          </w14:textFill>
        </w:rPr>
        <w:t>《中国环境天然放射性水平》中广西钦州地区环境天然放射性水平</w:t>
      </w:r>
    </w:p>
    <w:tbl>
      <w:tblPr>
        <w:tblStyle w:val="46"/>
        <w:tblW w:w="901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19"/>
        <w:gridCol w:w="2127"/>
        <w:gridCol w:w="2126"/>
        <w:gridCol w:w="3645"/>
      </w:tblGrid>
      <w:tr w14:paraId="29AD43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119" w:type="dxa"/>
            <w:vAlign w:val="center"/>
          </w:tcPr>
          <w:p w14:paraId="5BD51E2F">
            <w:pPr>
              <w:adjustRightInd w:val="0"/>
              <w:snapToGrid w:val="0"/>
              <w:spacing w:after="0" w:line="240" w:lineRule="auto"/>
              <w:jc w:val="center"/>
              <w:rPr>
                <w:rFonts w:ascii="Times New Roman" w:hAnsi="Times New Roman"/>
                <w:b/>
                <w:bCs/>
                <w:color w:val="000000" w:themeColor="text1"/>
                <w:spacing w:val="-2"/>
                <w14:textFill>
                  <w14:solidFill>
                    <w14:schemeClr w14:val="tx1"/>
                  </w14:solidFill>
                </w14:textFill>
              </w:rPr>
            </w:pPr>
            <w:r>
              <w:rPr>
                <w:rFonts w:ascii="Times New Roman" w:hAnsi="Times New Roman"/>
                <w:b/>
                <w:bCs/>
                <w:color w:val="000000" w:themeColor="text1"/>
                <w:spacing w:val="-2"/>
                <w14:textFill>
                  <w14:solidFill>
                    <w14:schemeClr w14:val="tx1"/>
                  </w14:solidFill>
                </w14:textFill>
              </w:rPr>
              <w:t>序号</w:t>
            </w:r>
          </w:p>
        </w:tc>
        <w:tc>
          <w:tcPr>
            <w:tcW w:w="2127" w:type="dxa"/>
            <w:vAlign w:val="center"/>
          </w:tcPr>
          <w:p w14:paraId="19F3EA50">
            <w:pPr>
              <w:adjustRightInd w:val="0"/>
              <w:snapToGrid w:val="0"/>
              <w:spacing w:after="0" w:line="240" w:lineRule="auto"/>
              <w:jc w:val="center"/>
              <w:rPr>
                <w:rFonts w:ascii="Times New Roman" w:hAnsi="Times New Roman"/>
                <w:b/>
                <w:bCs/>
                <w:color w:val="000000" w:themeColor="text1"/>
                <w:spacing w:val="-2"/>
                <w14:textFill>
                  <w14:solidFill>
                    <w14:schemeClr w14:val="tx1"/>
                  </w14:solidFill>
                </w14:textFill>
              </w:rPr>
            </w:pPr>
            <w:r>
              <w:rPr>
                <w:rFonts w:ascii="Times New Roman" w:hAnsi="Times New Roman"/>
                <w:b/>
                <w:bCs/>
                <w:color w:val="000000" w:themeColor="text1"/>
                <w:spacing w:val="-2"/>
                <w14:textFill>
                  <w14:solidFill>
                    <w14:schemeClr w14:val="tx1"/>
                  </w14:solidFill>
                </w14:textFill>
              </w:rPr>
              <w:t>项目</w:t>
            </w:r>
          </w:p>
        </w:tc>
        <w:tc>
          <w:tcPr>
            <w:tcW w:w="2126" w:type="dxa"/>
            <w:vAlign w:val="center"/>
          </w:tcPr>
          <w:p w14:paraId="3D70C57F">
            <w:pPr>
              <w:adjustRightInd w:val="0"/>
              <w:snapToGrid w:val="0"/>
              <w:spacing w:after="0" w:line="240" w:lineRule="auto"/>
              <w:jc w:val="center"/>
              <w:rPr>
                <w:rFonts w:ascii="Times New Roman" w:hAnsi="Times New Roman"/>
                <w:b/>
                <w:bCs/>
                <w:color w:val="000000" w:themeColor="text1"/>
                <w:spacing w:val="-2"/>
                <w14:textFill>
                  <w14:solidFill>
                    <w14:schemeClr w14:val="tx1"/>
                  </w14:solidFill>
                </w14:textFill>
              </w:rPr>
            </w:pPr>
            <w:r>
              <w:rPr>
                <w:rFonts w:ascii="Times New Roman" w:hAnsi="Times New Roman"/>
                <w:b/>
                <w:bCs/>
                <w:color w:val="000000" w:themeColor="text1"/>
                <w:spacing w:val="-2"/>
                <w14:textFill>
                  <w14:solidFill>
                    <w14:schemeClr w14:val="tx1"/>
                  </w14:solidFill>
                </w14:textFill>
              </w:rPr>
              <w:t>单位</w:t>
            </w:r>
          </w:p>
        </w:tc>
        <w:tc>
          <w:tcPr>
            <w:tcW w:w="3645" w:type="dxa"/>
            <w:vAlign w:val="center"/>
          </w:tcPr>
          <w:p w14:paraId="2A556916">
            <w:pPr>
              <w:adjustRightInd w:val="0"/>
              <w:snapToGrid w:val="0"/>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b/>
                <w:color w:val="000000" w:themeColor="text1"/>
                <w:spacing w:val="-2"/>
                <w14:textFill>
                  <w14:solidFill>
                    <w14:schemeClr w14:val="tx1"/>
                  </w14:solidFill>
                </w14:textFill>
              </w:rPr>
              <w:t>《中国环境天然放射性水平》中广西钦州地区范围值</w:t>
            </w:r>
          </w:p>
        </w:tc>
      </w:tr>
      <w:tr w14:paraId="38C54E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9" w:type="dxa"/>
            <w:vAlign w:val="center"/>
          </w:tcPr>
          <w:p w14:paraId="7705CB98">
            <w:pPr>
              <w:adjustRightInd w:val="0"/>
              <w:snapToGrid w:val="0"/>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1</w:t>
            </w:r>
          </w:p>
        </w:tc>
        <w:tc>
          <w:tcPr>
            <w:tcW w:w="2127" w:type="dxa"/>
            <w:vAlign w:val="center"/>
          </w:tcPr>
          <w:p w14:paraId="34606FB8">
            <w:pPr>
              <w:adjustRightInd w:val="0"/>
              <w:snapToGrid w:val="0"/>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γ辐射剂量率</w:t>
            </w:r>
          </w:p>
        </w:tc>
        <w:tc>
          <w:tcPr>
            <w:tcW w:w="2126" w:type="dxa"/>
            <w:vAlign w:val="center"/>
          </w:tcPr>
          <w:p w14:paraId="72AAB617">
            <w:pPr>
              <w:adjustRightInd w:val="0"/>
              <w:snapToGrid w:val="0"/>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μGy/h</w:t>
            </w:r>
          </w:p>
        </w:tc>
        <w:tc>
          <w:tcPr>
            <w:tcW w:w="3645" w:type="dxa"/>
            <w:vAlign w:val="center"/>
          </w:tcPr>
          <w:p w14:paraId="1A187ECD">
            <w:pPr>
              <w:adjustRightInd w:val="0"/>
              <w:snapToGrid w:val="0"/>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0.0229~0.1190</w:t>
            </w:r>
          </w:p>
        </w:tc>
      </w:tr>
      <w:tr w14:paraId="5A8EF7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9" w:type="dxa"/>
            <w:vAlign w:val="center"/>
          </w:tcPr>
          <w:p w14:paraId="045E57CF">
            <w:pPr>
              <w:adjustRightInd w:val="0"/>
              <w:snapToGrid w:val="0"/>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2</w:t>
            </w:r>
          </w:p>
        </w:tc>
        <w:tc>
          <w:tcPr>
            <w:tcW w:w="2127" w:type="dxa"/>
            <w:vAlign w:val="center"/>
          </w:tcPr>
          <w:p w14:paraId="325B5A1F">
            <w:pPr>
              <w:adjustRightInd w:val="0"/>
              <w:snapToGrid w:val="0"/>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土壤</w:t>
            </w:r>
            <w:r>
              <w:rPr>
                <w:rFonts w:ascii="Times New Roman" w:hAnsi="Times New Roman"/>
                <w:color w:val="000000" w:themeColor="text1"/>
                <w:spacing w:val="-2"/>
                <w:vertAlign w:val="superscript"/>
                <w14:textFill>
                  <w14:solidFill>
                    <w14:schemeClr w14:val="tx1"/>
                  </w14:solidFill>
                </w14:textFill>
              </w:rPr>
              <w:t>238</w:t>
            </w:r>
            <w:r>
              <w:rPr>
                <w:rFonts w:ascii="Times New Roman" w:hAnsi="Times New Roman"/>
                <w:color w:val="000000" w:themeColor="text1"/>
                <w:spacing w:val="-2"/>
                <w14:textFill>
                  <w14:solidFill>
                    <w14:schemeClr w14:val="tx1"/>
                  </w14:solidFill>
                </w14:textFill>
              </w:rPr>
              <w:t>U</w:t>
            </w:r>
          </w:p>
        </w:tc>
        <w:tc>
          <w:tcPr>
            <w:tcW w:w="2126" w:type="dxa"/>
            <w:vAlign w:val="center"/>
          </w:tcPr>
          <w:p w14:paraId="759D1A65">
            <w:pPr>
              <w:adjustRightInd w:val="0"/>
              <w:snapToGrid w:val="0"/>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Bq/kg</w:t>
            </w:r>
          </w:p>
        </w:tc>
        <w:tc>
          <w:tcPr>
            <w:tcW w:w="3645" w:type="dxa"/>
            <w:vAlign w:val="center"/>
          </w:tcPr>
          <w:p w14:paraId="270A8B4E">
            <w:pPr>
              <w:adjustRightInd w:val="0"/>
              <w:snapToGrid w:val="0"/>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11.0~151.0</w:t>
            </w:r>
          </w:p>
        </w:tc>
      </w:tr>
      <w:tr w14:paraId="29D4D1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9" w:type="dxa"/>
            <w:vAlign w:val="center"/>
          </w:tcPr>
          <w:p w14:paraId="39B9738B">
            <w:pPr>
              <w:adjustRightInd w:val="0"/>
              <w:snapToGrid w:val="0"/>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3</w:t>
            </w:r>
          </w:p>
        </w:tc>
        <w:tc>
          <w:tcPr>
            <w:tcW w:w="2127" w:type="dxa"/>
            <w:vAlign w:val="center"/>
          </w:tcPr>
          <w:p w14:paraId="1A925C03">
            <w:pPr>
              <w:adjustRightInd w:val="0"/>
              <w:snapToGrid w:val="0"/>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土壤</w:t>
            </w:r>
            <w:r>
              <w:rPr>
                <w:rFonts w:ascii="Times New Roman" w:hAnsi="Times New Roman"/>
                <w:color w:val="000000" w:themeColor="text1"/>
                <w:spacing w:val="-2"/>
                <w:vertAlign w:val="superscript"/>
                <w14:textFill>
                  <w14:solidFill>
                    <w14:schemeClr w14:val="tx1"/>
                  </w14:solidFill>
                </w14:textFill>
              </w:rPr>
              <w:t>232</w:t>
            </w:r>
            <w:r>
              <w:rPr>
                <w:rFonts w:ascii="Times New Roman" w:hAnsi="Times New Roman"/>
                <w:color w:val="000000" w:themeColor="text1"/>
                <w:spacing w:val="-2"/>
                <w14:textFill>
                  <w14:solidFill>
                    <w14:schemeClr w14:val="tx1"/>
                  </w14:solidFill>
                </w14:textFill>
              </w:rPr>
              <w:t>Th</w:t>
            </w:r>
          </w:p>
        </w:tc>
        <w:tc>
          <w:tcPr>
            <w:tcW w:w="2126" w:type="dxa"/>
            <w:vAlign w:val="center"/>
          </w:tcPr>
          <w:p w14:paraId="7BE0A19F">
            <w:pPr>
              <w:adjustRightInd w:val="0"/>
              <w:snapToGrid w:val="0"/>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Bq/kg</w:t>
            </w:r>
          </w:p>
        </w:tc>
        <w:tc>
          <w:tcPr>
            <w:tcW w:w="3645" w:type="dxa"/>
            <w:vAlign w:val="center"/>
          </w:tcPr>
          <w:p w14:paraId="73A55C5A">
            <w:pPr>
              <w:adjustRightInd w:val="0"/>
              <w:snapToGrid w:val="0"/>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26.1~182.0</w:t>
            </w:r>
          </w:p>
        </w:tc>
      </w:tr>
      <w:tr w14:paraId="106FB1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9" w:type="dxa"/>
            <w:vAlign w:val="center"/>
          </w:tcPr>
          <w:p w14:paraId="64823922">
            <w:pPr>
              <w:adjustRightInd w:val="0"/>
              <w:snapToGrid w:val="0"/>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4</w:t>
            </w:r>
          </w:p>
        </w:tc>
        <w:tc>
          <w:tcPr>
            <w:tcW w:w="2127" w:type="dxa"/>
            <w:vAlign w:val="center"/>
          </w:tcPr>
          <w:p w14:paraId="72D6B101">
            <w:pPr>
              <w:adjustRightInd w:val="0"/>
              <w:snapToGrid w:val="0"/>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土壤</w:t>
            </w:r>
            <w:r>
              <w:rPr>
                <w:rFonts w:ascii="Times New Roman" w:hAnsi="Times New Roman"/>
                <w:color w:val="000000" w:themeColor="text1"/>
                <w:spacing w:val="-2"/>
                <w:vertAlign w:val="superscript"/>
                <w14:textFill>
                  <w14:solidFill>
                    <w14:schemeClr w14:val="tx1"/>
                  </w14:solidFill>
                </w14:textFill>
              </w:rPr>
              <w:t>226</w:t>
            </w:r>
            <w:r>
              <w:rPr>
                <w:rFonts w:ascii="Times New Roman" w:hAnsi="Times New Roman"/>
                <w:color w:val="000000" w:themeColor="text1"/>
                <w:spacing w:val="-2"/>
                <w14:textFill>
                  <w14:solidFill>
                    <w14:schemeClr w14:val="tx1"/>
                  </w14:solidFill>
                </w14:textFill>
              </w:rPr>
              <w:t>Ra</w:t>
            </w:r>
          </w:p>
        </w:tc>
        <w:tc>
          <w:tcPr>
            <w:tcW w:w="2126" w:type="dxa"/>
            <w:vAlign w:val="center"/>
          </w:tcPr>
          <w:p w14:paraId="31516388">
            <w:pPr>
              <w:adjustRightInd w:val="0"/>
              <w:snapToGrid w:val="0"/>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Bq/kg</w:t>
            </w:r>
          </w:p>
        </w:tc>
        <w:tc>
          <w:tcPr>
            <w:tcW w:w="3645" w:type="dxa"/>
            <w:vAlign w:val="center"/>
          </w:tcPr>
          <w:p w14:paraId="1A642F1A">
            <w:pPr>
              <w:adjustRightInd w:val="0"/>
              <w:snapToGrid w:val="0"/>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18.9~102.0</w:t>
            </w:r>
          </w:p>
        </w:tc>
      </w:tr>
      <w:tr w14:paraId="45C579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9" w:type="dxa"/>
            <w:vAlign w:val="center"/>
          </w:tcPr>
          <w:p w14:paraId="280C23EF">
            <w:pPr>
              <w:adjustRightInd w:val="0"/>
              <w:snapToGrid w:val="0"/>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5</w:t>
            </w:r>
          </w:p>
        </w:tc>
        <w:tc>
          <w:tcPr>
            <w:tcW w:w="2127" w:type="dxa"/>
            <w:vAlign w:val="center"/>
          </w:tcPr>
          <w:p w14:paraId="74CB4650">
            <w:pPr>
              <w:adjustRightInd w:val="0"/>
              <w:snapToGrid w:val="0"/>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地表水U</w:t>
            </w:r>
            <w:r>
              <w:rPr>
                <w:rFonts w:ascii="Times New Roman" w:hAnsi="Times New Roman"/>
                <w:color w:val="000000" w:themeColor="text1"/>
                <w:spacing w:val="-2"/>
                <w:vertAlign w:val="subscript"/>
                <w14:textFill>
                  <w14:solidFill>
                    <w14:schemeClr w14:val="tx1"/>
                  </w14:solidFill>
                </w14:textFill>
              </w:rPr>
              <w:t>天然</w:t>
            </w:r>
          </w:p>
        </w:tc>
        <w:tc>
          <w:tcPr>
            <w:tcW w:w="2126" w:type="dxa"/>
            <w:vAlign w:val="center"/>
          </w:tcPr>
          <w:p w14:paraId="355557A2">
            <w:pPr>
              <w:adjustRightInd w:val="0"/>
              <w:snapToGrid w:val="0"/>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µg/L</w:t>
            </w:r>
          </w:p>
        </w:tc>
        <w:tc>
          <w:tcPr>
            <w:tcW w:w="3645" w:type="dxa"/>
            <w:vAlign w:val="center"/>
          </w:tcPr>
          <w:p w14:paraId="260FC356">
            <w:pPr>
              <w:adjustRightInd w:val="0"/>
              <w:snapToGrid w:val="0"/>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0.08~0.31</w:t>
            </w:r>
          </w:p>
        </w:tc>
      </w:tr>
      <w:tr w14:paraId="4515BC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9" w:type="dxa"/>
            <w:vAlign w:val="center"/>
          </w:tcPr>
          <w:p w14:paraId="43DDC8B2">
            <w:pPr>
              <w:adjustRightInd w:val="0"/>
              <w:snapToGrid w:val="0"/>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6</w:t>
            </w:r>
          </w:p>
        </w:tc>
        <w:tc>
          <w:tcPr>
            <w:tcW w:w="2127" w:type="dxa"/>
            <w:vAlign w:val="center"/>
          </w:tcPr>
          <w:p w14:paraId="2E6922BE">
            <w:pPr>
              <w:adjustRightInd w:val="0"/>
              <w:snapToGrid w:val="0"/>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地表水Th</w:t>
            </w:r>
          </w:p>
        </w:tc>
        <w:tc>
          <w:tcPr>
            <w:tcW w:w="2126" w:type="dxa"/>
            <w:vAlign w:val="center"/>
          </w:tcPr>
          <w:p w14:paraId="126690D8">
            <w:pPr>
              <w:adjustRightInd w:val="0"/>
              <w:snapToGrid w:val="0"/>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µg/L</w:t>
            </w:r>
          </w:p>
        </w:tc>
        <w:tc>
          <w:tcPr>
            <w:tcW w:w="3645" w:type="dxa"/>
            <w:vAlign w:val="center"/>
          </w:tcPr>
          <w:p w14:paraId="03CF5C54">
            <w:pPr>
              <w:adjustRightInd w:val="0"/>
              <w:snapToGrid w:val="0"/>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0.08~0.12</w:t>
            </w:r>
          </w:p>
        </w:tc>
      </w:tr>
      <w:tr w14:paraId="249457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9" w:type="dxa"/>
            <w:vAlign w:val="center"/>
          </w:tcPr>
          <w:p w14:paraId="6DE51814">
            <w:pPr>
              <w:adjustRightInd w:val="0"/>
              <w:snapToGrid w:val="0"/>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7</w:t>
            </w:r>
          </w:p>
        </w:tc>
        <w:tc>
          <w:tcPr>
            <w:tcW w:w="2127" w:type="dxa"/>
            <w:vAlign w:val="center"/>
          </w:tcPr>
          <w:p w14:paraId="08D9B61F">
            <w:pPr>
              <w:adjustRightInd w:val="0"/>
              <w:snapToGrid w:val="0"/>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地表水</w:t>
            </w:r>
            <w:r>
              <w:rPr>
                <w:rFonts w:ascii="Times New Roman" w:hAnsi="Times New Roman"/>
                <w:color w:val="000000" w:themeColor="text1"/>
                <w:spacing w:val="-2"/>
                <w:vertAlign w:val="superscript"/>
                <w14:textFill>
                  <w14:solidFill>
                    <w14:schemeClr w14:val="tx1"/>
                  </w14:solidFill>
                </w14:textFill>
              </w:rPr>
              <w:t>226</w:t>
            </w:r>
            <w:r>
              <w:rPr>
                <w:rFonts w:ascii="Times New Roman" w:hAnsi="Times New Roman"/>
                <w:color w:val="000000" w:themeColor="text1"/>
                <w:spacing w:val="-2"/>
                <w14:textFill>
                  <w14:solidFill>
                    <w14:schemeClr w14:val="tx1"/>
                  </w14:solidFill>
                </w14:textFill>
              </w:rPr>
              <w:t>Ra</w:t>
            </w:r>
          </w:p>
        </w:tc>
        <w:tc>
          <w:tcPr>
            <w:tcW w:w="2126" w:type="dxa"/>
            <w:vAlign w:val="center"/>
          </w:tcPr>
          <w:p w14:paraId="232C8AAC">
            <w:pPr>
              <w:adjustRightInd w:val="0"/>
              <w:snapToGrid w:val="0"/>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mBq/L</w:t>
            </w:r>
          </w:p>
        </w:tc>
        <w:tc>
          <w:tcPr>
            <w:tcW w:w="3645" w:type="dxa"/>
            <w:vAlign w:val="center"/>
          </w:tcPr>
          <w:p w14:paraId="7ED09FEE">
            <w:pPr>
              <w:adjustRightInd w:val="0"/>
              <w:snapToGrid w:val="0"/>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1.70~6.40</w:t>
            </w:r>
          </w:p>
        </w:tc>
      </w:tr>
      <w:tr w14:paraId="1DA4C2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9" w:type="dxa"/>
            <w:vAlign w:val="center"/>
          </w:tcPr>
          <w:p w14:paraId="69E18B4D">
            <w:pPr>
              <w:adjustRightInd w:val="0"/>
              <w:snapToGrid w:val="0"/>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8</w:t>
            </w:r>
          </w:p>
        </w:tc>
        <w:tc>
          <w:tcPr>
            <w:tcW w:w="2127" w:type="dxa"/>
            <w:vAlign w:val="center"/>
          </w:tcPr>
          <w:p w14:paraId="0CA9F207">
            <w:pPr>
              <w:adjustRightInd w:val="0"/>
              <w:snapToGrid w:val="0"/>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地下水U</w:t>
            </w:r>
            <w:r>
              <w:rPr>
                <w:rFonts w:ascii="Times New Roman" w:hAnsi="Times New Roman"/>
                <w:color w:val="000000" w:themeColor="text1"/>
                <w:spacing w:val="-2"/>
                <w:vertAlign w:val="subscript"/>
                <w14:textFill>
                  <w14:solidFill>
                    <w14:schemeClr w14:val="tx1"/>
                  </w14:solidFill>
                </w14:textFill>
              </w:rPr>
              <w:t>天然</w:t>
            </w:r>
          </w:p>
        </w:tc>
        <w:tc>
          <w:tcPr>
            <w:tcW w:w="2126" w:type="dxa"/>
            <w:vAlign w:val="center"/>
          </w:tcPr>
          <w:p w14:paraId="6EB69CFB">
            <w:pPr>
              <w:adjustRightInd w:val="0"/>
              <w:snapToGrid w:val="0"/>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µg/L</w:t>
            </w:r>
          </w:p>
        </w:tc>
        <w:tc>
          <w:tcPr>
            <w:tcW w:w="3645" w:type="dxa"/>
            <w:vAlign w:val="center"/>
          </w:tcPr>
          <w:p w14:paraId="6EB129FD">
            <w:pPr>
              <w:adjustRightInd w:val="0"/>
              <w:snapToGrid w:val="0"/>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0.02~0.83</w:t>
            </w:r>
          </w:p>
        </w:tc>
      </w:tr>
      <w:tr w14:paraId="1EDCF9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9" w:type="dxa"/>
            <w:vAlign w:val="center"/>
          </w:tcPr>
          <w:p w14:paraId="54D2F27E">
            <w:pPr>
              <w:adjustRightInd w:val="0"/>
              <w:snapToGrid w:val="0"/>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9</w:t>
            </w:r>
          </w:p>
        </w:tc>
        <w:tc>
          <w:tcPr>
            <w:tcW w:w="2127" w:type="dxa"/>
            <w:vAlign w:val="center"/>
          </w:tcPr>
          <w:p w14:paraId="3BAD9D72">
            <w:pPr>
              <w:adjustRightInd w:val="0"/>
              <w:snapToGrid w:val="0"/>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地下水Th</w:t>
            </w:r>
          </w:p>
        </w:tc>
        <w:tc>
          <w:tcPr>
            <w:tcW w:w="2126" w:type="dxa"/>
            <w:vAlign w:val="center"/>
          </w:tcPr>
          <w:p w14:paraId="0E7DF7CF">
            <w:pPr>
              <w:adjustRightInd w:val="0"/>
              <w:snapToGrid w:val="0"/>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µg/L</w:t>
            </w:r>
          </w:p>
        </w:tc>
        <w:tc>
          <w:tcPr>
            <w:tcW w:w="3645" w:type="dxa"/>
            <w:vAlign w:val="center"/>
          </w:tcPr>
          <w:p w14:paraId="11986810">
            <w:pPr>
              <w:adjustRightInd w:val="0"/>
              <w:snapToGrid w:val="0"/>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1.10~80.3</w:t>
            </w:r>
          </w:p>
        </w:tc>
      </w:tr>
      <w:tr w14:paraId="31038C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9" w:type="dxa"/>
            <w:vAlign w:val="center"/>
          </w:tcPr>
          <w:p w14:paraId="1E5EFBA8">
            <w:pPr>
              <w:adjustRightInd w:val="0"/>
              <w:snapToGrid w:val="0"/>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10</w:t>
            </w:r>
          </w:p>
        </w:tc>
        <w:tc>
          <w:tcPr>
            <w:tcW w:w="2127" w:type="dxa"/>
            <w:vAlign w:val="center"/>
          </w:tcPr>
          <w:p w14:paraId="3CE9168D">
            <w:pPr>
              <w:adjustRightInd w:val="0"/>
              <w:snapToGrid w:val="0"/>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地下水</w:t>
            </w:r>
            <w:r>
              <w:rPr>
                <w:rFonts w:ascii="Times New Roman" w:hAnsi="Times New Roman"/>
                <w:color w:val="000000" w:themeColor="text1"/>
                <w:spacing w:val="-2"/>
                <w:vertAlign w:val="superscript"/>
                <w14:textFill>
                  <w14:solidFill>
                    <w14:schemeClr w14:val="tx1"/>
                  </w14:solidFill>
                </w14:textFill>
              </w:rPr>
              <w:t>226</w:t>
            </w:r>
            <w:r>
              <w:rPr>
                <w:rFonts w:ascii="Times New Roman" w:hAnsi="Times New Roman"/>
                <w:color w:val="000000" w:themeColor="text1"/>
                <w:spacing w:val="-2"/>
                <w14:textFill>
                  <w14:solidFill>
                    <w14:schemeClr w14:val="tx1"/>
                  </w14:solidFill>
                </w14:textFill>
              </w:rPr>
              <w:t>Ra</w:t>
            </w:r>
          </w:p>
        </w:tc>
        <w:tc>
          <w:tcPr>
            <w:tcW w:w="2126" w:type="dxa"/>
            <w:vAlign w:val="center"/>
          </w:tcPr>
          <w:p w14:paraId="5512F3BE">
            <w:pPr>
              <w:adjustRightInd w:val="0"/>
              <w:snapToGrid w:val="0"/>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mBq/L</w:t>
            </w:r>
          </w:p>
        </w:tc>
        <w:tc>
          <w:tcPr>
            <w:tcW w:w="3645" w:type="dxa"/>
            <w:vAlign w:val="center"/>
          </w:tcPr>
          <w:p w14:paraId="531D95AA">
            <w:pPr>
              <w:adjustRightInd w:val="0"/>
              <w:snapToGrid w:val="0"/>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0.02~0.14</w:t>
            </w:r>
          </w:p>
        </w:tc>
      </w:tr>
    </w:tbl>
    <w:p w14:paraId="70265A83">
      <w:pPr>
        <w:spacing w:line="360" w:lineRule="auto"/>
        <w:ind w:firstLine="420" w:firstLineChars="200"/>
        <w:rPr>
          <w:rFonts w:ascii="Times New Roman" w:hAnsi="Times New Roman"/>
          <w:color w:val="000000" w:themeColor="text1"/>
          <w14:textFill>
            <w14:solidFill>
              <w14:schemeClr w14:val="tx1"/>
            </w14:solidFill>
          </w14:textFill>
        </w:rPr>
      </w:pPr>
    </w:p>
    <w:p w14:paraId="0A6B5991">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（2）氡浓度</w:t>
      </w:r>
    </w:p>
    <w:p w14:paraId="5357BA76">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氡浓度：由于《中国环境天然放射性水平》中无广西地区的室外空气中氡浓度限值，故本专篇参照《中国环境天然放射性水平》中广东广州地区室外空气中氡浓度范围值（6.8</w:t>
      </w:r>
      <w:r>
        <w:rPr>
          <w:rFonts w:hint="eastAsia" w:ascii="Times New Roman" w:hAnsi="Times New Roman" w:eastAsia="宋体" w:cs="Times New Roman"/>
          <w:color w:val="000000" w:themeColor="text1"/>
          <w:spacing w:val="-2"/>
          <w:sz w:val="24"/>
          <w:szCs w:val="20"/>
          <w14:textFill>
            <w14:solidFill>
              <w14:schemeClr w14:val="tx1"/>
            </w14:solidFill>
          </w14:textFill>
        </w:rPr>
        <w:t>～</w:t>
      </w:r>
      <w:r>
        <w:rPr>
          <w:rFonts w:ascii="Times New Roman" w:hAnsi="Times New Roman" w:eastAsia="宋体" w:cs="Times New Roman"/>
          <w:color w:val="000000" w:themeColor="text1"/>
          <w:spacing w:val="-2"/>
          <w:sz w:val="24"/>
          <w:szCs w:val="20"/>
          <w14:textFill>
            <w14:solidFill>
              <w14:schemeClr w14:val="tx1"/>
            </w14:solidFill>
          </w14:textFill>
        </w:rPr>
        <w:t>26.5Bq/m</w:t>
      </w:r>
      <w:r>
        <w:rPr>
          <w:rFonts w:ascii="Times New Roman" w:hAnsi="Times New Roman" w:eastAsia="宋体" w:cs="Times New Roman"/>
          <w:color w:val="000000" w:themeColor="text1"/>
          <w:spacing w:val="-2"/>
          <w:sz w:val="24"/>
          <w:szCs w:val="20"/>
          <w:vertAlign w:val="superscript"/>
          <w14:textFill>
            <w14:solidFill>
              <w14:schemeClr w14:val="tx1"/>
            </w14:solidFill>
          </w14:textFill>
        </w:rPr>
        <w:t>3</w:t>
      </w:r>
      <w:r>
        <w:rPr>
          <w:rFonts w:ascii="Times New Roman" w:hAnsi="Times New Roman" w:eastAsia="宋体" w:cs="Times New Roman"/>
          <w:color w:val="000000" w:themeColor="text1"/>
          <w:spacing w:val="-2"/>
          <w:sz w:val="24"/>
          <w:szCs w:val="20"/>
          <w14:textFill>
            <w14:solidFill>
              <w14:schemeClr w14:val="tx1"/>
            </w14:solidFill>
          </w14:textFill>
        </w:rPr>
        <w:t>）及《中国环境天然放射性水平》中全国城市空气中氡平均浓度变化范围值（3.3</w:t>
      </w:r>
      <w:r>
        <w:rPr>
          <w:rFonts w:hint="eastAsia" w:ascii="Times New Roman" w:hAnsi="Times New Roman" w:eastAsia="宋体" w:cs="Times New Roman"/>
          <w:color w:val="000000" w:themeColor="text1"/>
          <w:spacing w:val="-2"/>
          <w:sz w:val="24"/>
          <w:szCs w:val="20"/>
          <w14:textFill>
            <w14:solidFill>
              <w14:schemeClr w14:val="tx1"/>
            </w14:solidFill>
          </w14:textFill>
        </w:rPr>
        <w:t>～</w:t>
      </w:r>
      <w:r>
        <w:rPr>
          <w:rFonts w:ascii="Times New Roman" w:hAnsi="Times New Roman" w:eastAsia="宋体" w:cs="Times New Roman"/>
          <w:color w:val="000000" w:themeColor="text1"/>
          <w:spacing w:val="-2"/>
          <w:sz w:val="24"/>
          <w:szCs w:val="20"/>
          <w14:textFill>
            <w14:solidFill>
              <w14:schemeClr w14:val="tx1"/>
            </w14:solidFill>
          </w14:textFill>
        </w:rPr>
        <w:t>40.6 Bq/m</w:t>
      </w:r>
      <w:r>
        <w:rPr>
          <w:rFonts w:ascii="Times New Roman" w:hAnsi="Times New Roman" w:eastAsia="宋体" w:cs="Times New Roman"/>
          <w:color w:val="000000" w:themeColor="text1"/>
          <w:spacing w:val="-2"/>
          <w:sz w:val="24"/>
          <w:szCs w:val="20"/>
          <w:vertAlign w:val="superscript"/>
          <w14:textFill>
            <w14:solidFill>
              <w14:schemeClr w14:val="tx1"/>
            </w14:solidFill>
          </w14:textFill>
        </w:rPr>
        <w:t>3</w:t>
      </w:r>
      <w:r>
        <w:rPr>
          <w:rFonts w:ascii="Times New Roman" w:hAnsi="Times New Roman" w:eastAsia="宋体" w:cs="Times New Roman"/>
          <w:color w:val="000000" w:themeColor="text1"/>
          <w:spacing w:val="-2"/>
          <w:sz w:val="24"/>
          <w:szCs w:val="20"/>
          <w14:textFill>
            <w14:solidFill>
              <w14:schemeClr w14:val="tx1"/>
            </w14:solidFill>
          </w14:textFill>
        </w:rPr>
        <w:t>）控制。</w:t>
      </w:r>
    </w:p>
    <w:p w14:paraId="67990FD7">
      <w:pPr>
        <w:pStyle w:val="6"/>
        <w:widowControl w:val="0"/>
        <w:numPr>
          <w:ilvl w:val="3"/>
          <w:numId w:val="1"/>
        </w:numPr>
        <w:spacing w:before="0" w:line="360" w:lineRule="auto"/>
        <w:ind w:left="0" w:firstLine="0"/>
        <w:jc w:val="both"/>
        <w:rPr>
          <w:rFonts w:ascii="Times New Roman" w:hAnsi="Times New Roman" w:eastAsia="黑体" w:cs="Times New Roman"/>
          <w:bCs/>
          <w:i w:val="0"/>
          <w:iCs w:val="0"/>
          <w:color w:val="000000" w:themeColor="text1"/>
          <w:kern w:val="2"/>
          <w:sz w:val="24"/>
          <w14:textFill>
            <w14:solidFill>
              <w14:schemeClr w14:val="tx1"/>
            </w14:solidFill>
          </w14:textFill>
        </w:rPr>
      </w:pPr>
      <w:r>
        <w:rPr>
          <w:rFonts w:ascii="Times New Roman" w:hAnsi="Times New Roman" w:eastAsia="黑体" w:cs="Times New Roman"/>
          <w:bCs/>
          <w:i w:val="0"/>
          <w:iCs w:val="0"/>
          <w:color w:val="000000" w:themeColor="text1"/>
          <w:kern w:val="2"/>
          <w:sz w:val="24"/>
          <w14:textFill>
            <w14:solidFill>
              <w14:schemeClr w14:val="tx1"/>
            </w14:solidFill>
          </w14:textFill>
        </w:rPr>
        <w:t>流出物</w:t>
      </w:r>
      <w:r>
        <w:rPr>
          <w:rFonts w:hint="eastAsia" w:ascii="Times New Roman" w:hAnsi="Times New Roman" w:eastAsia="黑体" w:cs="Times New Roman"/>
          <w:bCs/>
          <w:i w:val="0"/>
          <w:iCs w:val="0"/>
          <w:color w:val="000000" w:themeColor="text1"/>
          <w:kern w:val="2"/>
          <w:sz w:val="24"/>
          <w14:textFill>
            <w14:solidFill>
              <w14:schemeClr w14:val="tx1"/>
            </w14:solidFill>
          </w14:textFill>
        </w:rPr>
        <w:t>排放标准</w:t>
      </w:r>
    </w:p>
    <w:p w14:paraId="7601962D">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（1）企业边界大气污染物浓度限值</w:t>
      </w:r>
    </w:p>
    <w:p w14:paraId="35EB2BD8">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目前没有该行业的气载流出物的控制标准，本专篇参照执行《稀土工业污染物排放标准》（GB26451-2011），具体标准值如下：</w:t>
      </w:r>
    </w:p>
    <w:p w14:paraId="19FDBBBD">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 xml:space="preserve">① </w:t>
      </w:r>
      <w:r>
        <w:rPr>
          <w:rFonts w:ascii="Times New Roman" w:hAnsi="Times New Roman" w:eastAsia="宋体" w:cs="Times New Roman"/>
          <w:color w:val="000000" w:themeColor="text1"/>
          <w:spacing w:val="-2"/>
          <w:sz w:val="24"/>
          <w:szCs w:val="20"/>
          <w14:textFill>
            <w14:solidFill>
              <w14:schemeClr w14:val="tx1"/>
            </w14:solidFill>
          </w14:textFill>
        </w:rPr>
        <w:t>企业边界大气污染物浓度限值，边界任何1h铀钍总量的平均浓度不超过0.0025mg/m</w:t>
      </w:r>
      <w:r>
        <w:rPr>
          <w:rFonts w:ascii="Times New Roman" w:hAnsi="Times New Roman" w:eastAsia="宋体" w:cs="Times New Roman"/>
          <w:color w:val="000000" w:themeColor="text1"/>
          <w:spacing w:val="-2"/>
          <w:sz w:val="24"/>
          <w:szCs w:val="20"/>
          <w:vertAlign w:val="superscript"/>
          <w14:textFill>
            <w14:solidFill>
              <w14:schemeClr w14:val="tx1"/>
            </w14:solidFill>
          </w14:textFill>
        </w:rPr>
        <w:t>3</w:t>
      </w:r>
      <w:r>
        <w:rPr>
          <w:rFonts w:ascii="Times New Roman" w:hAnsi="Times New Roman" w:eastAsia="宋体" w:cs="Times New Roman"/>
          <w:color w:val="000000" w:themeColor="text1"/>
          <w:spacing w:val="-2"/>
          <w:sz w:val="24"/>
          <w:szCs w:val="20"/>
          <w14:textFill>
            <w14:solidFill>
              <w14:schemeClr w14:val="tx1"/>
            </w14:solidFill>
          </w14:textFill>
        </w:rPr>
        <w:t>。</w:t>
      </w:r>
    </w:p>
    <w:p w14:paraId="3617F2F7">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 xml:space="preserve">② </w:t>
      </w:r>
      <w:r>
        <w:rPr>
          <w:rFonts w:ascii="Times New Roman" w:hAnsi="Times New Roman" w:eastAsia="宋体" w:cs="Times New Roman"/>
          <w:color w:val="000000" w:themeColor="text1"/>
          <w:spacing w:val="-2"/>
          <w:sz w:val="24"/>
          <w:szCs w:val="20"/>
          <w14:textFill>
            <w14:solidFill>
              <w14:schemeClr w14:val="tx1"/>
            </w14:solidFill>
          </w14:textFill>
        </w:rPr>
        <w:t>企业大气污染物排放浓度限值，排放铀、钍粉尘废气的排气筒不超过0.1 mg/m</w:t>
      </w:r>
      <w:r>
        <w:rPr>
          <w:rFonts w:ascii="Times New Roman" w:hAnsi="Times New Roman" w:eastAsia="宋体" w:cs="Times New Roman"/>
          <w:color w:val="000000" w:themeColor="text1"/>
          <w:spacing w:val="-2"/>
          <w:sz w:val="24"/>
          <w:szCs w:val="20"/>
          <w:vertAlign w:val="superscript"/>
          <w14:textFill>
            <w14:solidFill>
              <w14:schemeClr w14:val="tx1"/>
            </w14:solidFill>
          </w14:textFill>
        </w:rPr>
        <w:t>3</w:t>
      </w:r>
      <w:r>
        <w:rPr>
          <w:rFonts w:ascii="Times New Roman" w:hAnsi="Times New Roman" w:eastAsia="宋体" w:cs="Times New Roman"/>
          <w:color w:val="000000" w:themeColor="text1"/>
          <w:spacing w:val="-2"/>
          <w:sz w:val="24"/>
          <w:szCs w:val="20"/>
          <w14:textFill>
            <w14:solidFill>
              <w14:schemeClr w14:val="tx1"/>
            </w14:solidFill>
          </w14:textFill>
        </w:rPr>
        <w:t>。</w:t>
      </w:r>
    </w:p>
    <w:p w14:paraId="4FD0B523">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（2）</w:t>
      </w:r>
      <w:r>
        <w:rPr>
          <w:rFonts w:hint="eastAsia" w:ascii="Times New Roman" w:hAnsi="Times New Roman" w:eastAsia="宋体" w:cs="Times New Roman"/>
          <w:color w:val="000000" w:themeColor="text1"/>
          <w:spacing w:val="-2"/>
          <w:sz w:val="24"/>
          <w:szCs w:val="20"/>
          <w14:textFill>
            <w14:solidFill>
              <w14:schemeClr w14:val="tx1"/>
            </w14:solidFill>
          </w14:textFill>
        </w:rPr>
        <w:t>工作场所的</w:t>
      </w:r>
      <w:r>
        <w:rPr>
          <w:rFonts w:ascii="Times New Roman" w:hAnsi="Times New Roman" w:eastAsia="宋体" w:cs="Times New Roman"/>
          <w:color w:val="000000" w:themeColor="text1"/>
          <w:spacing w:val="-2"/>
          <w:sz w:val="24"/>
          <w:szCs w:val="20"/>
          <w14:textFill>
            <w14:solidFill>
              <w14:schemeClr w14:val="tx1"/>
            </w14:solidFill>
          </w14:textFill>
        </w:rPr>
        <w:t>氡</w:t>
      </w:r>
      <w:r>
        <w:rPr>
          <w:rFonts w:hint="eastAsia" w:ascii="Times New Roman" w:hAnsi="Times New Roman" w:eastAsia="宋体" w:cs="Times New Roman"/>
          <w:color w:val="000000" w:themeColor="text1"/>
          <w:spacing w:val="-2"/>
          <w:sz w:val="24"/>
          <w:szCs w:val="20"/>
          <w14:textFill>
            <w14:solidFill>
              <w14:schemeClr w14:val="tx1"/>
            </w14:solidFill>
          </w14:textFill>
        </w:rPr>
        <w:t>浓度</w:t>
      </w:r>
    </w:p>
    <w:p w14:paraId="14C1DD87">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参照《电离辐射防护与辐射源安全基本标准》（GB18871-2002）中附录H.2，工作场所中氡浓度控制浓度取500Bq</w:t>
      </w:r>
      <w:r>
        <w:rPr>
          <w:rFonts w:ascii="Times New Roman" w:hAnsi="Times New Roman" w:eastAsia="宋体" w:cs="Times New Roman"/>
          <w:color w:val="000000" w:themeColor="text1"/>
          <w:spacing w:val="-2"/>
          <w:sz w:val="24"/>
          <w:szCs w:val="20"/>
          <w:vertAlign w:val="superscript"/>
          <w14:textFill>
            <w14:solidFill>
              <w14:schemeClr w14:val="tx1"/>
            </w14:solidFill>
          </w14:textFill>
        </w:rPr>
        <w:t>222</w:t>
      </w:r>
      <w:r>
        <w:rPr>
          <w:rFonts w:ascii="Times New Roman" w:hAnsi="Times New Roman" w:eastAsia="宋体" w:cs="Times New Roman"/>
          <w:color w:val="000000" w:themeColor="text1"/>
          <w:spacing w:val="-2"/>
          <w:sz w:val="24"/>
          <w:szCs w:val="20"/>
          <w14:textFill>
            <w14:solidFill>
              <w14:schemeClr w14:val="tx1"/>
            </w14:solidFill>
          </w14:textFill>
        </w:rPr>
        <w:t>Rn/m</w:t>
      </w:r>
      <w:r>
        <w:rPr>
          <w:rFonts w:ascii="Times New Roman" w:hAnsi="Times New Roman" w:eastAsia="宋体" w:cs="Times New Roman"/>
          <w:color w:val="000000" w:themeColor="text1"/>
          <w:spacing w:val="-2"/>
          <w:sz w:val="24"/>
          <w:szCs w:val="20"/>
          <w:vertAlign w:val="superscript"/>
          <w14:textFill>
            <w14:solidFill>
              <w14:schemeClr w14:val="tx1"/>
            </w14:solidFill>
          </w14:textFill>
        </w:rPr>
        <w:t>3</w:t>
      </w:r>
      <w:r>
        <w:rPr>
          <w:rFonts w:ascii="Times New Roman" w:hAnsi="Times New Roman" w:eastAsia="宋体" w:cs="Times New Roman"/>
          <w:color w:val="000000" w:themeColor="text1"/>
          <w:spacing w:val="-2"/>
          <w:sz w:val="24"/>
          <w:szCs w:val="20"/>
          <w14:textFill>
            <w14:solidFill>
              <w14:schemeClr w14:val="tx1"/>
            </w14:solidFill>
          </w14:textFill>
        </w:rPr>
        <w:t>。</w:t>
      </w:r>
    </w:p>
    <w:p w14:paraId="6C5C4767">
      <w:pPr>
        <w:pStyle w:val="5"/>
        <w:widowControl w:val="0"/>
        <w:numPr>
          <w:ilvl w:val="2"/>
          <w:numId w:val="1"/>
        </w:numPr>
        <w:spacing w:before="0" w:line="360" w:lineRule="auto"/>
        <w:jc w:val="both"/>
        <w:rPr>
          <w:rFonts w:ascii="Times New Roman" w:hAnsi="Times New Roman" w:eastAsia="黑体" w:cs="Times New Roman"/>
          <w:b/>
          <w:bCs/>
          <w:caps w:val="0"/>
          <w:color w:val="000000" w:themeColor="text1"/>
          <w:kern w:val="2"/>
          <w:sz w:val="24"/>
          <w:szCs w:val="32"/>
          <w14:textFill>
            <w14:solidFill>
              <w14:schemeClr w14:val="tx1"/>
            </w14:solidFill>
          </w14:textFill>
        </w:rPr>
      </w:pPr>
      <w:r>
        <w:rPr>
          <w:rFonts w:hint="eastAsia" w:ascii="Times New Roman" w:hAnsi="Times New Roman" w:eastAsia="黑体" w:cs="Times New Roman"/>
          <w:b/>
          <w:bCs/>
          <w:caps w:val="0"/>
          <w:color w:val="000000" w:themeColor="text1"/>
          <w:kern w:val="2"/>
          <w:sz w:val="24"/>
          <w:szCs w:val="32"/>
          <w14:textFill>
            <w14:solidFill>
              <w14:schemeClr w14:val="tx1"/>
            </w14:solidFill>
          </w14:textFill>
        </w:rPr>
        <w:t>豁免水平标</w:t>
      </w:r>
      <w:r>
        <w:rPr>
          <w:rFonts w:ascii="Times New Roman" w:hAnsi="Times New Roman" w:eastAsia="黑体" w:cs="Times New Roman"/>
          <w:b/>
          <w:bCs/>
          <w:caps w:val="0"/>
          <w:color w:val="000000" w:themeColor="text1"/>
          <w:kern w:val="2"/>
          <w:sz w:val="24"/>
          <w:szCs w:val="32"/>
          <w14:textFill>
            <w14:solidFill>
              <w14:schemeClr w14:val="tx1"/>
            </w14:solidFill>
          </w14:textFill>
        </w:rPr>
        <w:t>准</w:t>
      </w:r>
    </w:p>
    <w:p w14:paraId="2B2C1F93">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 xml:space="preserve">根据《可免于辐射防护监管的物料中放射性核素活度浓度》（GB 27742-2011）中相关要求：①表 B.1 天然放射性核素免管浓度值中要求：“天然放射性核素免管浓度值为 1Bq/g”；②“6.1 天然放射性核素，6.1.1 在申报免管的活动的正当性得到确认的前提下，凡是涉及物料中天然放射性核素的活度浓度小于或等于表B.1 所列数值的活动，通常无需进行辐射防护监管。6.1.2 对于物料被掺入其照射因子较大的建材（住宅、办公室等用途）使用的情况，即使当其天然放射性活度浓度小于免管浓度时，仍然需要确保最终产品满足相关标准的要求。6.1.3 当物料中天然放射性核素的活度浓度大于表 B.1 所列数值时，应有审管部门根据剂量评估结果等因素决定，（GB 18871-2002）中规定的相关审管要求中，哪些要求应当得予满足。” </w:t>
      </w:r>
    </w:p>
    <w:p w14:paraId="56C40645">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根据《关于发布</w:t>
      </w:r>
      <w:r>
        <w:rPr>
          <w:rFonts w:hint="eastAsia" w:ascii="Times New Roman" w:hAnsi="Times New Roman" w:eastAsia="宋体" w:cs="Times New Roman"/>
          <w:color w:val="000000" w:themeColor="text1"/>
          <w:spacing w:val="-2"/>
          <w:sz w:val="24"/>
          <w:szCs w:val="20"/>
          <w:lang w:eastAsia="zh-CN"/>
          <w14:textFill>
            <w14:solidFill>
              <w14:schemeClr w14:val="tx1"/>
            </w14:solidFill>
          </w14:textFill>
        </w:rPr>
        <w:t>〈</w:t>
      </w:r>
      <w:r>
        <w:rPr>
          <w:rFonts w:hint="eastAsia" w:ascii="Times New Roman" w:hAnsi="Times New Roman" w:eastAsia="宋体" w:cs="Times New Roman"/>
          <w:color w:val="000000" w:themeColor="text1"/>
          <w:spacing w:val="-2"/>
          <w:sz w:val="24"/>
          <w:szCs w:val="20"/>
          <w14:textFill>
            <w14:solidFill>
              <w14:schemeClr w14:val="tx1"/>
            </w14:solidFill>
          </w14:textFill>
        </w:rPr>
        <w:t>矿产资源开发利用辐射环境监督管理名录</w:t>
      </w:r>
      <w:r>
        <w:rPr>
          <w:rFonts w:hint="eastAsia" w:ascii="Times New Roman" w:hAnsi="Times New Roman" w:eastAsia="宋体" w:cs="Times New Roman"/>
          <w:color w:val="000000" w:themeColor="text1"/>
          <w:spacing w:val="-2"/>
          <w:sz w:val="24"/>
          <w:szCs w:val="20"/>
          <w:lang w:eastAsia="zh-CN"/>
          <w14:textFill>
            <w14:solidFill>
              <w14:schemeClr w14:val="tx1"/>
            </w14:solidFill>
          </w14:textFill>
        </w:rPr>
        <w:t>〉</w:t>
      </w:r>
      <w:r>
        <w:rPr>
          <w:rFonts w:hint="eastAsia" w:ascii="Times New Roman" w:hAnsi="Times New Roman" w:eastAsia="宋体" w:cs="Times New Roman"/>
          <w:color w:val="000000" w:themeColor="text1"/>
          <w:spacing w:val="-2"/>
          <w:sz w:val="24"/>
          <w:szCs w:val="20"/>
          <w14:textFill>
            <w14:solidFill>
              <w14:schemeClr w14:val="tx1"/>
            </w14:solidFill>
          </w14:textFill>
        </w:rPr>
        <w:t>的公告》（生态环境部公告 2020 年 第 54 号），涉及锆及氧化锆、铌/钽、锡、铝、铅/锌、铜、铁、钒、钼、镍、锗、钛、金的开采、选矿和冶炼生产的工业活动，原矿、中间产品、尾矿（渣）或者其他残留物中铀（钍）系单个核素含量超过 1Bq/g 的均不能够豁免。</w:t>
      </w:r>
    </w:p>
    <w:p w14:paraId="393163ED">
      <w:pPr>
        <w:pStyle w:val="4"/>
        <w:widowControl w:val="0"/>
        <w:numPr>
          <w:ilvl w:val="1"/>
          <w:numId w:val="1"/>
        </w:numPr>
        <w:spacing w:before="0" w:line="360" w:lineRule="auto"/>
        <w:jc w:val="both"/>
        <w:rPr>
          <w:rFonts w:ascii="Times New Roman" w:hAnsi="Times New Roman" w:eastAsia="黑体" w:cs="Times New Roman"/>
          <w:b/>
          <w:bCs/>
          <w:color w:val="000000" w:themeColor="text1"/>
          <w:kern w:val="2"/>
          <w:sz w:val="28"/>
          <w:szCs w:val="32"/>
          <w14:textFill>
            <w14:solidFill>
              <w14:schemeClr w14:val="tx1"/>
            </w14:solidFill>
          </w14:textFill>
        </w:rPr>
      </w:pPr>
      <w:bookmarkStart w:id="23" w:name="_Toc187653459"/>
      <w:bookmarkStart w:id="24" w:name="_Toc78822637"/>
      <w:r>
        <w:rPr>
          <w:rFonts w:ascii="Times New Roman" w:hAnsi="Times New Roman" w:eastAsia="黑体" w:cs="Times New Roman"/>
          <w:b/>
          <w:bCs/>
          <w:color w:val="000000" w:themeColor="text1"/>
          <w:kern w:val="2"/>
          <w:sz w:val="28"/>
          <w:szCs w:val="32"/>
          <w14:textFill>
            <w14:solidFill>
              <w14:schemeClr w14:val="tx1"/>
            </w14:solidFill>
          </w14:textFill>
        </w:rPr>
        <w:t>评价核素</w:t>
      </w:r>
      <w:bookmarkEnd w:id="23"/>
      <w:bookmarkEnd w:id="24"/>
    </w:p>
    <w:p w14:paraId="36D3534A">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本项目</w:t>
      </w:r>
      <w:r>
        <w:rPr>
          <w:rFonts w:ascii="Times New Roman" w:hAnsi="Times New Roman" w:eastAsia="宋体" w:cs="Times New Roman"/>
          <w:color w:val="000000" w:themeColor="text1"/>
          <w:spacing w:val="-2"/>
          <w:sz w:val="24"/>
          <w:szCs w:val="20"/>
          <w14:textFill>
            <w14:solidFill>
              <w14:schemeClr w14:val="tx1"/>
            </w14:solidFill>
          </w14:textFill>
        </w:rPr>
        <w:t>根据钛锆矿的</w:t>
      </w:r>
      <w:r>
        <w:rPr>
          <w:rFonts w:hint="eastAsia" w:ascii="Times New Roman" w:hAnsi="Times New Roman" w:eastAsia="宋体" w:cs="Times New Roman"/>
          <w:color w:val="000000" w:themeColor="text1"/>
          <w:spacing w:val="-2"/>
          <w:sz w:val="24"/>
          <w:szCs w:val="20"/>
          <w14:textFill>
            <w14:solidFill>
              <w14:schemeClr w14:val="tx1"/>
            </w14:solidFill>
          </w14:textFill>
        </w:rPr>
        <w:t>特性、</w:t>
      </w:r>
      <w:r>
        <w:rPr>
          <w:rFonts w:ascii="Times New Roman" w:hAnsi="Times New Roman" w:eastAsia="宋体" w:cs="Times New Roman"/>
          <w:color w:val="000000" w:themeColor="text1"/>
          <w:spacing w:val="-2"/>
          <w:sz w:val="24"/>
          <w:szCs w:val="20"/>
          <w14:textFill>
            <w14:solidFill>
              <w14:schemeClr w14:val="tx1"/>
            </w14:solidFill>
          </w14:textFill>
        </w:rPr>
        <w:t>生产工艺流程及排污节点，</w:t>
      </w:r>
      <w:r>
        <w:rPr>
          <w:rFonts w:hint="eastAsia" w:ascii="Times New Roman" w:hAnsi="Times New Roman" w:eastAsia="宋体" w:cs="Times New Roman"/>
          <w:color w:val="000000" w:themeColor="text1"/>
          <w:spacing w:val="-2"/>
          <w:sz w:val="24"/>
          <w:szCs w:val="20"/>
          <w14:textFill>
            <w14:solidFill>
              <w14:schemeClr w14:val="tx1"/>
            </w14:solidFill>
          </w14:textFill>
        </w:rPr>
        <w:t>确定相关</w:t>
      </w:r>
      <w:r>
        <w:rPr>
          <w:rFonts w:ascii="Times New Roman" w:hAnsi="Times New Roman" w:eastAsia="宋体" w:cs="Times New Roman"/>
          <w:color w:val="000000" w:themeColor="text1"/>
          <w:spacing w:val="-2"/>
          <w:sz w:val="24"/>
          <w:szCs w:val="20"/>
          <w14:textFill>
            <w14:solidFill>
              <w14:schemeClr w14:val="tx1"/>
            </w14:solidFill>
          </w14:textFill>
        </w:rPr>
        <w:t>介质评价的放射性核素或因子。</w:t>
      </w:r>
    </w:p>
    <w:p w14:paraId="642F0FB4">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（1）大气环境评价核素：U、</w:t>
      </w:r>
      <w:r>
        <w:rPr>
          <w:rFonts w:ascii="Times New Roman" w:hAnsi="Times New Roman" w:eastAsia="宋体" w:cs="Times New Roman"/>
          <w:color w:val="000000" w:themeColor="text1"/>
          <w:spacing w:val="-2"/>
          <w:sz w:val="24"/>
          <w:szCs w:val="20"/>
          <w:vertAlign w:val="superscript"/>
          <w14:textFill>
            <w14:solidFill>
              <w14:schemeClr w14:val="tx1"/>
            </w14:solidFill>
          </w14:textFill>
        </w:rPr>
        <w:t>226</w:t>
      </w:r>
      <w:r>
        <w:rPr>
          <w:rFonts w:ascii="Times New Roman" w:hAnsi="Times New Roman" w:eastAsia="宋体" w:cs="Times New Roman"/>
          <w:color w:val="000000" w:themeColor="text1"/>
          <w:spacing w:val="-2"/>
          <w:sz w:val="24"/>
          <w:szCs w:val="20"/>
          <w14:textFill>
            <w14:solidFill>
              <w14:schemeClr w14:val="tx1"/>
            </w14:solidFill>
          </w14:textFill>
        </w:rPr>
        <w:t>Ra、Th、氡浓度。</w:t>
      </w:r>
    </w:p>
    <w:p w14:paraId="7C7A53B7">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（2）气溶胶评价核素</w:t>
      </w:r>
      <w:r>
        <w:rPr>
          <w:rFonts w:hint="eastAsia" w:ascii="Times New Roman" w:hAnsi="Times New Roman" w:eastAsia="宋体" w:cs="Times New Roman"/>
          <w:color w:val="000000" w:themeColor="text1"/>
          <w:spacing w:val="-2"/>
          <w:sz w:val="24"/>
          <w:szCs w:val="20"/>
          <w14:textFill>
            <w14:solidFill>
              <w14:schemeClr w14:val="tx1"/>
            </w14:solidFill>
          </w14:textFill>
        </w:rPr>
        <w:t>或</w:t>
      </w:r>
      <w:r>
        <w:rPr>
          <w:rFonts w:ascii="Times New Roman" w:hAnsi="Times New Roman" w:eastAsia="宋体" w:cs="Times New Roman"/>
          <w:color w:val="000000" w:themeColor="text1"/>
          <w:spacing w:val="-2"/>
          <w:sz w:val="24"/>
          <w:szCs w:val="20"/>
          <w14:textFill>
            <w14:solidFill>
              <w14:schemeClr w14:val="tx1"/>
            </w14:solidFill>
          </w14:textFill>
        </w:rPr>
        <w:t>因子：总α放射性和总β放射性、</w:t>
      </w:r>
      <w:r>
        <w:rPr>
          <w:rFonts w:ascii="Times New Roman" w:hAnsi="Times New Roman" w:eastAsia="宋体" w:cs="Times New Roman"/>
          <w:color w:val="000000" w:themeColor="text1"/>
          <w:spacing w:val="-2"/>
          <w:sz w:val="24"/>
          <w:szCs w:val="20"/>
          <w:vertAlign w:val="superscript"/>
          <w14:textFill>
            <w14:solidFill>
              <w14:schemeClr w14:val="tx1"/>
            </w14:solidFill>
          </w14:textFill>
        </w:rPr>
        <w:t>210</w:t>
      </w:r>
      <w:r>
        <w:rPr>
          <w:rFonts w:ascii="Times New Roman" w:hAnsi="Times New Roman" w:eastAsia="宋体" w:cs="Times New Roman"/>
          <w:color w:val="000000" w:themeColor="text1"/>
          <w:spacing w:val="-2"/>
          <w:sz w:val="24"/>
          <w:szCs w:val="20"/>
          <w14:textFill>
            <w14:solidFill>
              <w14:schemeClr w14:val="tx1"/>
            </w14:solidFill>
          </w14:textFill>
        </w:rPr>
        <w:t>Po、</w:t>
      </w:r>
      <w:r>
        <w:rPr>
          <w:rFonts w:ascii="Times New Roman" w:hAnsi="Times New Roman" w:eastAsia="宋体" w:cs="Times New Roman"/>
          <w:color w:val="000000" w:themeColor="text1"/>
          <w:spacing w:val="-2"/>
          <w:sz w:val="24"/>
          <w:szCs w:val="20"/>
          <w:vertAlign w:val="superscript"/>
          <w14:textFill>
            <w14:solidFill>
              <w14:schemeClr w14:val="tx1"/>
            </w14:solidFill>
          </w14:textFill>
        </w:rPr>
        <w:t>210</w:t>
      </w:r>
      <w:r>
        <w:rPr>
          <w:rFonts w:ascii="Times New Roman" w:hAnsi="Times New Roman" w:eastAsia="宋体" w:cs="Times New Roman"/>
          <w:color w:val="000000" w:themeColor="text1"/>
          <w:spacing w:val="-2"/>
          <w:sz w:val="24"/>
          <w:szCs w:val="20"/>
          <w14:textFill>
            <w14:solidFill>
              <w14:schemeClr w14:val="tx1"/>
            </w14:solidFill>
          </w14:textFill>
        </w:rPr>
        <w:t>Pb</w:t>
      </w:r>
    </w:p>
    <w:p w14:paraId="7BEA7FD3">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w:t>
      </w:r>
      <w:r>
        <w:rPr>
          <w:rFonts w:hint="eastAsia" w:ascii="Times New Roman" w:hAnsi="Times New Roman" w:eastAsia="宋体" w:cs="Times New Roman"/>
          <w:color w:val="000000" w:themeColor="text1"/>
          <w:spacing w:val="-2"/>
          <w:sz w:val="24"/>
          <w:szCs w:val="20"/>
          <w14:textFill>
            <w14:solidFill>
              <w14:schemeClr w14:val="tx1"/>
            </w14:solidFill>
          </w14:textFill>
        </w:rPr>
        <w:t>3</w:t>
      </w:r>
      <w:r>
        <w:rPr>
          <w:rFonts w:ascii="Times New Roman" w:hAnsi="Times New Roman" w:eastAsia="宋体" w:cs="Times New Roman"/>
          <w:color w:val="000000" w:themeColor="text1"/>
          <w:spacing w:val="-2"/>
          <w:sz w:val="24"/>
          <w:szCs w:val="20"/>
          <w14:textFill>
            <w14:solidFill>
              <w14:schemeClr w14:val="tx1"/>
            </w14:solidFill>
          </w14:textFill>
        </w:rPr>
        <w:t>）环境ɣ辐射评价因子：ɣ辐射空气吸收剂量率。</w:t>
      </w:r>
    </w:p>
    <w:p w14:paraId="6E36B4AA">
      <w:pPr>
        <w:pStyle w:val="4"/>
        <w:widowControl w:val="0"/>
        <w:numPr>
          <w:ilvl w:val="1"/>
          <w:numId w:val="1"/>
        </w:numPr>
        <w:spacing w:before="0" w:line="360" w:lineRule="auto"/>
        <w:jc w:val="both"/>
        <w:rPr>
          <w:rFonts w:ascii="Times New Roman" w:hAnsi="Times New Roman" w:eastAsia="黑体" w:cs="Times New Roman"/>
          <w:b/>
          <w:bCs/>
          <w:color w:val="000000" w:themeColor="text1"/>
          <w:kern w:val="2"/>
          <w:sz w:val="28"/>
          <w:szCs w:val="32"/>
          <w14:textFill>
            <w14:solidFill>
              <w14:schemeClr w14:val="tx1"/>
            </w14:solidFill>
          </w14:textFill>
        </w:rPr>
      </w:pPr>
      <w:bookmarkStart w:id="25" w:name="_Toc78822638"/>
      <w:bookmarkStart w:id="26" w:name="_Toc187653460"/>
      <w:r>
        <w:rPr>
          <w:rFonts w:ascii="Times New Roman" w:hAnsi="Times New Roman" w:eastAsia="黑体" w:cs="Times New Roman"/>
          <w:b/>
          <w:bCs/>
          <w:color w:val="000000" w:themeColor="text1"/>
          <w:kern w:val="2"/>
          <w:sz w:val="28"/>
          <w:szCs w:val="32"/>
          <w14:textFill>
            <w14:solidFill>
              <w14:schemeClr w14:val="tx1"/>
            </w14:solidFill>
          </w14:textFill>
        </w:rPr>
        <w:t>评价范围及环境保护目标</w:t>
      </w:r>
      <w:bookmarkEnd w:id="25"/>
      <w:bookmarkEnd w:id="26"/>
    </w:p>
    <w:p w14:paraId="43BDD711">
      <w:pPr>
        <w:pStyle w:val="5"/>
        <w:widowControl w:val="0"/>
        <w:numPr>
          <w:ilvl w:val="2"/>
          <w:numId w:val="1"/>
        </w:numPr>
        <w:spacing w:before="0" w:line="360" w:lineRule="auto"/>
        <w:jc w:val="both"/>
        <w:rPr>
          <w:rFonts w:ascii="Times New Roman" w:hAnsi="Times New Roman" w:eastAsia="黑体" w:cs="Times New Roman"/>
          <w:b/>
          <w:bCs/>
          <w:caps w:val="0"/>
          <w:color w:val="000000" w:themeColor="text1"/>
          <w:kern w:val="2"/>
          <w:sz w:val="24"/>
          <w:szCs w:val="32"/>
          <w14:textFill>
            <w14:solidFill>
              <w14:schemeClr w14:val="tx1"/>
            </w14:solidFill>
          </w14:textFill>
        </w:rPr>
      </w:pPr>
      <w:bookmarkStart w:id="27" w:name="_Toc78822639"/>
      <w:r>
        <w:rPr>
          <w:rFonts w:ascii="Times New Roman" w:hAnsi="Times New Roman" w:eastAsia="黑体" w:cs="Times New Roman"/>
          <w:b/>
          <w:bCs/>
          <w:caps w:val="0"/>
          <w:color w:val="000000" w:themeColor="text1"/>
          <w:kern w:val="2"/>
          <w:sz w:val="24"/>
          <w:szCs w:val="32"/>
          <w14:textFill>
            <w14:solidFill>
              <w14:schemeClr w14:val="tx1"/>
            </w14:solidFill>
          </w14:textFill>
        </w:rPr>
        <w:t>评价范围</w:t>
      </w:r>
      <w:bookmarkEnd w:id="27"/>
    </w:p>
    <w:p w14:paraId="64F08403">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u w:val="single"/>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《矿产资源开发利用辐射环境影响评价专篇格式与内容（ 试行）》对辐射环境影响专篇评价范围并无明确规定，参照《关于发布〈伴生放射性矿物资源开发利用项目环境影响报告书（表）的内容和格式〉的通知》（环监</w:t>
      </w:r>
      <w:r>
        <w:rPr>
          <w:rFonts w:hint="eastAsia" w:ascii="Times New Roman" w:hAnsi="Times New Roman" w:eastAsia="宋体" w:cs="Times New Roman"/>
          <w:color w:val="000000" w:themeColor="text1"/>
          <w:spacing w:val="-2"/>
          <w:sz w:val="24"/>
          <w:szCs w:val="20"/>
          <w:lang w:eastAsia="zh-CN"/>
          <w14:textFill>
            <w14:solidFill>
              <w14:schemeClr w14:val="tx1"/>
            </w14:solidFill>
          </w14:textFill>
        </w:rPr>
        <w:t>〔1994〕80号</w:t>
      </w:r>
      <w:r>
        <w:rPr>
          <w:rFonts w:ascii="Times New Roman" w:hAnsi="Times New Roman" w:eastAsia="宋体" w:cs="Times New Roman"/>
          <w:color w:val="000000" w:themeColor="text1"/>
          <w:spacing w:val="-2"/>
          <w:sz w:val="24"/>
          <w:szCs w:val="20"/>
          <w14:textFill>
            <w14:solidFill>
              <w14:schemeClr w14:val="tx1"/>
            </w14:solidFill>
          </w14:textFill>
        </w:rPr>
        <w:t>）中的规定</w:t>
      </w:r>
      <w:r>
        <w:rPr>
          <w:rFonts w:ascii="宋体" w:hAnsi="宋体" w:eastAsia="宋体" w:cs="Times New Roman"/>
          <w:color w:val="000000" w:themeColor="text1"/>
          <w:spacing w:val="-2"/>
          <w:sz w:val="24"/>
          <w:szCs w:val="20"/>
          <w14:textFill>
            <w14:solidFill>
              <w14:schemeClr w14:val="tx1"/>
            </w14:solidFill>
          </w14:textFill>
        </w:rPr>
        <w:t>“</w:t>
      </w:r>
      <w:r>
        <w:rPr>
          <w:rFonts w:ascii="Times New Roman" w:hAnsi="Times New Roman" w:eastAsia="宋体" w:cs="Times New Roman"/>
          <w:color w:val="000000" w:themeColor="text1"/>
          <w:spacing w:val="-2"/>
          <w:sz w:val="24"/>
          <w:szCs w:val="20"/>
          <w14:textFill>
            <w14:solidFill>
              <w14:schemeClr w14:val="tx1"/>
            </w14:solidFill>
          </w14:textFill>
        </w:rPr>
        <w:t>对于矿石开采业，半径取5km，对于矿产品加工业，半径取0.5km</w:t>
      </w:r>
      <w:r>
        <w:rPr>
          <w:rFonts w:ascii="宋体" w:hAnsi="宋体" w:eastAsia="宋体" w:cs="Times New Roman"/>
          <w:color w:val="000000" w:themeColor="text1"/>
          <w:spacing w:val="-2"/>
          <w:sz w:val="24"/>
          <w:szCs w:val="20"/>
          <w14:textFill>
            <w14:solidFill>
              <w14:schemeClr w14:val="tx1"/>
            </w14:solidFill>
          </w14:textFill>
        </w:rPr>
        <w:t>”</w:t>
      </w:r>
      <w:r>
        <w:rPr>
          <w:rFonts w:ascii="Times New Roman" w:hAnsi="Times New Roman" w:eastAsia="宋体" w:cs="Times New Roman"/>
          <w:color w:val="000000" w:themeColor="text1"/>
          <w:spacing w:val="-2"/>
          <w:sz w:val="24"/>
          <w:szCs w:val="20"/>
          <w14:textFill>
            <w14:solidFill>
              <w14:schemeClr w14:val="tx1"/>
            </w14:solidFill>
          </w14:textFill>
        </w:rPr>
        <w:t>，</w:t>
      </w:r>
      <w:r>
        <w:rPr>
          <w:rFonts w:ascii="Times New Roman" w:hAnsi="Times New Roman" w:eastAsia="宋体" w:cs="Times New Roman"/>
          <w:color w:val="000000" w:themeColor="text1"/>
          <w:spacing w:val="-2"/>
          <w:sz w:val="24"/>
          <w:szCs w:val="20"/>
          <w:u w:val="single"/>
          <w14:textFill>
            <w14:solidFill>
              <w14:schemeClr w14:val="tx1"/>
            </w14:solidFill>
          </w14:textFill>
        </w:rPr>
        <w:t>确定本项目辐射环境影响评价范围以厂区中心点为中心，半径为</w:t>
      </w:r>
      <w:r>
        <w:rPr>
          <w:rFonts w:hint="eastAsia" w:ascii="Times New Roman" w:hAnsi="Times New Roman" w:eastAsia="宋体" w:cs="Times New Roman"/>
          <w:color w:val="000000" w:themeColor="text1"/>
          <w:spacing w:val="-2"/>
          <w:sz w:val="24"/>
          <w:szCs w:val="20"/>
          <w:u w:val="single"/>
          <w14:textFill>
            <w14:solidFill>
              <w14:schemeClr w14:val="tx1"/>
            </w14:solidFill>
          </w14:textFill>
        </w:rPr>
        <w:t>0.5</w:t>
      </w:r>
      <w:r>
        <w:rPr>
          <w:rFonts w:ascii="Times New Roman" w:hAnsi="Times New Roman" w:eastAsia="宋体" w:cs="Times New Roman"/>
          <w:color w:val="000000" w:themeColor="text1"/>
          <w:spacing w:val="-2"/>
          <w:sz w:val="24"/>
          <w:szCs w:val="20"/>
          <w:u w:val="single"/>
          <w14:textFill>
            <w14:solidFill>
              <w14:schemeClr w14:val="tx1"/>
            </w14:solidFill>
          </w14:textFill>
        </w:rPr>
        <w:t>km 的圆形区域。</w:t>
      </w:r>
    </w:p>
    <w:p w14:paraId="7A0542F3">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u w:val="single"/>
          <w14:textFill>
            <w14:solidFill>
              <w14:schemeClr w14:val="tx1"/>
            </w14:solidFill>
          </w14:textFill>
        </w:rPr>
        <w:t>为进行剂量估算，以0.5km划分同心圆，再将这些同心圆划分为22.5º扇形段，以正北N向左为起始段，共划分</w:t>
      </w:r>
      <w:r>
        <w:rPr>
          <w:rFonts w:hint="eastAsia" w:ascii="Times New Roman" w:hAnsi="Times New Roman" w:eastAsia="宋体" w:cs="Times New Roman"/>
          <w:color w:val="000000" w:themeColor="text1"/>
          <w:spacing w:val="-2"/>
          <w:sz w:val="24"/>
          <w:szCs w:val="20"/>
          <w:u w:val="single"/>
          <w14:textFill>
            <w14:solidFill>
              <w14:schemeClr w14:val="tx1"/>
            </w14:solidFill>
          </w14:textFill>
        </w:rPr>
        <w:t>16</w:t>
      </w:r>
      <w:r>
        <w:rPr>
          <w:rFonts w:ascii="Times New Roman" w:hAnsi="Times New Roman" w:eastAsia="宋体" w:cs="Times New Roman"/>
          <w:color w:val="000000" w:themeColor="text1"/>
          <w:spacing w:val="-2"/>
          <w:sz w:val="24"/>
          <w:szCs w:val="20"/>
          <w:u w:val="single"/>
          <w14:textFill>
            <w14:solidFill>
              <w14:schemeClr w14:val="tx1"/>
            </w14:solidFill>
          </w14:textFill>
        </w:rPr>
        <w:t>个子区。</w:t>
      </w:r>
      <w:r>
        <w:rPr>
          <w:rFonts w:ascii="Times New Roman" w:hAnsi="Times New Roman" w:eastAsia="宋体" w:cs="Times New Roman"/>
          <w:color w:val="000000" w:themeColor="text1"/>
          <w:spacing w:val="-2"/>
          <w:sz w:val="24"/>
          <w:szCs w:val="20"/>
          <w14:textFill>
            <w14:solidFill>
              <w14:schemeClr w14:val="tx1"/>
            </w14:solidFill>
          </w14:textFill>
        </w:rPr>
        <w:t>评价范围、评价子区示意图见图1.4-1。</w:t>
      </w:r>
    </w:p>
    <w:p w14:paraId="36E658A4">
      <w:pPr>
        <w:pStyle w:val="5"/>
        <w:widowControl w:val="0"/>
        <w:numPr>
          <w:ilvl w:val="2"/>
          <w:numId w:val="1"/>
        </w:numPr>
        <w:spacing w:before="0" w:line="360" w:lineRule="auto"/>
        <w:jc w:val="both"/>
        <w:rPr>
          <w:rFonts w:ascii="Times New Roman" w:hAnsi="Times New Roman" w:eastAsia="黑体" w:cs="Times New Roman"/>
          <w:b/>
          <w:bCs/>
          <w:caps w:val="0"/>
          <w:color w:val="000000" w:themeColor="text1"/>
          <w:kern w:val="2"/>
          <w:sz w:val="24"/>
          <w:szCs w:val="32"/>
          <w14:textFill>
            <w14:solidFill>
              <w14:schemeClr w14:val="tx1"/>
            </w14:solidFill>
          </w14:textFill>
        </w:rPr>
      </w:pPr>
      <w:bookmarkStart w:id="28" w:name="_Toc78822640"/>
      <w:r>
        <w:rPr>
          <w:rFonts w:ascii="Times New Roman" w:hAnsi="Times New Roman" w:eastAsia="黑体" w:cs="Times New Roman"/>
          <w:b/>
          <w:bCs/>
          <w:caps w:val="0"/>
          <w:color w:val="000000" w:themeColor="text1"/>
          <w:kern w:val="2"/>
          <w:sz w:val="24"/>
          <w:szCs w:val="32"/>
          <w14:textFill>
            <w14:solidFill>
              <w14:schemeClr w14:val="tx1"/>
            </w14:solidFill>
          </w14:textFill>
        </w:rPr>
        <w:t>环境保护目标</w:t>
      </w:r>
      <w:bookmarkEnd w:id="28"/>
    </w:p>
    <w:p w14:paraId="3DE368DD">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项目位于广西钦州保税区创大冷链物流公司进口汽车仓储物流园内的3号仓库内，项目评价范围内不涉及国家公园、自然保护区、世界自然遗产、重要生境、自然公园、生态保护红线；不涉及天然林、公益林、湿地等生态敏感区；不涉及饮用水水源地。</w:t>
      </w:r>
    </w:p>
    <w:p w14:paraId="6B2CEEEA">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u w:val="single"/>
          <w14:textFill>
            <w14:solidFill>
              <w14:schemeClr w14:val="tx1"/>
            </w14:solidFill>
          </w14:textFill>
        </w:rPr>
      </w:pPr>
      <w:r>
        <w:rPr>
          <w:rFonts w:hint="eastAsia" w:ascii="Times New Roman" w:hAnsi="Times New Roman" w:eastAsia="宋体" w:cs="Times New Roman"/>
          <w:color w:val="000000" w:themeColor="text1"/>
          <w:spacing w:val="-2"/>
          <w:sz w:val="24"/>
          <w:szCs w:val="20"/>
          <w:u w:val="single"/>
          <w14:textFill>
            <w14:solidFill>
              <w14:schemeClr w14:val="tx1"/>
            </w14:solidFill>
          </w14:textFill>
        </w:rPr>
        <w:t>根据区域周边环境保护目标的调查，项目周边以工业、物流仓储及配套的办公用地为主，辐射环境评价范围内无居住区或宿舍区，周边辐射环境保护目标相关信息见表1.4-1。</w:t>
      </w:r>
    </w:p>
    <w:p w14:paraId="020834A0">
      <w:pPr>
        <w:widowControl w:val="0"/>
        <w:spacing w:after="0" w:line="360" w:lineRule="auto"/>
        <w:jc w:val="center"/>
        <w:rPr>
          <w:rFonts w:ascii="Times New Roman" w:hAnsi="Times New Roman" w:eastAsia="宋体" w:cs="Times New Roman"/>
          <w:b/>
          <w:bCs/>
          <w:color w:val="000000" w:themeColor="text1"/>
          <w:spacing w:val="-2"/>
          <w:sz w:val="24"/>
          <w:szCs w:val="20"/>
          <w:u w:val="single"/>
          <w14:textFill>
            <w14:solidFill>
              <w14:schemeClr w14:val="tx1"/>
            </w14:solidFill>
          </w14:textFill>
        </w:rPr>
      </w:pPr>
      <w:r>
        <w:rPr>
          <w:rFonts w:hint="eastAsia" w:ascii="Times New Roman" w:hAnsi="Times New Roman" w:eastAsia="宋体" w:cs="Times New Roman"/>
          <w:b/>
          <w:bCs/>
          <w:color w:val="000000" w:themeColor="text1"/>
          <w:spacing w:val="-2"/>
          <w:sz w:val="24"/>
          <w:szCs w:val="20"/>
          <w:u w:val="single"/>
          <w14:textFill>
            <w14:solidFill>
              <w14:schemeClr w14:val="tx1"/>
            </w14:solidFill>
          </w14:textFill>
        </w:rPr>
        <w:t>表1.4-1  辐射环境保护目标一览表</w:t>
      </w:r>
    </w:p>
    <w:tbl>
      <w:tblPr>
        <w:tblStyle w:val="46"/>
        <w:tblW w:w="9057"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744"/>
        <w:gridCol w:w="1509"/>
        <w:gridCol w:w="1560"/>
        <w:gridCol w:w="1417"/>
        <w:gridCol w:w="1134"/>
        <w:gridCol w:w="1134"/>
        <w:gridCol w:w="1559"/>
      </w:tblGrid>
      <w:tr w14:paraId="0815BD1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blHeader/>
          <w:jc w:val="center"/>
        </w:trPr>
        <w:tc>
          <w:tcPr>
            <w:tcW w:w="744" w:type="dxa"/>
            <w:vMerge w:val="restart"/>
            <w:vAlign w:val="center"/>
          </w:tcPr>
          <w:p w14:paraId="19621706">
            <w:pPr>
              <w:spacing w:after="0" w:line="240" w:lineRule="auto"/>
              <w:jc w:val="center"/>
              <w:rPr>
                <w:rFonts w:ascii="Times New Roman" w:hAnsi="Times New Roman"/>
                <w:b/>
                <w:bCs/>
                <w:color w:val="000000" w:themeColor="text1"/>
                <w:spacing w:val="-2"/>
                <w:u w:val="single"/>
                <w14:textFill>
                  <w14:solidFill>
                    <w14:schemeClr w14:val="tx1"/>
                  </w14:solidFill>
                </w14:textFill>
              </w:rPr>
            </w:pPr>
            <w:r>
              <w:rPr>
                <w:rFonts w:ascii="Times New Roman" w:hAnsi="Times New Roman"/>
                <w:b/>
                <w:bCs/>
                <w:color w:val="000000" w:themeColor="text1"/>
                <w:spacing w:val="-2"/>
                <w:u w:val="single"/>
                <w14:textFill>
                  <w14:solidFill>
                    <w14:schemeClr w14:val="tx1"/>
                  </w14:solidFill>
                </w14:textFill>
              </w:rPr>
              <w:t>序号</w:t>
            </w:r>
          </w:p>
        </w:tc>
        <w:tc>
          <w:tcPr>
            <w:tcW w:w="1509" w:type="dxa"/>
            <w:vMerge w:val="restart"/>
            <w:vAlign w:val="center"/>
          </w:tcPr>
          <w:p w14:paraId="6319F1A8">
            <w:pPr>
              <w:spacing w:after="0" w:line="240" w:lineRule="auto"/>
              <w:jc w:val="center"/>
              <w:rPr>
                <w:rFonts w:ascii="Times New Roman" w:hAnsi="Times New Roman"/>
                <w:b/>
                <w:bCs/>
                <w:color w:val="000000" w:themeColor="text1"/>
                <w:spacing w:val="-2"/>
                <w:u w:val="single"/>
                <w14:textFill>
                  <w14:solidFill>
                    <w14:schemeClr w14:val="tx1"/>
                  </w14:solidFill>
                </w14:textFill>
              </w:rPr>
            </w:pPr>
            <w:r>
              <w:rPr>
                <w:rFonts w:ascii="Times New Roman" w:hAnsi="Times New Roman"/>
                <w:b/>
                <w:bCs/>
                <w:color w:val="000000" w:themeColor="text1"/>
                <w:spacing w:val="-2"/>
                <w:u w:val="single"/>
                <w14:textFill>
                  <w14:solidFill>
                    <w14:schemeClr w14:val="tx1"/>
                  </w14:solidFill>
                </w14:textFill>
              </w:rPr>
              <w:t>名称</w:t>
            </w:r>
          </w:p>
        </w:tc>
        <w:tc>
          <w:tcPr>
            <w:tcW w:w="2977" w:type="dxa"/>
            <w:gridSpan w:val="2"/>
            <w:vAlign w:val="center"/>
          </w:tcPr>
          <w:p w14:paraId="7558A7E0">
            <w:pPr>
              <w:spacing w:after="0" w:line="240" w:lineRule="auto"/>
              <w:jc w:val="center"/>
              <w:rPr>
                <w:rFonts w:ascii="Times New Roman" w:hAnsi="Times New Roman"/>
                <w:b/>
                <w:bCs/>
                <w:color w:val="000000" w:themeColor="text1"/>
                <w:spacing w:val="-2"/>
                <w:u w:val="single"/>
                <w14:textFill>
                  <w14:solidFill>
                    <w14:schemeClr w14:val="tx1"/>
                  </w14:solidFill>
                </w14:textFill>
              </w:rPr>
            </w:pPr>
            <w:r>
              <w:rPr>
                <w:rFonts w:ascii="Times New Roman" w:hAnsi="Times New Roman"/>
                <w:b/>
                <w:bCs/>
                <w:color w:val="000000" w:themeColor="text1"/>
                <w:spacing w:val="-2"/>
                <w:u w:val="single"/>
                <w14:textFill>
                  <w14:solidFill>
                    <w14:schemeClr w14:val="tx1"/>
                  </w14:solidFill>
                </w14:textFill>
              </w:rPr>
              <w:t>坐标</w:t>
            </w:r>
          </w:p>
        </w:tc>
        <w:tc>
          <w:tcPr>
            <w:tcW w:w="1134" w:type="dxa"/>
            <w:vMerge w:val="restart"/>
            <w:vAlign w:val="center"/>
          </w:tcPr>
          <w:p w14:paraId="652D2127">
            <w:pPr>
              <w:spacing w:after="0" w:line="240" w:lineRule="auto"/>
              <w:jc w:val="center"/>
              <w:rPr>
                <w:rFonts w:ascii="Times New Roman" w:hAnsi="Times New Roman"/>
                <w:b/>
                <w:bCs/>
                <w:color w:val="000000" w:themeColor="text1"/>
                <w:spacing w:val="-2"/>
                <w:u w:val="single"/>
                <w14:textFill>
                  <w14:solidFill>
                    <w14:schemeClr w14:val="tx1"/>
                  </w14:solidFill>
                </w14:textFill>
              </w:rPr>
            </w:pPr>
            <w:r>
              <w:rPr>
                <w:rFonts w:hint="eastAsia" w:ascii="Times New Roman" w:hAnsi="Times New Roman"/>
                <w:b/>
                <w:bCs/>
                <w:color w:val="000000" w:themeColor="text1"/>
                <w:spacing w:val="-2"/>
                <w:u w:val="single"/>
                <w14:textFill>
                  <w14:solidFill>
                    <w14:schemeClr w14:val="tx1"/>
                  </w14:solidFill>
                </w14:textFill>
              </w:rPr>
              <w:t>所在评价子区</w:t>
            </w:r>
          </w:p>
        </w:tc>
        <w:tc>
          <w:tcPr>
            <w:tcW w:w="1134" w:type="dxa"/>
            <w:vMerge w:val="restart"/>
            <w:vAlign w:val="center"/>
          </w:tcPr>
          <w:p w14:paraId="0F5DBAD9">
            <w:pPr>
              <w:spacing w:after="0" w:line="240" w:lineRule="auto"/>
              <w:jc w:val="center"/>
              <w:rPr>
                <w:rFonts w:ascii="Times New Roman" w:hAnsi="Times New Roman"/>
                <w:b/>
                <w:bCs/>
                <w:color w:val="000000" w:themeColor="text1"/>
                <w:spacing w:val="-2"/>
                <w:u w:val="single"/>
                <w14:textFill>
                  <w14:solidFill>
                    <w14:schemeClr w14:val="tx1"/>
                  </w14:solidFill>
                </w14:textFill>
              </w:rPr>
            </w:pPr>
            <w:r>
              <w:rPr>
                <w:rFonts w:ascii="Times New Roman" w:hAnsi="Times New Roman"/>
                <w:b/>
                <w:bCs/>
                <w:color w:val="000000" w:themeColor="text1"/>
                <w:spacing w:val="-2"/>
                <w:u w:val="single"/>
                <w14:textFill>
                  <w14:solidFill>
                    <w14:schemeClr w14:val="tx1"/>
                  </w14:solidFill>
                </w14:textFill>
              </w:rPr>
              <w:t>相对厂界距离/m</w:t>
            </w:r>
          </w:p>
        </w:tc>
        <w:tc>
          <w:tcPr>
            <w:tcW w:w="1559" w:type="dxa"/>
            <w:vMerge w:val="restart"/>
            <w:vAlign w:val="center"/>
          </w:tcPr>
          <w:p w14:paraId="19D5DCF8">
            <w:pPr>
              <w:spacing w:after="0" w:line="240" w:lineRule="auto"/>
              <w:jc w:val="center"/>
              <w:rPr>
                <w:rFonts w:ascii="Times New Roman" w:hAnsi="Times New Roman"/>
                <w:b/>
                <w:bCs/>
                <w:color w:val="000000" w:themeColor="text1"/>
                <w:spacing w:val="-2"/>
                <w:u w:val="single"/>
                <w14:textFill>
                  <w14:solidFill>
                    <w14:schemeClr w14:val="tx1"/>
                  </w14:solidFill>
                </w14:textFill>
              </w:rPr>
            </w:pPr>
            <w:r>
              <w:rPr>
                <w:rFonts w:ascii="Times New Roman" w:hAnsi="Times New Roman"/>
                <w:b/>
                <w:bCs/>
                <w:color w:val="000000" w:themeColor="text1"/>
                <w:spacing w:val="-2"/>
                <w:u w:val="single"/>
                <w14:textFill>
                  <w14:solidFill>
                    <w14:schemeClr w14:val="tx1"/>
                  </w14:solidFill>
                </w14:textFill>
              </w:rPr>
              <w:t>保护目标属性及人数</w:t>
            </w:r>
          </w:p>
        </w:tc>
      </w:tr>
      <w:tr w14:paraId="2F7B317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blHeader/>
          <w:jc w:val="center"/>
        </w:trPr>
        <w:tc>
          <w:tcPr>
            <w:tcW w:w="744" w:type="dxa"/>
            <w:vMerge w:val="continue"/>
            <w:vAlign w:val="center"/>
          </w:tcPr>
          <w:p w14:paraId="2C4DE06C">
            <w:pPr>
              <w:spacing w:after="0" w:line="240" w:lineRule="auto"/>
              <w:jc w:val="center"/>
              <w:rPr>
                <w:rFonts w:ascii="Times New Roman" w:hAnsi="Times New Roman"/>
                <w:b/>
                <w:bCs/>
                <w:color w:val="000000" w:themeColor="text1"/>
                <w:spacing w:val="-2"/>
                <w:u w:val="single"/>
                <w14:textFill>
                  <w14:solidFill>
                    <w14:schemeClr w14:val="tx1"/>
                  </w14:solidFill>
                </w14:textFill>
              </w:rPr>
            </w:pPr>
          </w:p>
        </w:tc>
        <w:tc>
          <w:tcPr>
            <w:tcW w:w="1509" w:type="dxa"/>
            <w:vMerge w:val="continue"/>
            <w:vAlign w:val="center"/>
          </w:tcPr>
          <w:p w14:paraId="42A758BD">
            <w:pPr>
              <w:spacing w:after="0" w:line="240" w:lineRule="auto"/>
              <w:jc w:val="center"/>
              <w:rPr>
                <w:rFonts w:ascii="Times New Roman" w:hAnsi="Times New Roman"/>
                <w:b/>
                <w:bCs/>
                <w:color w:val="000000" w:themeColor="text1"/>
                <w:spacing w:val="-2"/>
                <w:u w:val="single"/>
                <w14:textFill>
                  <w14:solidFill>
                    <w14:schemeClr w14:val="tx1"/>
                  </w14:solidFill>
                </w14:textFill>
              </w:rPr>
            </w:pPr>
          </w:p>
        </w:tc>
        <w:tc>
          <w:tcPr>
            <w:tcW w:w="1560" w:type="dxa"/>
            <w:vAlign w:val="center"/>
          </w:tcPr>
          <w:p w14:paraId="29042BC5">
            <w:pPr>
              <w:spacing w:after="0" w:line="240" w:lineRule="auto"/>
              <w:jc w:val="center"/>
              <w:rPr>
                <w:rFonts w:ascii="Times New Roman" w:hAnsi="Times New Roman"/>
                <w:b/>
                <w:bCs/>
                <w:color w:val="000000" w:themeColor="text1"/>
                <w:spacing w:val="-2"/>
                <w:u w:val="single"/>
                <w14:textFill>
                  <w14:solidFill>
                    <w14:schemeClr w14:val="tx1"/>
                  </w14:solidFill>
                </w14:textFill>
              </w:rPr>
            </w:pPr>
            <w:r>
              <w:rPr>
                <w:rFonts w:ascii="Times New Roman" w:hAnsi="Times New Roman"/>
                <w:b/>
                <w:bCs/>
                <w:color w:val="000000" w:themeColor="text1"/>
                <w:spacing w:val="-2"/>
                <w:u w:val="single"/>
                <w14:textFill>
                  <w14:solidFill>
                    <w14:schemeClr w14:val="tx1"/>
                  </w14:solidFill>
                </w14:textFill>
              </w:rPr>
              <w:t>经度</w:t>
            </w:r>
          </w:p>
        </w:tc>
        <w:tc>
          <w:tcPr>
            <w:tcW w:w="1417" w:type="dxa"/>
            <w:vAlign w:val="center"/>
          </w:tcPr>
          <w:p w14:paraId="200FE7A1">
            <w:pPr>
              <w:spacing w:after="0" w:line="240" w:lineRule="auto"/>
              <w:jc w:val="center"/>
              <w:rPr>
                <w:rFonts w:ascii="Times New Roman" w:hAnsi="Times New Roman"/>
                <w:b/>
                <w:bCs/>
                <w:color w:val="000000" w:themeColor="text1"/>
                <w:spacing w:val="-2"/>
                <w:u w:val="single"/>
                <w14:textFill>
                  <w14:solidFill>
                    <w14:schemeClr w14:val="tx1"/>
                  </w14:solidFill>
                </w14:textFill>
              </w:rPr>
            </w:pPr>
            <w:r>
              <w:rPr>
                <w:rFonts w:ascii="Times New Roman" w:hAnsi="Times New Roman"/>
                <w:b/>
                <w:bCs/>
                <w:color w:val="000000" w:themeColor="text1"/>
                <w:spacing w:val="-2"/>
                <w:u w:val="single"/>
                <w14:textFill>
                  <w14:solidFill>
                    <w14:schemeClr w14:val="tx1"/>
                  </w14:solidFill>
                </w14:textFill>
              </w:rPr>
              <w:t>纬度</w:t>
            </w:r>
          </w:p>
        </w:tc>
        <w:tc>
          <w:tcPr>
            <w:tcW w:w="1134" w:type="dxa"/>
            <w:vMerge w:val="continue"/>
            <w:vAlign w:val="center"/>
          </w:tcPr>
          <w:p w14:paraId="1D35D4C5">
            <w:pPr>
              <w:spacing w:after="0" w:line="240" w:lineRule="auto"/>
              <w:rPr>
                <w:rFonts w:ascii="Times New Roman" w:hAnsi="Times New Roman"/>
                <w:b/>
                <w:bCs/>
                <w:color w:val="000000" w:themeColor="text1"/>
                <w:spacing w:val="-2"/>
                <w:u w:val="single"/>
                <w14:textFill>
                  <w14:solidFill>
                    <w14:schemeClr w14:val="tx1"/>
                  </w14:solidFill>
                </w14:textFill>
              </w:rPr>
            </w:pPr>
          </w:p>
        </w:tc>
        <w:tc>
          <w:tcPr>
            <w:tcW w:w="1134" w:type="dxa"/>
            <w:vMerge w:val="continue"/>
            <w:vAlign w:val="center"/>
          </w:tcPr>
          <w:p w14:paraId="353055C5">
            <w:pPr>
              <w:spacing w:after="0" w:line="240" w:lineRule="auto"/>
              <w:rPr>
                <w:rFonts w:ascii="Times New Roman" w:hAnsi="Times New Roman"/>
                <w:b/>
                <w:bCs/>
                <w:color w:val="000000" w:themeColor="text1"/>
                <w:spacing w:val="-2"/>
                <w:u w:val="single"/>
                <w14:textFill>
                  <w14:solidFill>
                    <w14:schemeClr w14:val="tx1"/>
                  </w14:solidFill>
                </w14:textFill>
              </w:rPr>
            </w:pPr>
          </w:p>
        </w:tc>
        <w:tc>
          <w:tcPr>
            <w:tcW w:w="1559" w:type="dxa"/>
            <w:vMerge w:val="continue"/>
            <w:vAlign w:val="center"/>
          </w:tcPr>
          <w:p w14:paraId="1A5735FE">
            <w:pPr>
              <w:spacing w:after="0" w:line="240" w:lineRule="auto"/>
              <w:rPr>
                <w:rFonts w:ascii="Times New Roman" w:hAnsi="Times New Roman"/>
                <w:b/>
                <w:bCs/>
                <w:color w:val="000000" w:themeColor="text1"/>
                <w:spacing w:val="-2"/>
                <w:u w:val="single"/>
                <w14:textFill>
                  <w14:solidFill>
                    <w14:schemeClr w14:val="tx1"/>
                  </w14:solidFill>
                </w14:textFill>
              </w:rPr>
            </w:pPr>
          </w:p>
        </w:tc>
      </w:tr>
      <w:tr w14:paraId="134F16B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44" w:type="dxa"/>
            <w:vAlign w:val="center"/>
          </w:tcPr>
          <w:p w14:paraId="3298A14B">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ascii="Times New Roman" w:hAnsi="Times New Roman"/>
                <w:color w:val="000000" w:themeColor="text1"/>
                <w:spacing w:val="-2"/>
                <w:u w:val="single"/>
                <w14:textFill>
                  <w14:solidFill>
                    <w14:schemeClr w14:val="tx1"/>
                  </w14:solidFill>
                </w14:textFill>
              </w:rPr>
              <w:t>1</w:t>
            </w:r>
          </w:p>
        </w:tc>
        <w:tc>
          <w:tcPr>
            <w:tcW w:w="1509" w:type="dxa"/>
            <w:vAlign w:val="center"/>
          </w:tcPr>
          <w:p w14:paraId="24707CEF">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创大汽车园内3号仓库南面</w:t>
            </w:r>
          </w:p>
        </w:tc>
        <w:tc>
          <w:tcPr>
            <w:tcW w:w="1560" w:type="dxa"/>
            <w:noWrap/>
            <w:vAlign w:val="center"/>
          </w:tcPr>
          <w:p w14:paraId="0A75A9A1">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ascii="Times New Roman" w:hAnsi="Times New Roman"/>
                <w:color w:val="000000" w:themeColor="text1"/>
                <w:spacing w:val="-2"/>
                <w:u w:val="single"/>
                <w14:textFill>
                  <w14:solidFill>
                    <w14:schemeClr w14:val="tx1"/>
                  </w14:solidFill>
                </w14:textFill>
              </w:rPr>
              <w:t>108.66805673</w:t>
            </w:r>
          </w:p>
        </w:tc>
        <w:tc>
          <w:tcPr>
            <w:tcW w:w="1417" w:type="dxa"/>
            <w:noWrap/>
            <w:vAlign w:val="center"/>
          </w:tcPr>
          <w:p w14:paraId="5EF93FEE">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ascii="Times New Roman" w:hAnsi="Times New Roman"/>
                <w:color w:val="000000" w:themeColor="text1"/>
                <w:spacing w:val="-2"/>
                <w:u w:val="single"/>
                <w14:textFill>
                  <w14:solidFill>
                    <w14:schemeClr w14:val="tx1"/>
                  </w14:solidFill>
                </w14:textFill>
              </w:rPr>
              <w:t>21.67225499</w:t>
            </w:r>
          </w:p>
        </w:tc>
        <w:tc>
          <w:tcPr>
            <w:tcW w:w="1134" w:type="dxa"/>
            <w:vAlign w:val="center"/>
          </w:tcPr>
          <w:p w14:paraId="1B168161">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S</w:t>
            </w:r>
          </w:p>
        </w:tc>
        <w:tc>
          <w:tcPr>
            <w:tcW w:w="1134" w:type="dxa"/>
            <w:vAlign w:val="center"/>
          </w:tcPr>
          <w:p w14:paraId="496E19A4">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相邻</w:t>
            </w:r>
          </w:p>
        </w:tc>
        <w:tc>
          <w:tcPr>
            <w:tcW w:w="1559" w:type="dxa"/>
            <w:vAlign w:val="center"/>
          </w:tcPr>
          <w:p w14:paraId="1FDA7349">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办公</w:t>
            </w:r>
            <w:r>
              <w:rPr>
                <w:rFonts w:ascii="Times New Roman" w:hAnsi="Times New Roman"/>
                <w:color w:val="000000" w:themeColor="text1"/>
                <w:spacing w:val="-2"/>
                <w:u w:val="single"/>
                <w14:textFill>
                  <w14:solidFill>
                    <w14:schemeClr w14:val="tx1"/>
                  </w14:solidFill>
                </w14:textFill>
              </w:rPr>
              <w:t>区</w:t>
            </w:r>
            <w:r>
              <w:rPr>
                <w:rFonts w:hint="eastAsia" w:ascii="Times New Roman" w:hAnsi="Times New Roman"/>
                <w:color w:val="000000" w:themeColor="text1"/>
                <w:spacing w:val="-2"/>
                <w:u w:val="single"/>
                <w14:textFill>
                  <w14:solidFill>
                    <w14:schemeClr w14:val="tx1"/>
                  </w14:solidFill>
                </w14:textFill>
              </w:rPr>
              <w:t>4</w:t>
            </w:r>
            <w:r>
              <w:rPr>
                <w:rFonts w:ascii="Times New Roman" w:hAnsi="Times New Roman"/>
                <w:color w:val="000000" w:themeColor="text1"/>
                <w:spacing w:val="-2"/>
                <w:u w:val="single"/>
                <w14:textFill>
                  <w14:solidFill>
                    <w14:schemeClr w14:val="tx1"/>
                  </w14:solidFill>
                </w14:textFill>
              </w:rPr>
              <w:t>人</w:t>
            </w:r>
          </w:p>
        </w:tc>
      </w:tr>
      <w:tr w14:paraId="05B2EBB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44" w:type="dxa"/>
            <w:vAlign w:val="center"/>
          </w:tcPr>
          <w:p w14:paraId="01767AF7">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ascii="Times New Roman" w:hAnsi="Times New Roman"/>
                <w:color w:val="000000" w:themeColor="text1"/>
                <w:spacing w:val="-2"/>
                <w:u w:val="single"/>
                <w14:textFill>
                  <w14:solidFill>
                    <w14:schemeClr w14:val="tx1"/>
                  </w14:solidFill>
                </w14:textFill>
              </w:rPr>
              <w:t>2</w:t>
            </w:r>
          </w:p>
        </w:tc>
        <w:tc>
          <w:tcPr>
            <w:tcW w:w="1509" w:type="dxa"/>
            <w:vAlign w:val="center"/>
          </w:tcPr>
          <w:p w14:paraId="3958157F">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创大汽车园内1号仓库</w:t>
            </w:r>
          </w:p>
        </w:tc>
        <w:tc>
          <w:tcPr>
            <w:tcW w:w="1560" w:type="dxa"/>
            <w:noWrap/>
            <w:vAlign w:val="center"/>
          </w:tcPr>
          <w:p w14:paraId="033D72B9">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ascii="Times New Roman" w:hAnsi="Times New Roman"/>
                <w:color w:val="000000" w:themeColor="text1"/>
                <w:spacing w:val="-2"/>
                <w:u w:val="single"/>
                <w14:textFill>
                  <w14:solidFill>
                    <w14:schemeClr w14:val="tx1"/>
                  </w14:solidFill>
                </w14:textFill>
              </w:rPr>
              <w:t>108.66558909</w:t>
            </w:r>
          </w:p>
        </w:tc>
        <w:tc>
          <w:tcPr>
            <w:tcW w:w="1417" w:type="dxa"/>
            <w:noWrap/>
            <w:vAlign w:val="center"/>
          </w:tcPr>
          <w:p w14:paraId="6766CA05">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ascii="Times New Roman" w:hAnsi="Times New Roman"/>
                <w:color w:val="000000" w:themeColor="text1"/>
                <w:spacing w:val="-2"/>
                <w:u w:val="single"/>
                <w14:textFill>
                  <w14:solidFill>
                    <w14:schemeClr w14:val="tx1"/>
                  </w14:solidFill>
                </w14:textFill>
              </w:rPr>
              <w:t>21.67185617</w:t>
            </w:r>
          </w:p>
        </w:tc>
        <w:tc>
          <w:tcPr>
            <w:tcW w:w="1134" w:type="dxa"/>
            <w:vAlign w:val="center"/>
          </w:tcPr>
          <w:p w14:paraId="6D60FF1A">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WSW</w:t>
            </w:r>
          </w:p>
        </w:tc>
        <w:tc>
          <w:tcPr>
            <w:tcW w:w="1134" w:type="dxa"/>
            <w:vAlign w:val="center"/>
          </w:tcPr>
          <w:p w14:paraId="3D277EC2">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100</w:t>
            </w:r>
          </w:p>
        </w:tc>
        <w:tc>
          <w:tcPr>
            <w:tcW w:w="1559" w:type="dxa"/>
            <w:vAlign w:val="center"/>
          </w:tcPr>
          <w:p w14:paraId="2F36AB20">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仓储</w:t>
            </w:r>
            <w:r>
              <w:rPr>
                <w:rFonts w:ascii="Times New Roman" w:hAnsi="Times New Roman"/>
                <w:color w:val="000000" w:themeColor="text1"/>
                <w:spacing w:val="-2"/>
                <w:u w:val="single"/>
                <w14:textFill>
                  <w14:solidFill>
                    <w14:schemeClr w14:val="tx1"/>
                  </w14:solidFill>
                </w14:textFill>
              </w:rPr>
              <w:t>区/</w:t>
            </w:r>
            <w:r>
              <w:rPr>
                <w:rFonts w:hint="eastAsia" w:ascii="Times New Roman" w:hAnsi="Times New Roman"/>
                <w:color w:val="000000" w:themeColor="text1"/>
                <w:spacing w:val="-2"/>
                <w:u w:val="single"/>
                <w14:textFill>
                  <w14:solidFill>
                    <w14:schemeClr w14:val="tx1"/>
                  </w14:solidFill>
                </w14:textFill>
              </w:rPr>
              <w:t>1</w:t>
            </w:r>
            <w:r>
              <w:rPr>
                <w:rFonts w:ascii="Times New Roman" w:hAnsi="Times New Roman"/>
                <w:color w:val="000000" w:themeColor="text1"/>
                <w:spacing w:val="-2"/>
                <w:u w:val="single"/>
                <w14:textFill>
                  <w14:solidFill>
                    <w14:schemeClr w14:val="tx1"/>
                  </w14:solidFill>
                </w14:textFill>
              </w:rPr>
              <w:t>人</w:t>
            </w:r>
          </w:p>
        </w:tc>
      </w:tr>
      <w:tr w14:paraId="6231E39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44" w:type="dxa"/>
            <w:vMerge w:val="restart"/>
            <w:vAlign w:val="center"/>
          </w:tcPr>
          <w:p w14:paraId="5BA76EF9">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3</w:t>
            </w:r>
          </w:p>
        </w:tc>
        <w:tc>
          <w:tcPr>
            <w:tcW w:w="1509" w:type="dxa"/>
            <w:vMerge w:val="restart"/>
            <w:vAlign w:val="center"/>
          </w:tcPr>
          <w:p w14:paraId="41593354">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钦州港冷链保税交易中心</w:t>
            </w:r>
          </w:p>
        </w:tc>
        <w:tc>
          <w:tcPr>
            <w:tcW w:w="1560" w:type="dxa"/>
            <w:vMerge w:val="restart"/>
            <w:noWrap/>
            <w:vAlign w:val="center"/>
          </w:tcPr>
          <w:p w14:paraId="1612F46F">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ascii="Times New Roman" w:hAnsi="Times New Roman"/>
                <w:color w:val="000000" w:themeColor="text1"/>
                <w:spacing w:val="-2"/>
                <w:u w:val="single"/>
                <w14:textFill>
                  <w14:solidFill>
                    <w14:schemeClr w14:val="tx1"/>
                  </w14:solidFill>
                </w14:textFill>
              </w:rPr>
              <w:t>108.66952658</w:t>
            </w:r>
          </w:p>
        </w:tc>
        <w:tc>
          <w:tcPr>
            <w:tcW w:w="1417" w:type="dxa"/>
            <w:vMerge w:val="restart"/>
            <w:noWrap/>
            <w:vAlign w:val="center"/>
          </w:tcPr>
          <w:p w14:paraId="703814C6">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ascii="Times New Roman" w:hAnsi="Times New Roman"/>
                <w:color w:val="000000" w:themeColor="text1"/>
                <w:spacing w:val="-2"/>
                <w:u w:val="single"/>
                <w14:textFill>
                  <w14:solidFill>
                    <w14:schemeClr w14:val="tx1"/>
                  </w14:solidFill>
                </w14:textFill>
              </w:rPr>
              <w:t>21.67386022</w:t>
            </w:r>
          </w:p>
        </w:tc>
        <w:tc>
          <w:tcPr>
            <w:tcW w:w="1134" w:type="dxa"/>
            <w:vAlign w:val="center"/>
          </w:tcPr>
          <w:p w14:paraId="3281D097">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NNE</w:t>
            </w:r>
          </w:p>
        </w:tc>
        <w:tc>
          <w:tcPr>
            <w:tcW w:w="1134" w:type="dxa"/>
            <w:vAlign w:val="center"/>
          </w:tcPr>
          <w:p w14:paraId="392BF09F">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140</w:t>
            </w:r>
          </w:p>
        </w:tc>
        <w:tc>
          <w:tcPr>
            <w:tcW w:w="1559" w:type="dxa"/>
            <w:vAlign w:val="center"/>
          </w:tcPr>
          <w:p w14:paraId="65BACD57">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办公</w:t>
            </w:r>
            <w:r>
              <w:rPr>
                <w:rFonts w:ascii="Times New Roman" w:hAnsi="Times New Roman"/>
                <w:color w:val="000000" w:themeColor="text1"/>
                <w:spacing w:val="-2"/>
                <w:u w:val="single"/>
                <w14:textFill>
                  <w14:solidFill>
                    <w14:schemeClr w14:val="tx1"/>
                  </w14:solidFill>
                </w14:textFill>
              </w:rPr>
              <w:t>区</w:t>
            </w:r>
            <w:r>
              <w:rPr>
                <w:rFonts w:hint="eastAsia" w:ascii="Times New Roman" w:hAnsi="Times New Roman"/>
                <w:color w:val="000000" w:themeColor="text1"/>
                <w:spacing w:val="-2"/>
                <w:u w:val="single"/>
                <w14:textFill>
                  <w14:solidFill>
                    <w14:schemeClr w14:val="tx1"/>
                  </w14:solidFill>
                </w14:textFill>
              </w:rPr>
              <w:t>2</w:t>
            </w:r>
            <w:r>
              <w:rPr>
                <w:rFonts w:ascii="Times New Roman" w:hAnsi="Times New Roman"/>
                <w:color w:val="000000" w:themeColor="text1"/>
                <w:spacing w:val="-2"/>
                <w:u w:val="single"/>
                <w14:textFill>
                  <w14:solidFill>
                    <w14:schemeClr w14:val="tx1"/>
                  </w14:solidFill>
                </w14:textFill>
              </w:rPr>
              <w:t>人</w:t>
            </w:r>
          </w:p>
        </w:tc>
      </w:tr>
      <w:tr w14:paraId="5F4AE36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44" w:type="dxa"/>
            <w:vMerge w:val="continue"/>
            <w:vAlign w:val="center"/>
          </w:tcPr>
          <w:p w14:paraId="244B0332">
            <w:pPr>
              <w:spacing w:after="0" w:line="240" w:lineRule="auto"/>
              <w:jc w:val="center"/>
              <w:rPr>
                <w:rFonts w:ascii="Times New Roman" w:hAnsi="Times New Roman"/>
                <w:color w:val="000000" w:themeColor="text1"/>
                <w:spacing w:val="-2"/>
                <w:u w:val="single"/>
                <w14:textFill>
                  <w14:solidFill>
                    <w14:schemeClr w14:val="tx1"/>
                  </w14:solidFill>
                </w14:textFill>
              </w:rPr>
            </w:pPr>
          </w:p>
        </w:tc>
        <w:tc>
          <w:tcPr>
            <w:tcW w:w="1509" w:type="dxa"/>
            <w:vMerge w:val="continue"/>
            <w:vAlign w:val="center"/>
          </w:tcPr>
          <w:p w14:paraId="6CC64E68">
            <w:pPr>
              <w:spacing w:after="0" w:line="240" w:lineRule="auto"/>
              <w:jc w:val="center"/>
              <w:rPr>
                <w:rFonts w:ascii="Times New Roman" w:hAnsi="Times New Roman"/>
                <w:color w:val="000000" w:themeColor="text1"/>
                <w:spacing w:val="-2"/>
                <w:u w:val="single"/>
                <w14:textFill>
                  <w14:solidFill>
                    <w14:schemeClr w14:val="tx1"/>
                  </w14:solidFill>
                </w14:textFill>
              </w:rPr>
            </w:pPr>
          </w:p>
        </w:tc>
        <w:tc>
          <w:tcPr>
            <w:tcW w:w="1560" w:type="dxa"/>
            <w:vMerge w:val="continue"/>
            <w:noWrap/>
            <w:vAlign w:val="center"/>
          </w:tcPr>
          <w:p w14:paraId="0EBAE34C">
            <w:pPr>
              <w:spacing w:after="0" w:line="240" w:lineRule="auto"/>
              <w:jc w:val="center"/>
              <w:rPr>
                <w:rFonts w:ascii="Times New Roman" w:hAnsi="Times New Roman"/>
                <w:color w:val="000000" w:themeColor="text1"/>
                <w:spacing w:val="-2"/>
                <w:u w:val="single"/>
                <w14:textFill>
                  <w14:solidFill>
                    <w14:schemeClr w14:val="tx1"/>
                  </w14:solidFill>
                </w14:textFill>
              </w:rPr>
            </w:pPr>
          </w:p>
        </w:tc>
        <w:tc>
          <w:tcPr>
            <w:tcW w:w="1417" w:type="dxa"/>
            <w:vMerge w:val="continue"/>
            <w:noWrap/>
            <w:vAlign w:val="center"/>
          </w:tcPr>
          <w:p w14:paraId="32AE834C">
            <w:pPr>
              <w:spacing w:after="0" w:line="240" w:lineRule="auto"/>
              <w:jc w:val="center"/>
              <w:rPr>
                <w:rFonts w:ascii="Times New Roman" w:hAnsi="Times New Roman"/>
                <w:color w:val="000000" w:themeColor="text1"/>
                <w:spacing w:val="-2"/>
                <w:u w:val="single"/>
                <w14:textFill>
                  <w14:solidFill>
                    <w14:schemeClr w14:val="tx1"/>
                  </w14:solidFill>
                </w14:textFill>
              </w:rPr>
            </w:pPr>
          </w:p>
        </w:tc>
        <w:tc>
          <w:tcPr>
            <w:tcW w:w="1134" w:type="dxa"/>
            <w:vAlign w:val="center"/>
          </w:tcPr>
          <w:p w14:paraId="6BEFC649">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NE</w:t>
            </w:r>
          </w:p>
        </w:tc>
        <w:tc>
          <w:tcPr>
            <w:tcW w:w="1134" w:type="dxa"/>
            <w:vAlign w:val="center"/>
          </w:tcPr>
          <w:p w14:paraId="6896C9E4">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75</w:t>
            </w:r>
          </w:p>
        </w:tc>
        <w:tc>
          <w:tcPr>
            <w:tcW w:w="1559" w:type="dxa"/>
            <w:vAlign w:val="center"/>
          </w:tcPr>
          <w:p w14:paraId="7BCC14E7">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仓储</w:t>
            </w:r>
            <w:r>
              <w:rPr>
                <w:rFonts w:ascii="Times New Roman" w:hAnsi="Times New Roman"/>
                <w:color w:val="000000" w:themeColor="text1"/>
                <w:spacing w:val="-2"/>
                <w:u w:val="single"/>
                <w14:textFill>
                  <w14:solidFill>
                    <w14:schemeClr w14:val="tx1"/>
                  </w14:solidFill>
                </w14:textFill>
              </w:rPr>
              <w:t>区/</w:t>
            </w:r>
            <w:r>
              <w:rPr>
                <w:rFonts w:hint="eastAsia" w:ascii="Times New Roman" w:hAnsi="Times New Roman"/>
                <w:color w:val="000000" w:themeColor="text1"/>
                <w:spacing w:val="-2"/>
                <w:u w:val="single"/>
                <w14:textFill>
                  <w14:solidFill>
                    <w14:schemeClr w14:val="tx1"/>
                  </w14:solidFill>
                </w14:textFill>
              </w:rPr>
              <w:t>3</w:t>
            </w:r>
            <w:r>
              <w:rPr>
                <w:rFonts w:ascii="Times New Roman" w:hAnsi="Times New Roman"/>
                <w:color w:val="000000" w:themeColor="text1"/>
                <w:spacing w:val="-2"/>
                <w:u w:val="single"/>
                <w14:textFill>
                  <w14:solidFill>
                    <w14:schemeClr w14:val="tx1"/>
                  </w14:solidFill>
                </w14:textFill>
              </w:rPr>
              <w:t>人</w:t>
            </w:r>
          </w:p>
        </w:tc>
      </w:tr>
      <w:tr w14:paraId="5AC8E3E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44" w:type="dxa"/>
            <w:vMerge w:val="restart"/>
            <w:vAlign w:val="center"/>
          </w:tcPr>
          <w:p w14:paraId="30063E04">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4</w:t>
            </w:r>
          </w:p>
        </w:tc>
        <w:tc>
          <w:tcPr>
            <w:tcW w:w="1509" w:type="dxa"/>
            <w:vMerge w:val="restart"/>
            <w:vAlign w:val="center"/>
          </w:tcPr>
          <w:p w14:paraId="7A85DBC4">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星火物流</w:t>
            </w:r>
          </w:p>
        </w:tc>
        <w:tc>
          <w:tcPr>
            <w:tcW w:w="1560" w:type="dxa"/>
            <w:vMerge w:val="restart"/>
            <w:noWrap/>
            <w:vAlign w:val="center"/>
          </w:tcPr>
          <w:p w14:paraId="7C4CF6DE">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ascii="Times New Roman" w:hAnsi="Times New Roman"/>
                <w:color w:val="000000" w:themeColor="text1"/>
                <w:spacing w:val="-2"/>
                <w:u w:val="single"/>
                <w14:textFill>
                  <w14:solidFill>
                    <w14:schemeClr w14:val="tx1"/>
                  </w14:solidFill>
                </w14:textFill>
              </w:rPr>
              <w:t>108.66901159</w:t>
            </w:r>
          </w:p>
        </w:tc>
        <w:tc>
          <w:tcPr>
            <w:tcW w:w="1417" w:type="dxa"/>
            <w:vMerge w:val="restart"/>
            <w:noWrap/>
            <w:vAlign w:val="center"/>
          </w:tcPr>
          <w:p w14:paraId="2FA7AED7">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ascii="Times New Roman" w:hAnsi="Times New Roman"/>
                <w:color w:val="000000" w:themeColor="text1"/>
                <w:spacing w:val="-2"/>
                <w:u w:val="single"/>
                <w14:textFill>
                  <w14:solidFill>
                    <w14:schemeClr w14:val="tx1"/>
                  </w14:solidFill>
                </w14:textFill>
              </w:rPr>
              <w:t>21.67043039</w:t>
            </w:r>
          </w:p>
        </w:tc>
        <w:tc>
          <w:tcPr>
            <w:tcW w:w="1134" w:type="dxa"/>
            <w:vAlign w:val="center"/>
          </w:tcPr>
          <w:p w14:paraId="4EEB4240">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SE</w:t>
            </w:r>
          </w:p>
        </w:tc>
        <w:tc>
          <w:tcPr>
            <w:tcW w:w="1134" w:type="dxa"/>
            <w:vAlign w:val="center"/>
          </w:tcPr>
          <w:p w14:paraId="32596A6A">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235</w:t>
            </w:r>
          </w:p>
        </w:tc>
        <w:tc>
          <w:tcPr>
            <w:tcW w:w="1559" w:type="dxa"/>
          </w:tcPr>
          <w:p w14:paraId="2B544431">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仓储</w:t>
            </w:r>
            <w:r>
              <w:rPr>
                <w:rFonts w:ascii="Times New Roman" w:hAnsi="Times New Roman"/>
                <w:color w:val="000000" w:themeColor="text1"/>
                <w:spacing w:val="-2"/>
                <w:u w:val="single"/>
                <w14:textFill>
                  <w14:solidFill>
                    <w14:schemeClr w14:val="tx1"/>
                  </w14:solidFill>
                </w14:textFill>
              </w:rPr>
              <w:t>区/</w:t>
            </w:r>
            <w:r>
              <w:rPr>
                <w:rFonts w:hint="eastAsia" w:ascii="Times New Roman" w:hAnsi="Times New Roman"/>
                <w:color w:val="000000" w:themeColor="text1"/>
                <w:spacing w:val="-2"/>
                <w:u w:val="single"/>
                <w14:textFill>
                  <w14:solidFill>
                    <w14:schemeClr w14:val="tx1"/>
                  </w14:solidFill>
                </w14:textFill>
              </w:rPr>
              <w:t>4</w:t>
            </w:r>
            <w:r>
              <w:rPr>
                <w:rFonts w:ascii="Times New Roman" w:hAnsi="Times New Roman"/>
                <w:color w:val="000000" w:themeColor="text1"/>
                <w:spacing w:val="-2"/>
                <w:u w:val="single"/>
                <w14:textFill>
                  <w14:solidFill>
                    <w14:schemeClr w14:val="tx1"/>
                  </w14:solidFill>
                </w14:textFill>
              </w:rPr>
              <w:t>人</w:t>
            </w:r>
          </w:p>
        </w:tc>
      </w:tr>
      <w:tr w14:paraId="4EFBEC4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44" w:type="dxa"/>
            <w:vMerge w:val="continue"/>
            <w:vAlign w:val="center"/>
          </w:tcPr>
          <w:p w14:paraId="717A33F6">
            <w:pPr>
              <w:spacing w:after="0" w:line="240" w:lineRule="auto"/>
              <w:jc w:val="center"/>
              <w:rPr>
                <w:rFonts w:ascii="Times New Roman" w:hAnsi="Times New Roman"/>
                <w:color w:val="000000" w:themeColor="text1"/>
                <w:spacing w:val="-2"/>
                <w:u w:val="single"/>
                <w14:textFill>
                  <w14:solidFill>
                    <w14:schemeClr w14:val="tx1"/>
                  </w14:solidFill>
                </w14:textFill>
              </w:rPr>
            </w:pPr>
          </w:p>
        </w:tc>
        <w:tc>
          <w:tcPr>
            <w:tcW w:w="1509" w:type="dxa"/>
            <w:vMerge w:val="continue"/>
            <w:vAlign w:val="center"/>
          </w:tcPr>
          <w:p w14:paraId="78284F83">
            <w:pPr>
              <w:spacing w:after="0" w:line="240" w:lineRule="auto"/>
              <w:jc w:val="center"/>
              <w:rPr>
                <w:rFonts w:ascii="Times New Roman" w:hAnsi="Times New Roman"/>
                <w:color w:val="000000" w:themeColor="text1"/>
                <w:spacing w:val="-2"/>
                <w:u w:val="single"/>
                <w14:textFill>
                  <w14:solidFill>
                    <w14:schemeClr w14:val="tx1"/>
                  </w14:solidFill>
                </w14:textFill>
              </w:rPr>
            </w:pPr>
          </w:p>
        </w:tc>
        <w:tc>
          <w:tcPr>
            <w:tcW w:w="1560" w:type="dxa"/>
            <w:vMerge w:val="continue"/>
            <w:noWrap/>
            <w:vAlign w:val="center"/>
          </w:tcPr>
          <w:p w14:paraId="3D7F4B34">
            <w:pPr>
              <w:spacing w:after="0" w:line="240" w:lineRule="auto"/>
              <w:jc w:val="center"/>
              <w:rPr>
                <w:rFonts w:ascii="Times New Roman" w:hAnsi="Times New Roman"/>
                <w:color w:val="000000" w:themeColor="text1"/>
                <w:spacing w:val="-2"/>
                <w:u w:val="single"/>
                <w14:textFill>
                  <w14:solidFill>
                    <w14:schemeClr w14:val="tx1"/>
                  </w14:solidFill>
                </w14:textFill>
              </w:rPr>
            </w:pPr>
          </w:p>
        </w:tc>
        <w:tc>
          <w:tcPr>
            <w:tcW w:w="1417" w:type="dxa"/>
            <w:vMerge w:val="continue"/>
            <w:noWrap/>
            <w:vAlign w:val="center"/>
          </w:tcPr>
          <w:p w14:paraId="5774D20C">
            <w:pPr>
              <w:spacing w:after="0" w:line="240" w:lineRule="auto"/>
              <w:jc w:val="center"/>
              <w:rPr>
                <w:rFonts w:ascii="Times New Roman" w:hAnsi="Times New Roman"/>
                <w:color w:val="000000" w:themeColor="text1"/>
                <w:spacing w:val="-2"/>
                <w:u w:val="single"/>
                <w14:textFill>
                  <w14:solidFill>
                    <w14:schemeClr w14:val="tx1"/>
                  </w14:solidFill>
                </w14:textFill>
              </w:rPr>
            </w:pPr>
          </w:p>
        </w:tc>
        <w:tc>
          <w:tcPr>
            <w:tcW w:w="1134" w:type="dxa"/>
            <w:vAlign w:val="center"/>
          </w:tcPr>
          <w:p w14:paraId="37AAED21">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SSE</w:t>
            </w:r>
          </w:p>
        </w:tc>
        <w:tc>
          <w:tcPr>
            <w:tcW w:w="1134" w:type="dxa"/>
            <w:vAlign w:val="center"/>
          </w:tcPr>
          <w:p w14:paraId="3357CB81">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95</w:t>
            </w:r>
          </w:p>
        </w:tc>
        <w:tc>
          <w:tcPr>
            <w:tcW w:w="1559" w:type="dxa"/>
          </w:tcPr>
          <w:p w14:paraId="4A26D666">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仓储</w:t>
            </w:r>
            <w:r>
              <w:rPr>
                <w:rFonts w:ascii="Times New Roman" w:hAnsi="Times New Roman"/>
                <w:color w:val="000000" w:themeColor="text1"/>
                <w:spacing w:val="-2"/>
                <w:u w:val="single"/>
                <w14:textFill>
                  <w14:solidFill>
                    <w14:schemeClr w14:val="tx1"/>
                  </w14:solidFill>
                </w14:textFill>
              </w:rPr>
              <w:t>区/</w:t>
            </w:r>
            <w:r>
              <w:rPr>
                <w:rFonts w:hint="eastAsia" w:ascii="Times New Roman" w:hAnsi="Times New Roman"/>
                <w:color w:val="000000" w:themeColor="text1"/>
                <w:spacing w:val="-2"/>
                <w:u w:val="single"/>
                <w14:textFill>
                  <w14:solidFill>
                    <w14:schemeClr w14:val="tx1"/>
                  </w14:solidFill>
                </w14:textFill>
              </w:rPr>
              <w:t>8</w:t>
            </w:r>
            <w:r>
              <w:rPr>
                <w:rFonts w:ascii="Times New Roman" w:hAnsi="Times New Roman"/>
                <w:color w:val="000000" w:themeColor="text1"/>
                <w:spacing w:val="-2"/>
                <w:u w:val="single"/>
                <w14:textFill>
                  <w14:solidFill>
                    <w14:schemeClr w14:val="tx1"/>
                  </w14:solidFill>
                </w14:textFill>
              </w:rPr>
              <w:t>人</w:t>
            </w:r>
          </w:p>
        </w:tc>
      </w:tr>
      <w:tr w14:paraId="2EC0E12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44" w:type="dxa"/>
            <w:vMerge w:val="restart"/>
            <w:vAlign w:val="center"/>
          </w:tcPr>
          <w:p w14:paraId="17AB5874">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5</w:t>
            </w:r>
          </w:p>
        </w:tc>
        <w:tc>
          <w:tcPr>
            <w:tcW w:w="1509" w:type="dxa"/>
            <w:vMerge w:val="restart"/>
            <w:vAlign w:val="center"/>
          </w:tcPr>
          <w:p w14:paraId="236D1F4D">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创大仓储</w:t>
            </w:r>
          </w:p>
        </w:tc>
        <w:tc>
          <w:tcPr>
            <w:tcW w:w="1560" w:type="dxa"/>
            <w:vMerge w:val="restart"/>
            <w:noWrap/>
            <w:vAlign w:val="center"/>
          </w:tcPr>
          <w:p w14:paraId="2C56998D">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ascii="Times New Roman" w:hAnsi="Times New Roman"/>
                <w:color w:val="000000" w:themeColor="text1"/>
                <w:spacing w:val="-2"/>
                <w:u w:val="single"/>
                <w14:textFill>
                  <w14:solidFill>
                    <w14:schemeClr w14:val="tx1"/>
                  </w14:solidFill>
                </w14:textFill>
              </w:rPr>
              <w:t>108.66738081</w:t>
            </w:r>
          </w:p>
        </w:tc>
        <w:tc>
          <w:tcPr>
            <w:tcW w:w="1417" w:type="dxa"/>
            <w:vMerge w:val="restart"/>
            <w:noWrap/>
            <w:vAlign w:val="center"/>
          </w:tcPr>
          <w:p w14:paraId="114D8221">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ascii="Times New Roman" w:hAnsi="Times New Roman"/>
                <w:color w:val="000000" w:themeColor="text1"/>
                <w:spacing w:val="-2"/>
                <w:u w:val="single"/>
                <w14:textFill>
                  <w14:solidFill>
                    <w14:schemeClr w14:val="tx1"/>
                  </w14:solidFill>
                </w14:textFill>
              </w:rPr>
              <w:t>21.66925386</w:t>
            </w:r>
          </w:p>
        </w:tc>
        <w:tc>
          <w:tcPr>
            <w:tcW w:w="1134" w:type="dxa"/>
            <w:vAlign w:val="center"/>
          </w:tcPr>
          <w:p w14:paraId="6585DF89">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S</w:t>
            </w:r>
          </w:p>
        </w:tc>
        <w:tc>
          <w:tcPr>
            <w:tcW w:w="1134" w:type="dxa"/>
            <w:vAlign w:val="center"/>
          </w:tcPr>
          <w:p w14:paraId="5BDD89C6">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155</w:t>
            </w:r>
          </w:p>
        </w:tc>
        <w:tc>
          <w:tcPr>
            <w:tcW w:w="1559" w:type="dxa"/>
          </w:tcPr>
          <w:p w14:paraId="5CFB4632">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仓储</w:t>
            </w:r>
            <w:r>
              <w:rPr>
                <w:rFonts w:ascii="Times New Roman" w:hAnsi="Times New Roman"/>
                <w:color w:val="000000" w:themeColor="text1"/>
                <w:spacing w:val="-2"/>
                <w:u w:val="single"/>
                <w14:textFill>
                  <w14:solidFill>
                    <w14:schemeClr w14:val="tx1"/>
                  </w14:solidFill>
                </w14:textFill>
              </w:rPr>
              <w:t>区/</w:t>
            </w:r>
            <w:r>
              <w:rPr>
                <w:rFonts w:hint="eastAsia" w:ascii="Times New Roman" w:hAnsi="Times New Roman"/>
                <w:color w:val="000000" w:themeColor="text1"/>
                <w:spacing w:val="-2"/>
                <w:u w:val="single"/>
                <w14:textFill>
                  <w14:solidFill>
                    <w14:schemeClr w14:val="tx1"/>
                  </w14:solidFill>
                </w14:textFill>
              </w:rPr>
              <w:t>4</w:t>
            </w:r>
            <w:r>
              <w:rPr>
                <w:rFonts w:ascii="Times New Roman" w:hAnsi="Times New Roman"/>
                <w:color w:val="000000" w:themeColor="text1"/>
                <w:spacing w:val="-2"/>
                <w:u w:val="single"/>
                <w14:textFill>
                  <w14:solidFill>
                    <w14:schemeClr w14:val="tx1"/>
                  </w14:solidFill>
                </w14:textFill>
              </w:rPr>
              <w:t>人</w:t>
            </w:r>
          </w:p>
        </w:tc>
      </w:tr>
      <w:tr w14:paraId="1758E1C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44" w:type="dxa"/>
            <w:vMerge w:val="continue"/>
            <w:vAlign w:val="center"/>
          </w:tcPr>
          <w:p w14:paraId="68D67E2F">
            <w:pPr>
              <w:spacing w:after="0" w:line="240" w:lineRule="auto"/>
              <w:jc w:val="center"/>
              <w:rPr>
                <w:rFonts w:ascii="Times New Roman" w:hAnsi="Times New Roman"/>
                <w:color w:val="000000" w:themeColor="text1"/>
                <w:spacing w:val="-2"/>
                <w:u w:val="single"/>
                <w14:textFill>
                  <w14:solidFill>
                    <w14:schemeClr w14:val="tx1"/>
                  </w14:solidFill>
                </w14:textFill>
              </w:rPr>
            </w:pPr>
          </w:p>
        </w:tc>
        <w:tc>
          <w:tcPr>
            <w:tcW w:w="1509" w:type="dxa"/>
            <w:vMerge w:val="continue"/>
            <w:vAlign w:val="center"/>
          </w:tcPr>
          <w:p w14:paraId="07B3AF1D">
            <w:pPr>
              <w:spacing w:after="0" w:line="240" w:lineRule="auto"/>
              <w:jc w:val="center"/>
              <w:rPr>
                <w:rFonts w:ascii="Times New Roman" w:hAnsi="Times New Roman"/>
                <w:color w:val="000000" w:themeColor="text1"/>
                <w:spacing w:val="-2"/>
                <w:u w:val="single"/>
                <w14:textFill>
                  <w14:solidFill>
                    <w14:schemeClr w14:val="tx1"/>
                  </w14:solidFill>
                </w14:textFill>
              </w:rPr>
            </w:pPr>
          </w:p>
        </w:tc>
        <w:tc>
          <w:tcPr>
            <w:tcW w:w="1560" w:type="dxa"/>
            <w:vMerge w:val="continue"/>
            <w:noWrap/>
            <w:vAlign w:val="center"/>
          </w:tcPr>
          <w:p w14:paraId="13519D71">
            <w:pPr>
              <w:spacing w:after="0" w:line="240" w:lineRule="auto"/>
              <w:jc w:val="center"/>
              <w:rPr>
                <w:rFonts w:ascii="Times New Roman" w:hAnsi="Times New Roman"/>
                <w:color w:val="000000" w:themeColor="text1"/>
                <w:spacing w:val="-2"/>
                <w:u w:val="single"/>
                <w14:textFill>
                  <w14:solidFill>
                    <w14:schemeClr w14:val="tx1"/>
                  </w14:solidFill>
                </w14:textFill>
              </w:rPr>
            </w:pPr>
          </w:p>
        </w:tc>
        <w:tc>
          <w:tcPr>
            <w:tcW w:w="1417" w:type="dxa"/>
            <w:vMerge w:val="continue"/>
            <w:noWrap/>
            <w:vAlign w:val="center"/>
          </w:tcPr>
          <w:p w14:paraId="3D11AA7A">
            <w:pPr>
              <w:spacing w:after="0" w:line="240" w:lineRule="auto"/>
              <w:jc w:val="center"/>
              <w:rPr>
                <w:rFonts w:ascii="Times New Roman" w:hAnsi="Times New Roman"/>
                <w:color w:val="000000" w:themeColor="text1"/>
                <w:spacing w:val="-2"/>
                <w:u w:val="single"/>
                <w14:textFill>
                  <w14:solidFill>
                    <w14:schemeClr w14:val="tx1"/>
                  </w14:solidFill>
                </w14:textFill>
              </w:rPr>
            </w:pPr>
          </w:p>
        </w:tc>
        <w:tc>
          <w:tcPr>
            <w:tcW w:w="1134" w:type="dxa"/>
            <w:vAlign w:val="center"/>
          </w:tcPr>
          <w:p w14:paraId="69C5ED86">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SSW</w:t>
            </w:r>
          </w:p>
        </w:tc>
        <w:tc>
          <w:tcPr>
            <w:tcW w:w="1134" w:type="dxa"/>
            <w:vAlign w:val="center"/>
          </w:tcPr>
          <w:p w14:paraId="69361A66">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260</w:t>
            </w:r>
          </w:p>
        </w:tc>
        <w:tc>
          <w:tcPr>
            <w:tcW w:w="1559" w:type="dxa"/>
          </w:tcPr>
          <w:p w14:paraId="5B9FAA66">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仓储</w:t>
            </w:r>
            <w:r>
              <w:rPr>
                <w:rFonts w:ascii="Times New Roman" w:hAnsi="Times New Roman"/>
                <w:color w:val="000000" w:themeColor="text1"/>
                <w:spacing w:val="-2"/>
                <w:u w:val="single"/>
                <w14:textFill>
                  <w14:solidFill>
                    <w14:schemeClr w14:val="tx1"/>
                  </w14:solidFill>
                </w14:textFill>
              </w:rPr>
              <w:t>区/</w:t>
            </w:r>
            <w:r>
              <w:rPr>
                <w:rFonts w:hint="eastAsia" w:ascii="Times New Roman" w:hAnsi="Times New Roman"/>
                <w:color w:val="000000" w:themeColor="text1"/>
                <w:spacing w:val="-2"/>
                <w:u w:val="single"/>
                <w14:textFill>
                  <w14:solidFill>
                    <w14:schemeClr w14:val="tx1"/>
                  </w14:solidFill>
                </w14:textFill>
              </w:rPr>
              <w:t>4</w:t>
            </w:r>
            <w:r>
              <w:rPr>
                <w:rFonts w:ascii="Times New Roman" w:hAnsi="Times New Roman"/>
                <w:color w:val="000000" w:themeColor="text1"/>
                <w:spacing w:val="-2"/>
                <w:u w:val="single"/>
                <w14:textFill>
                  <w14:solidFill>
                    <w14:schemeClr w14:val="tx1"/>
                  </w14:solidFill>
                </w14:textFill>
              </w:rPr>
              <w:t>人</w:t>
            </w:r>
          </w:p>
        </w:tc>
      </w:tr>
      <w:tr w14:paraId="50BBE4E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44" w:type="dxa"/>
            <w:vAlign w:val="center"/>
          </w:tcPr>
          <w:p w14:paraId="24D5B312">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6</w:t>
            </w:r>
          </w:p>
        </w:tc>
        <w:tc>
          <w:tcPr>
            <w:tcW w:w="1509" w:type="dxa"/>
            <w:vAlign w:val="center"/>
          </w:tcPr>
          <w:p w14:paraId="35438AB0">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海纳新材料</w:t>
            </w:r>
          </w:p>
        </w:tc>
        <w:tc>
          <w:tcPr>
            <w:tcW w:w="1560" w:type="dxa"/>
            <w:noWrap/>
            <w:vAlign w:val="center"/>
          </w:tcPr>
          <w:p w14:paraId="7B2C50E9">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ascii="Times New Roman" w:hAnsi="Times New Roman"/>
                <w:color w:val="000000" w:themeColor="text1"/>
                <w:spacing w:val="-2"/>
                <w:u w:val="single"/>
                <w14:textFill>
                  <w14:solidFill>
                    <w14:schemeClr w14:val="tx1"/>
                  </w14:solidFill>
                </w14:textFill>
              </w:rPr>
              <w:t>108.67036343</w:t>
            </w:r>
          </w:p>
        </w:tc>
        <w:tc>
          <w:tcPr>
            <w:tcW w:w="1417" w:type="dxa"/>
            <w:noWrap/>
            <w:vAlign w:val="center"/>
          </w:tcPr>
          <w:p w14:paraId="6E28E5B7">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ascii="Times New Roman" w:hAnsi="Times New Roman"/>
                <w:color w:val="000000" w:themeColor="text1"/>
                <w:spacing w:val="-2"/>
                <w:u w:val="single"/>
                <w14:textFill>
                  <w14:solidFill>
                    <w14:schemeClr w14:val="tx1"/>
                  </w14:solidFill>
                </w14:textFill>
              </w:rPr>
              <w:t>21.67213534</w:t>
            </w:r>
          </w:p>
        </w:tc>
        <w:tc>
          <w:tcPr>
            <w:tcW w:w="1134" w:type="dxa"/>
            <w:vAlign w:val="center"/>
          </w:tcPr>
          <w:p w14:paraId="32018D0D">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E</w:t>
            </w:r>
          </w:p>
        </w:tc>
        <w:tc>
          <w:tcPr>
            <w:tcW w:w="1134" w:type="dxa"/>
            <w:vAlign w:val="center"/>
          </w:tcPr>
          <w:p w14:paraId="008CF109">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180</w:t>
            </w:r>
          </w:p>
        </w:tc>
        <w:tc>
          <w:tcPr>
            <w:tcW w:w="1559" w:type="dxa"/>
          </w:tcPr>
          <w:p w14:paraId="3A079A6C">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仓储</w:t>
            </w:r>
            <w:r>
              <w:rPr>
                <w:rFonts w:ascii="Times New Roman" w:hAnsi="Times New Roman"/>
                <w:color w:val="000000" w:themeColor="text1"/>
                <w:spacing w:val="-2"/>
                <w:u w:val="single"/>
                <w14:textFill>
                  <w14:solidFill>
                    <w14:schemeClr w14:val="tx1"/>
                  </w14:solidFill>
                </w14:textFill>
              </w:rPr>
              <w:t>区/</w:t>
            </w:r>
            <w:r>
              <w:rPr>
                <w:rFonts w:hint="eastAsia" w:ascii="Times New Roman" w:hAnsi="Times New Roman"/>
                <w:color w:val="000000" w:themeColor="text1"/>
                <w:spacing w:val="-2"/>
                <w:u w:val="single"/>
                <w14:textFill>
                  <w14:solidFill>
                    <w14:schemeClr w14:val="tx1"/>
                  </w14:solidFill>
                </w14:textFill>
              </w:rPr>
              <w:t>1</w:t>
            </w:r>
            <w:r>
              <w:rPr>
                <w:rFonts w:ascii="Times New Roman" w:hAnsi="Times New Roman"/>
                <w:color w:val="000000" w:themeColor="text1"/>
                <w:spacing w:val="-2"/>
                <w:u w:val="single"/>
                <w14:textFill>
                  <w14:solidFill>
                    <w14:schemeClr w14:val="tx1"/>
                  </w14:solidFill>
                </w14:textFill>
              </w:rPr>
              <w:t>人</w:t>
            </w:r>
          </w:p>
        </w:tc>
      </w:tr>
      <w:tr w14:paraId="5488E85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44" w:type="dxa"/>
            <w:vAlign w:val="center"/>
          </w:tcPr>
          <w:p w14:paraId="390DB2A2">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7</w:t>
            </w:r>
          </w:p>
        </w:tc>
        <w:tc>
          <w:tcPr>
            <w:tcW w:w="1509" w:type="dxa"/>
            <w:vAlign w:val="center"/>
          </w:tcPr>
          <w:p w14:paraId="5D8ACD03">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益盐堂</w:t>
            </w:r>
          </w:p>
        </w:tc>
        <w:tc>
          <w:tcPr>
            <w:tcW w:w="1560" w:type="dxa"/>
            <w:noWrap/>
            <w:vAlign w:val="center"/>
          </w:tcPr>
          <w:p w14:paraId="30E7D5F7">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ascii="Times New Roman" w:hAnsi="Times New Roman"/>
                <w:color w:val="000000" w:themeColor="text1"/>
                <w:spacing w:val="-2"/>
                <w:u w:val="single"/>
                <w14:textFill>
                  <w14:solidFill>
                    <w14:schemeClr w14:val="tx1"/>
                  </w14:solidFill>
                </w14:textFill>
              </w:rPr>
              <w:t>108.67117882</w:t>
            </w:r>
          </w:p>
        </w:tc>
        <w:tc>
          <w:tcPr>
            <w:tcW w:w="1417" w:type="dxa"/>
            <w:noWrap/>
            <w:vAlign w:val="center"/>
          </w:tcPr>
          <w:p w14:paraId="49083175">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ascii="Times New Roman" w:hAnsi="Times New Roman"/>
                <w:color w:val="000000" w:themeColor="text1"/>
                <w:spacing w:val="-2"/>
                <w:u w:val="single"/>
                <w14:textFill>
                  <w14:solidFill>
                    <w14:schemeClr w14:val="tx1"/>
                  </w14:solidFill>
                </w14:textFill>
              </w:rPr>
              <w:t>21.67511648</w:t>
            </w:r>
          </w:p>
        </w:tc>
        <w:tc>
          <w:tcPr>
            <w:tcW w:w="1134" w:type="dxa"/>
            <w:vAlign w:val="center"/>
          </w:tcPr>
          <w:p w14:paraId="5A5E2F57">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NE</w:t>
            </w:r>
          </w:p>
        </w:tc>
        <w:tc>
          <w:tcPr>
            <w:tcW w:w="1134" w:type="dxa"/>
            <w:vAlign w:val="center"/>
          </w:tcPr>
          <w:p w14:paraId="6A4B14A3">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335</w:t>
            </w:r>
          </w:p>
        </w:tc>
        <w:tc>
          <w:tcPr>
            <w:tcW w:w="1559" w:type="dxa"/>
            <w:vAlign w:val="center"/>
          </w:tcPr>
          <w:p w14:paraId="5D63B0F7">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工业区/8人</w:t>
            </w:r>
          </w:p>
        </w:tc>
      </w:tr>
      <w:tr w14:paraId="70D7093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44" w:type="dxa"/>
            <w:vMerge w:val="restart"/>
            <w:vAlign w:val="center"/>
          </w:tcPr>
          <w:p w14:paraId="2554E1C2">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8</w:t>
            </w:r>
          </w:p>
        </w:tc>
        <w:tc>
          <w:tcPr>
            <w:tcW w:w="1509" w:type="dxa"/>
            <w:vMerge w:val="restart"/>
            <w:vAlign w:val="center"/>
          </w:tcPr>
          <w:p w14:paraId="44659DB4">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棉纺产业园</w:t>
            </w:r>
          </w:p>
        </w:tc>
        <w:tc>
          <w:tcPr>
            <w:tcW w:w="1560" w:type="dxa"/>
            <w:vMerge w:val="restart"/>
            <w:noWrap/>
            <w:vAlign w:val="center"/>
          </w:tcPr>
          <w:p w14:paraId="095FCE26">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ascii="Times New Roman" w:hAnsi="Times New Roman"/>
                <w:color w:val="000000" w:themeColor="text1"/>
                <w:spacing w:val="-2"/>
                <w:u w:val="single"/>
                <w14:textFill>
                  <w14:solidFill>
                    <w14:schemeClr w14:val="tx1"/>
                  </w14:solidFill>
                </w14:textFill>
              </w:rPr>
              <w:t>108.66823912</w:t>
            </w:r>
          </w:p>
        </w:tc>
        <w:tc>
          <w:tcPr>
            <w:tcW w:w="1417" w:type="dxa"/>
            <w:vMerge w:val="restart"/>
            <w:noWrap/>
            <w:vAlign w:val="center"/>
          </w:tcPr>
          <w:p w14:paraId="3B742D6B">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ascii="Times New Roman" w:hAnsi="Times New Roman"/>
                <w:color w:val="000000" w:themeColor="text1"/>
                <w:spacing w:val="-2"/>
                <w:u w:val="single"/>
                <w14:textFill>
                  <w14:solidFill>
                    <w14:schemeClr w14:val="tx1"/>
                  </w14:solidFill>
                </w14:textFill>
              </w:rPr>
              <w:t>21.67555516</w:t>
            </w:r>
          </w:p>
        </w:tc>
        <w:tc>
          <w:tcPr>
            <w:tcW w:w="1134" w:type="dxa"/>
            <w:vAlign w:val="center"/>
          </w:tcPr>
          <w:p w14:paraId="72FF42C0">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N</w:t>
            </w:r>
          </w:p>
        </w:tc>
        <w:tc>
          <w:tcPr>
            <w:tcW w:w="1134" w:type="dxa"/>
            <w:vAlign w:val="center"/>
          </w:tcPr>
          <w:p w14:paraId="45B0BAA2">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230</w:t>
            </w:r>
          </w:p>
        </w:tc>
        <w:tc>
          <w:tcPr>
            <w:tcW w:w="1559" w:type="dxa"/>
            <w:vAlign w:val="center"/>
          </w:tcPr>
          <w:p w14:paraId="27F4AE7F">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工业区/4人</w:t>
            </w:r>
          </w:p>
        </w:tc>
      </w:tr>
      <w:tr w14:paraId="512BDB9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44" w:type="dxa"/>
            <w:vMerge w:val="continue"/>
            <w:vAlign w:val="center"/>
          </w:tcPr>
          <w:p w14:paraId="2D37F1F6">
            <w:pPr>
              <w:spacing w:after="0" w:line="240" w:lineRule="auto"/>
              <w:jc w:val="center"/>
              <w:rPr>
                <w:rFonts w:ascii="Times New Roman" w:hAnsi="Times New Roman"/>
                <w:color w:val="000000" w:themeColor="text1"/>
                <w:spacing w:val="-2"/>
                <w:u w:val="single"/>
                <w14:textFill>
                  <w14:solidFill>
                    <w14:schemeClr w14:val="tx1"/>
                  </w14:solidFill>
                </w14:textFill>
              </w:rPr>
            </w:pPr>
          </w:p>
        </w:tc>
        <w:tc>
          <w:tcPr>
            <w:tcW w:w="1509" w:type="dxa"/>
            <w:vMerge w:val="continue"/>
            <w:vAlign w:val="center"/>
          </w:tcPr>
          <w:p w14:paraId="564A31D9">
            <w:pPr>
              <w:spacing w:after="0" w:line="240" w:lineRule="auto"/>
              <w:jc w:val="center"/>
              <w:rPr>
                <w:rFonts w:ascii="Times New Roman" w:hAnsi="Times New Roman"/>
                <w:color w:val="000000" w:themeColor="text1"/>
                <w:spacing w:val="-2"/>
                <w:u w:val="single"/>
                <w14:textFill>
                  <w14:solidFill>
                    <w14:schemeClr w14:val="tx1"/>
                  </w14:solidFill>
                </w14:textFill>
              </w:rPr>
            </w:pPr>
          </w:p>
        </w:tc>
        <w:tc>
          <w:tcPr>
            <w:tcW w:w="1560" w:type="dxa"/>
            <w:vMerge w:val="continue"/>
            <w:noWrap/>
            <w:vAlign w:val="center"/>
          </w:tcPr>
          <w:p w14:paraId="7767369C">
            <w:pPr>
              <w:spacing w:after="0" w:line="240" w:lineRule="auto"/>
              <w:jc w:val="center"/>
              <w:rPr>
                <w:rFonts w:ascii="Times New Roman" w:hAnsi="Times New Roman"/>
                <w:color w:val="000000" w:themeColor="text1"/>
                <w:spacing w:val="-2"/>
                <w:u w:val="single"/>
                <w14:textFill>
                  <w14:solidFill>
                    <w14:schemeClr w14:val="tx1"/>
                  </w14:solidFill>
                </w14:textFill>
              </w:rPr>
            </w:pPr>
          </w:p>
        </w:tc>
        <w:tc>
          <w:tcPr>
            <w:tcW w:w="1417" w:type="dxa"/>
            <w:vMerge w:val="continue"/>
            <w:noWrap/>
            <w:vAlign w:val="center"/>
          </w:tcPr>
          <w:p w14:paraId="4DA6E446">
            <w:pPr>
              <w:spacing w:after="0" w:line="240" w:lineRule="auto"/>
              <w:jc w:val="center"/>
              <w:rPr>
                <w:rFonts w:ascii="Times New Roman" w:hAnsi="Times New Roman"/>
                <w:color w:val="000000" w:themeColor="text1"/>
                <w:spacing w:val="-2"/>
                <w:u w:val="single"/>
                <w14:textFill>
                  <w14:solidFill>
                    <w14:schemeClr w14:val="tx1"/>
                  </w14:solidFill>
                </w14:textFill>
              </w:rPr>
            </w:pPr>
          </w:p>
        </w:tc>
        <w:tc>
          <w:tcPr>
            <w:tcW w:w="1134" w:type="dxa"/>
            <w:vAlign w:val="center"/>
          </w:tcPr>
          <w:p w14:paraId="169036F6">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NNE</w:t>
            </w:r>
          </w:p>
        </w:tc>
        <w:tc>
          <w:tcPr>
            <w:tcW w:w="1134" w:type="dxa"/>
            <w:vAlign w:val="center"/>
          </w:tcPr>
          <w:p w14:paraId="35993390">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230</w:t>
            </w:r>
          </w:p>
        </w:tc>
        <w:tc>
          <w:tcPr>
            <w:tcW w:w="1559" w:type="dxa"/>
            <w:vAlign w:val="center"/>
          </w:tcPr>
          <w:p w14:paraId="515BFDFE">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工业区/5人</w:t>
            </w:r>
          </w:p>
        </w:tc>
      </w:tr>
    </w:tbl>
    <w:p w14:paraId="12BC8365">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p>
    <w:p w14:paraId="61BB33DB">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u w:val="single"/>
          <w14:textFill>
            <w14:solidFill>
              <w14:schemeClr w14:val="tx1"/>
            </w14:solidFill>
          </w14:textFill>
        </w:rPr>
      </w:pPr>
      <w:r>
        <w:rPr>
          <w:rFonts w:ascii="Times New Roman" w:hAnsi="Times New Roman" w:eastAsia="宋体" w:cs="Times New Roman"/>
          <w:color w:val="000000" w:themeColor="text1"/>
          <w:spacing w:val="-2"/>
          <w:sz w:val="24"/>
          <w:szCs w:val="20"/>
          <w:u w:val="single"/>
          <w14:textFill>
            <w14:solidFill>
              <w14:schemeClr w14:val="tx1"/>
            </w14:solidFill>
          </w14:textFill>
        </w:rPr>
        <w:t>评价范围、评价子区示意图见图1.4-1。</w:t>
      </w:r>
    </w:p>
    <w:p w14:paraId="65C13804">
      <w:pPr>
        <w:autoSpaceDE w:val="0"/>
        <w:autoSpaceDN w:val="0"/>
        <w:adjustRightInd w:val="0"/>
        <w:spacing w:line="36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drawing>
          <wp:inline distT="0" distB="0" distL="0" distR="0">
            <wp:extent cx="5467350" cy="6478270"/>
            <wp:effectExtent l="19050" t="19050" r="19050" b="17780"/>
            <wp:docPr id="86318574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85748" name="图片 58"/>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471518" cy="6483779"/>
                    </a:xfrm>
                    <a:prstGeom prst="rect">
                      <a:avLst/>
                    </a:prstGeom>
                    <a:ln>
                      <a:solidFill>
                        <a:schemeClr val="tx1"/>
                      </a:solidFill>
                    </a:ln>
                  </pic:spPr>
                </pic:pic>
              </a:graphicData>
            </a:graphic>
          </wp:inline>
        </w:drawing>
      </w:r>
    </w:p>
    <w:p w14:paraId="408EDB07">
      <w:pPr>
        <w:autoSpaceDE w:val="0"/>
        <w:autoSpaceDN w:val="0"/>
        <w:adjustRightInd w:val="0"/>
        <w:spacing w:after="0" w:line="360" w:lineRule="auto"/>
        <w:jc w:val="center"/>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图1.4-1</w:t>
      </w:r>
      <w:r>
        <w:rPr>
          <w:rFonts w:hint="eastAsia" w:ascii="Times New Roman" w:hAnsi="Times New Roman" w:cs="Times New Roman"/>
          <w:b/>
          <w:bCs/>
          <w:color w:val="000000" w:themeColor="text1"/>
          <w:sz w:val="24"/>
          <w:szCs w:val="24"/>
          <w14:textFill>
            <w14:solidFill>
              <w14:schemeClr w14:val="tx1"/>
            </w14:solidFill>
          </w14:textFill>
        </w:rPr>
        <w:t xml:space="preserve"> </w:t>
      </w:r>
      <w:r>
        <w:rPr>
          <w:rFonts w:ascii="Times New Roman" w:hAnsi="Times New Roman" w:cs="Times New Roman"/>
          <w:b/>
          <w:bCs/>
          <w:color w:val="000000" w:themeColor="text1"/>
          <w:sz w:val="24"/>
          <w:szCs w:val="24"/>
          <w14:textFill>
            <w14:solidFill>
              <w14:schemeClr w14:val="tx1"/>
            </w14:solidFill>
          </w14:textFill>
        </w:rPr>
        <w:t>评价范围、评价子区示意图</w:t>
      </w:r>
      <w:bookmarkStart w:id="29" w:name="_Toc77323383"/>
    </w:p>
    <w:p w14:paraId="437572C2">
      <w:pPr>
        <w:pStyle w:val="4"/>
        <w:widowControl w:val="0"/>
        <w:numPr>
          <w:ilvl w:val="1"/>
          <w:numId w:val="1"/>
        </w:numPr>
        <w:spacing w:before="0" w:line="360" w:lineRule="auto"/>
        <w:jc w:val="both"/>
        <w:rPr>
          <w:rFonts w:ascii="Times New Roman" w:hAnsi="Times New Roman" w:eastAsia="黑体" w:cs="Times New Roman"/>
          <w:b/>
          <w:bCs/>
          <w:color w:val="000000" w:themeColor="text1"/>
          <w:kern w:val="2"/>
          <w:sz w:val="28"/>
          <w:szCs w:val="32"/>
          <w14:textFill>
            <w14:solidFill>
              <w14:schemeClr w14:val="tx1"/>
            </w14:solidFill>
          </w14:textFill>
        </w:rPr>
      </w:pPr>
      <w:bookmarkStart w:id="30" w:name="_Toc187653461"/>
      <w:bookmarkStart w:id="31" w:name="_Toc78822641"/>
      <w:r>
        <w:rPr>
          <w:rFonts w:ascii="Times New Roman" w:hAnsi="Times New Roman" w:eastAsia="黑体" w:cs="Times New Roman"/>
          <w:b/>
          <w:bCs/>
          <w:color w:val="000000" w:themeColor="text1"/>
          <w:kern w:val="2"/>
          <w:sz w:val="28"/>
          <w:szCs w:val="32"/>
          <w14:textFill>
            <w14:solidFill>
              <w14:schemeClr w14:val="tx1"/>
            </w14:solidFill>
          </w14:textFill>
        </w:rPr>
        <w:t>选址合理性</w:t>
      </w:r>
      <w:bookmarkEnd w:id="29"/>
      <w:bookmarkEnd w:id="30"/>
      <w:bookmarkEnd w:id="31"/>
    </w:p>
    <w:p w14:paraId="6F3496A5">
      <w:pPr>
        <w:widowControl w:val="0"/>
        <w:spacing w:after="0" w:line="360" w:lineRule="auto"/>
        <w:ind w:firstLine="472" w:firstLineChars="200"/>
        <w:jc w:val="both"/>
        <w:rPr>
          <w:rFonts w:ascii="Times New Roman" w:hAnsi="Times New Roman"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项目位于广西钦州保税区内，广西钦州保税港区所在场地原为海域，原地貌为浅海地貌，现状地形地貌经人工吹填砂形成，填海成陆的陆域无原有居民。目前区域地块多已平整硬化，根据</w:t>
      </w:r>
      <w:r>
        <w:rPr>
          <w:rFonts w:ascii="Times New Roman" w:hAnsi="Times New Roman"/>
          <w:color w:val="000000" w:themeColor="text1"/>
          <w:spacing w:val="-2"/>
          <w:kern w:val="24"/>
          <w:sz w:val="24"/>
          <w:szCs w:val="24"/>
          <w14:textFill>
            <w14:solidFill>
              <w14:schemeClr w14:val="tx1"/>
            </w14:solidFill>
          </w14:textFill>
        </w:rPr>
        <w:t>《广西钦州保税港区控制性详细规划》</w:t>
      </w:r>
      <w:r>
        <w:rPr>
          <w:rFonts w:hint="eastAsia" w:ascii="Times New Roman" w:hAnsi="Times New Roman"/>
          <w:color w:val="000000" w:themeColor="text1"/>
          <w:spacing w:val="-2"/>
          <w:kern w:val="24"/>
          <w:sz w:val="24"/>
          <w:szCs w:val="24"/>
          <w14:textFill>
            <w14:solidFill>
              <w14:schemeClr w14:val="tx1"/>
            </w14:solidFill>
          </w14:textFill>
        </w:rPr>
        <w:t>土地利用规划，</w:t>
      </w:r>
      <w:r>
        <w:rPr>
          <w:rFonts w:hint="eastAsia" w:ascii="Times New Roman" w:hAnsi="Times New Roman" w:eastAsia="宋体" w:cs="Times New Roman"/>
          <w:color w:val="000000" w:themeColor="text1"/>
          <w:spacing w:val="-2"/>
          <w:sz w:val="24"/>
          <w:szCs w:val="20"/>
          <w14:textFill>
            <w14:solidFill>
              <w14:schemeClr w14:val="tx1"/>
            </w14:solidFill>
          </w14:textFill>
        </w:rPr>
        <w:t>项目周边0.5km范围内用地以工业用地、物流仓储用地、港口用地为主，无居住用地及宿舍区。</w:t>
      </w:r>
      <w:r>
        <w:rPr>
          <w:rFonts w:ascii="Times New Roman" w:hAnsi="Times New Roman" w:eastAsia="宋体" w:cs="Times New Roman"/>
          <w:color w:val="000000" w:themeColor="text1"/>
          <w:spacing w:val="-2"/>
          <w:sz w:val="24"/>
          <w:szCs w:val="20"/>
          <w14:textFill>
            <w14:solidFill>
              <w14:schemeClr w14:val="tx1"/>
            </w14:solidFill>
          </w14:textFill>
        </w:rPr>
        <w:t>因此从辐射环境保护角度考虑，本项目选址合理。</w:t>
      </w:r>
    </w:p>
    <w:p w14:paraId="4F841F6B">
      <w:pPr>
        <w:widowControl w:val="0"/>
        <w:spacing w:after="0" w:line="360" w:lineRule="auto"/>
        <w:ind w:firstLine="602" w:firstLineChars="200"/>
        <w:jc w:val="both"/>
        <w:rPr>
          <w:rFonts w:ascii="Times New Roman" w:hAnsi="Times New Roman" w:cs="Times New Roman"/>
          <w:b/>
          <w:color w:val="000000" w:themeColor="text1"/>
          <w:sz w:val="30"/>
          <w:szCs w:val="30"/>
          <w14:textFill>
            <w14:solidFill>
              <w14:schemeClr w14:val="tx1"/>
            </w14:solidFill>
          </w14:textFill>
        </w:rPr>
        <w:sectPr>
          <w:pgSz w:w="11906" w:h="16838"/>
          <w:pgMar w:top="1418" w:right="1418" w:bottom="1418" w:left="1418" w:header="851" w:footer="737" w:gutter="0"/>
          <w:cols w:space="720" w:num="1"/>
          <w:docGrid w:linePitch="323" w:charSpace="0"/>
        </w:sectPr>
      </w:pPr>
      <w:bookmarkStart w:id="32" w:name="_Toc78822642"/>
    </w:p>
    <w:p w14:paraId="1AB61FDE">
      <w:pPr>
        <w:pStyle w:val="3"/>
        <w:widowControl w:val="0"/>
        <w:numPr>
          <w:ilvl w:val="0"/>
          <w:numId w:val="1"/>
        </w:numPr>
        <w:pBdr>
          <w:left w:val="none" w:color="auto" w:sz="0" w:space="0"/>
        </w:pBdr>
        <w:spacing w:before="0" w:after="0" w:line="360" w:lineRule="auto"/>
        <w:ind w:left="0" w:firstLine="0"/>
        <w:jc w:val="both"/>
        <w:rPr>
          <w:rFonts w:ascii="Times New Roman" w:hAnsi="Times New Roman" w:eastAsia="黑体" w:cs="Times New Roman"/>
          <w:b/>
          <w:bCs/>
          <w:caps w:val="0"/>
          <w:color w:val="000000" w:themeColor="text1"/>
          <w:spacing w:val="0"/>
          <w:kern w:val="44"/>
          <w:sz w:val="30"/>
          <w:szCs w:val="44"/>
          <w14:textFill>
            <w14:solidFill>
              <w14:schemeClr w14:val="tx1"/>
            </w14:solidFill>
          </w14:textFill>
        </w:rPr>
      </w:pPr>
      <w:bookmarkStart w:id="33" w:name="_Toc187653462"/>
      <w:r>
        <w:rPr>
          <w:rFonts w:ascii="Times New Roman" w:hAnsi="Times New Roman" w:eastAsia="黑体" w:cs="Times New Roman"/>
          <w:b/>
          <w:bCs/>
          <w:caps w:val="0"/>
          <w:color w:val="000000" w:themeColor="text1"/>
          <w:spacing w:val="0"/>
          <w:kern w:val="44"/>
          <w:sz w:val="30"/>
          <w:szCs w:val="44"/>
          <w14:textFill>
            <w14:solidFill>
              <w14:schemeClr w14:val="tx1"/>
            </w14:solidFill>
          </w14:textFill>
        </w:rPr>
        <w:t>放射性源项分析</w:t>
      </w:r>
      <w:bookmarkEnd w:id="32"/>
      <w:bookmarkEnd w:id="33"/>
    </w:p>
    <w:p w14:paraId="57F152E0">
      <w:pPr>
        <w:pStyle w:val="4"/>
        <w:widowControl w:val="0"/>
        <w:numPr>
          <w:ilvl w:val="1"/>
          <w:numId w:val="1"/>
        </w:numPr>
        <w:spacing w:before="0" w:line="360" w:lineRule="auto"/>
        <w:ind w:left="0" w:firstLine="0"/>
        <w:jc w:val="both"/>
        <w:rPr>
          <w:rFonts w:ascii="Times New Roman" w:hAnsi="Times New Roman" w:eastAsia="黑体" w:cs="Times New Roman"/>
          <w:b/>
          <w:bCs/>
          <w:color w:val="000000" w:themeColor="text1"/>
          <w:kern w:val="2"/>
          <w:sz w:val="28"/>
          <w:szCs w:val="32"/>
          <w14:textFill>
            <w14:solidFill>
              <w14:schemeClr w14:val="tx1"/>
            </w14:solidFill>
          </w14:textFill>
        </w:rPr>
      </w:pPr>
      <w:bookmarkStart w:id="34" w:name="_Toc78822643"/>
      <w:bookmarkStart w:id="35" w:name="_Toc187653463"/>
      <w:r>
        <w:rPr>
          <w:rFonts w:ascii="Times New Roman" w:hAnsi="Times New Roman" w:eastAsia="黑体" w:cs="Times New Roman"/>
          <w:b/>
          <w:bCs/>
          <w:color w:val="000000" w:themeColor="text1"/>
          <w:kern w:val="2"/>
          <w:sz w:val="28"/>
          <w:szCs w:val="32"/>
          <w14:textFill>
            <w14:solidFill>
              <w14:schemeClr w14:val="tx1"/>
            </w14:solidFill>
          </w14:textFill>
        </w:rPr>
        <w:t>工程概况</w:t>
      </w:r>
      <w:bookmarkEnd w:id="34"/>
      <w:bookmarkEnd w:id="35"/>
    </w:p>
    <w:p w14:paraId="6005434D">
      <w:pPr>
        <w:pStyle w:val="5"/>
        <w:widowControl w:val="0"/>
        <w:numPr>
          <w:ilvl w:val="2"/>
          <w:numId w:val="1"/>
        </w:numPr>
        <w:spacing w:before="0" w:line="360" w:lineRule="auto"/>
        <w:jc w:val="both"/>
        <w:rPr>
          <w:rFonts w:ascii="Times New Roman" w:hAnsi="Times New Roman" w:eastAsia="黑体" w:cs="Times New Roman"/>
          <w:b/>
          <w:bCs/>
          <w:caps w:val="0"/>
          <w:color w:val="000000" w:themeColor="text1"/>
          <w:kern w:val="2"/>
          <w:sz w:val="24"/>
          <w:szCs w:val="32"/>
          <w14:textFill>
            <w14:solidFill>
              <w14:schemeClr w14:val="tx1"/>
            </w14:solidFill>
          </w14:textFill>
        </w:rPr>
      </w:pPr>
      <w:bookmarkStart w:id="36" w:name="_Toc78822644"/>
      <w:r>
        <w:rPr>
          <w:rFonts w:ascii="Times New Roman" w:hAnsi="Times New Roman" w:eastAsia="黑体" w:cs="Times New Roman"/>
          <w:b/>
          <w:bCs/>
          <w:caps w:val="0"/>
          <w:color w:val="000000" w:themeColor="text1"/>
          <w:kern w:val="2"/>
          <w:sz w:val="24"/>
          <w:szCs w:val="32"/>
          <w14:textFill>
            <w14:solidFill>
              <w14:schemeClr w14:val="tx1"/>
            </w14:solidFill>
          </w14:textFill>
        </w:rPr>
        <w:t>拟建项目基本情况</w:t>
      </w:r>
      <w:bookmarkEnd w:id="36"/>
    </w:p>
    <w:p w14:paraId="44F3B857">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项目名称：锆钛矿石分选加工项目；</w:t>
      </w:r>
    </w:p>
    <w:p w14:paraId="54F3B380">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建设单位：广西瑞腾贸易有限公司；</w:t>
      </w:r>
    </w:p>
    <w:p w14:paraId="243A23CC">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项目性质：新建；</w:t>
      </w:r>
    </w:p>
    <w:p w14:paraId="657C0AF8">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建设地点：钦州综合保税区九大街与三号路交汇处广西钦州保税区创大冷链物流公司的3号仓库内北侧；</w:t>
      </w:r>
    </w:p>
    <w:p w14:paraId="62BDBF55">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建设内容：项目占地约2500m</w:t>
      </w:r>
      <w:r>
        <w:rPr>
          <w:rFonts w:hint="eastAsia" w:ascii="Times New Roman" w:hAnsi="Times New Roman" w:eastAsia="宋体" w:cs="Times New Roman"/>
          <w:color w:val="000000" w:themeColor="text1"/>
          <w:spacing w:val="-2"/>
          <w:sz w:val="24"/>
          <w:szCs w:val="20"/>
          <w:vertAlign w:val="superscript"/>
          <w14:textFill>
            <w14:solidFill>
              <w14:schemeClr w14:val="tx1"/>
            </w14:solidFill>
          </w14:textFill>
        </w:rPr>
        <w:t>2</w:t>
      </w:r>
      <w:r>
        <w:rPr>
          <w:rFonts w:hint="eastAsia" w:ascii="Times New Roman" w:hAnsi="Times New Roman" w:eastAsia="宋体" w:cs="Times New Roman"/>
          <w:color w:val="000000" w:themeColor="text1"/>
          <w:spacing w:val="-2"/>
          <w:sz w:val="24"/>
          <w:szCs w:val="20"/>
          <w14:textFill>
            <w14:solidFill>
              <w14:schemeClr w14:val="tx1"/>
            </w14:solidFill>
          </w14:textFill>
        </w:rPr>
        <w:t>，</w:t>
      </w:r>
      <w:r>
        <w:rPr>
          <w:rFonts w:ascii="Times New Roman" w:hAnsi="Times New Roman"/>
          <w:color w:val="000000" w:themeColor="text1"/>
          <w:spacing w:val="-2"/>
          <w:sz w:val="24"/>
          <w:szCs w:val="24"/>
          <w14:textFill>
            <w14:solidFill>
              <w14:schemeClr w14:val="tx1"/>
            </w14:solidFill>
          </w14:textFill>
        </w:rPr>
        <w:t>设计建设2条产能为2万吨/月生产线，</w:t>
      </w:r>
      <w:bookmarkStart w:id="37" w:name="_Hlk187217776"/>
      <w:r>
        <w:rPr>
          <w:rFonts w:ascii="Times New Roman" w:hAnsi="Times New Roman"/>
          <w:color w:val="000000" w:themeColor="text1"/>
          <w:spacing w:val="-2"/>
          <w:sz w:val="24"/>
          <w:szCs w:val="24"/>
          <w:u w:val="single"/>
          <w14:textFill>
            <w14:solidFill>
              <w14:schemeClr w14:val="tx1"/>
            </w14:solidFill>
          </w14:textFill>
        </w:rPr>
        <w:t>设计</w:t>
      </w:r>
      <w:bookmarkStart w:id="38" w:name="OLE_LINK21"/>
      <w:r>
        <w:rPr>
          <w:rFonts w:ascii="Times New Roman" w:hAnsi="Times New Roman"/>
          <w:color w:val="000000" w:themeColor="text1"/>
          <w:spacing w:val="-2"/>
          <w:sz w:val="24"/>
          <w:szCs w:val="24"/>
          <w:u w:val="single"/>
          <w14:textFill>
            <w14:solidFill>
              <w14:schemeClr w14:val="tx1"/>
            </w14:solidFill>
          </w14:textFill>
        </w:rPr>
        <w:t>产能为</w:t>
      </w:r>
      <w:r>
        <w:rPr>
          <w:rFonts w:hint="eastAsia" w:ascii="Times New Roman" w:hAnsi="Times New Roman"/>
          <w:color w:val="000000" w:themeColor="text1"/>
          <w:spacing w:val="-2"/>
          <w:sz w:val="24"/>
          <w:szCs w:val="24"/>
          <w:u w:val="single"/>
          <w14:textFill>
            <w14:solidFill>
              <w14:schemeClr w14:val="tx1"/>
            </w14:solidFill>
          </w14:textFill>
        </w:rPr>
        <w:t>年分选加工</w:t>
      </w:r>
      <w:r>
        <w:rPr>
          <w:rFonts w:ascii="Times New Roman" w:hAnsi="Times New Roman"/>
          <w:color w:val="000000" w:themeColor="text1"/>
          <w:spacing w:val="-2"/>
          <w:sz w:val="24"/>
          <w:szCs w:val="24"/>
          <w:u w:val="single"/>
          <w14:textFill>
            <w14:solidFill>
              <w14:schemeClr w14:val="tx1"/>
            </w14:solidFill>
          </w14:textFill>
        </w:rPr>
        <w:t>24万吨</w:t>
      </w:r>
      <w:r>
        <w:rPr>
          <w:rFonts w:hint="eastAsia" w:ascii="Times New Roman" w:hAnsi="Times New Roman"/>
          <w:color w:val="000000" w:themeColor="text1"/>
          <w:spacing w:val="-2"/>
          <w:sz w:val="24"/>
          <w:szCs w:val="24"/>
          <w:u w:val="single"/>
          <w14:textFill>
            <w14:solidFill>
              <w14:schemeClr w14:val="tx1"/>
            </w14:solidFill>
          </w14:textFill>
        </w:rPr>
        <w:t>锆钛矿石</w:t>
      </w:r>
      <w:r>
        <w:rPr>
          <w:rFonts w:ascii="Times New Roman" w:hAnsi="Times New Roman"/>
          <w:color w:val="000000" w:themeColor="text1"/>
          <w:spacing w:val="-2"/>
          <w:sz w:val="24"/>
          <w:szCs w:val="24"/>
          <w14:textFill>
            <w14:solidFill>
              <w14:schemeClr w14:val="tx1"/>
            </w14:solidFill>
          </w14:textFill>
        </w:rPr>
        <w:t>。</w:t>
      </w:r>
      <w:bookmarkEnd w:id="37"/>
      <w:bookmarkEnd w:id="38"/>
    </w:p>
    <w:p w14:paraId="246207A8">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占地面积：占地面积为2500m</w:t>
      </w:r>
      <w:r>
        <w:rPr>
          <w:rFonts w:hint="eastAsia" w:ascii="Times New Roman" w:hAnsi="Times New Roman" w:eastAsia="宋体" w:cs="Times New Roman"/>
          <w:color w:val="000000" w:themeColor="text1"/>
          <w:spacing w:val="-2"/>
          <w:sz w:val="24"/>
          <w:szCs w:val="20"/>
          <w:vertAlign w:val="superscript"/>
          <w14:textFill>
            <w14:solidFill>
              <w14:schemeClr w14:val="tx1"/>
            </w14:solidFill>
          </w14:textFill>
        </w:rPr>
        <w:t>2</w:t>
      </w:r>
      <w:r>
        <w:rPr>
          <w:rFonts w:hint="eastAsia" w:ascii="Times New Roman" w:hAnsi="Times New Roman" w:eastAsia="宋体" w:cs="Times New Roman"/>
          <w:color w:val="000000" w:themeColor="text1"/>
          <w:spacing w:val="-2"/>
          <w:sz w:val="24"/>
          <w:szCs w:val="20"/>
          <w14:textFill>
            <w14:solidFill>
              <w14:schemeClr w14:val="tx1"/>
            </w14:solidFill>
          </w14:textFill>
        </w:rPr>
        <w:t>；</w:t>
      </w:r>
    </w:p>
    <w:p w14:paraId="5FCC8176">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项目投资：本项目总投资300万元，</w:t>
      </w:r>
      <w:r>
        <w:rPr>
          <w:rFonts w:hint="eastAsia" w:ascii="Times New Roman" w:hAnsi="Times New Roman" w:eastAsia="宋体" w:cs="Times New Roman"/>
          <w:color w:val="000000" w:themeColor="text1"/>
          <w:spacing w:val="-2"/>
          <w:sz w:val="24"/>
          <w:szCs w:val="20"/>
          <w:u w:val="single"/>
          <w14:textFill>
            <w14:solidFill>
              <w14:schemeClr w14:val="tx1"/>
            </w14:solidFill>
          </w14:textFill>
        </w:rPr>
        <w:t>其中环保投资57万元；</w:t>
      </w:r>
    </w:p>
    <w:p w14:paraId="438F6602">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劳动定员及工作制度：运营期劳动定员</w:t>
      </w:r>
      <w:r>
        <w:rPr>
          <w:rFonts w:hint="eastAsia" w:ascii="Times New Roman" w:hAnsi="Times New Roman" w:eastAsia="宋体" w:cs="Times New Roman"/>
          <w:color w:val="000000" w:themeColor="text1"/>
          <w:spacing w:val="-2"/>
          <w:sz w:val="24"/>
          <w:szCs w:val="20"/>
          <w14:textFill>
            <w14:solidFill>
              <w14:schemeClr w14:val="tx1"/>
            </w14:solidFill>
          </w14:textFill>
        </w:rPr>
        <w:t>10</w:t>
      </w:r>
      <w:r>
        <w:rPr>
          <w:rFonts w:ascii="Times New Roman" w:hAnsi="Times New Roman" w:eastAsia="宋体" w:cs="Times New Roman"/>
          <w:color w:val="000000" w:themeColor="text1"/>
          <w:spacing w:val="-2"/>
          <w:sz w:val="24"/>
          <w:szCs w:val="20"/>
          <w14:textFill>
            <w14:solidFill>
              <w14:schemeClr w14:val="tx1"/>
            </w14:solidFill>
          </w14:textFill>
        </w:rPr>
        <w:t>人，</w:t>
      </w:r>
      <w:bookmarkStart w:id="39" w:name="_Hlk186626453"/>
      <w:r>
        <w:rPr>
          <w:rFonts w:ascii="Times New Roman" w:hAnsi="Times New Roman" w:eastAsia="宋体" w:cs="Times New Roman"/>
          <w:color w:val="000000" w:themeColor="text1"/>
          <w:spacing w:val="-2"/>
          <w:sz w:val="24"/>
          <w:szCs w:val="20"/>
          <w14:textFill>
            <w14:solidFill>
              <w14:schemeClr w14:val="tx1"/>
            </w14:solidFill>
          </w14:textFill>
        </w:rPr>
        <w:t>年生产3</w:t>
      </w:r>
      <w:r>
        <w:rPr>
          <w:rFonts w:hint="eastAsia" w:ascii="Times New Roman" w:hAnsi="Times New Roman" w:eastAsia="宋体" w:cs="Times New Roman"/>
          <w:color w:val="000000" w:themeColor="text1"/>
          <w:spacing w:val="-2"/>
          <w:sz w:val="24"/>
          <w:szCs w:val="20"/>
          <w14:textFill>
            <w14:solidFill>
              <w14:schemeClr w14:val="tx1"/>
            </w14:solidFill>
          </w14:textFill>
        </w:rPr>
        <w:t>00</w:t>
      </w:r>
      <w:r>
        <w:rPr>
          <w:rFonts w:ascii="Times New Roman" w:hAnsi="Times New Roman" w:eastAsia="宋体" w:cs="Times New Roman"/>
          <w:color w:val="000000" w:themeColor="text1"/>
          <w:spacing w:val="-2"/>
          <w:sz w:val="24"/>
          <w:szCs w:val="20"/>
          <w14:textFill>
            <w14:solidFill>
              <w14:schemeClr w14:val="tx1"/>
            </w14:solidFill>
          </w14:textFill>
        </w:rPr>
        <w:t>天，每天</w:t>
      </w:r>
      <w:r>
        <w:rPr>
          <w:rFonts w:hint="eastAsia" w:ascii="Times New Roman" w:hAnsi="Times New Roman" w:eastAsia="宋体" w:cs="Times New Roman"/>
          <w:color w:val="000000" w:themeColor="text1"/>
          <w:spacing w:val="-2"/>
          <w:sz w:val="24"/>
          <w:szCs w:val="20"/>
          <w14:textFill>
            <w14:solidFill>
              <w14:schemeClr w14:val="tx1"/>
            </w14:solidFill>
          </w14:textFill>
        </w:rPr>
        <w:t>2</w:t>
      </w:r>
      <w:r>
        <w:rPr>
          <w:rFonts w:ascii="Times New Roman" w:hAnsi="Times New Roman" w:eastAsia="宋体" w:cs="Times New Roman"/>
          <w:color w:val="000000" w:themeColor="text1"/>
          <w:spacing w:val="-2"/>
          <w:sz w:val="24"/>
          <w:szCs w:val="20"/>
          <w14:textFill>
            <w14:solidFill>
              <w14:schemeClr w14:val="tx1"/>
            </w14:solidFill>
          </w14:textFill>
        </w:rPr>
        <w:t>班，每班8小时。</w:t>
      </w:r>
      <w:bookmarkEnd w:id="39"/>
    </w:p>
    <w:p w14:paraId="6F4921E8">
      <w:pPr>
        <w:pStyle w:val="5"/>
        <w:widowControl w:val="0"/>
        <w:numPr>
          <w:ilvl w:val="2"/>
          <w:numId w:val="1"/>
        </w:numPr>
        <w:spacing w:before="0" w:line="360" w:lineRule="auto"/>
        <w:jc w:val="both"/>
        <w:rPr>
          <w:rFonts w:ascii="Times New Roman" w:hAnsi="Times New Roman" w:eastAsia="黑体" w:cs="Times New Roman"/>
          <w:b/>
          <w:bCs/>
          <w:caps w:val="0"/>
          <w:color w:val="000000" w:themeColor="text1"/>
          <w:kern w:val="2"/>
          <w:sz w:val="24"/>
          <w:szCs w:val="32"/>
          <w14:textFill>
            <w14:solidFill>
              <w14:schemeClr w14:val="tx1"/>
            </w14:solidFill>
          </w14:textFill>
        </w:rPr>
      </w:pPr>
      <w:bookmarkStart w:id="40" w:name="_Toc78822645"/>
      <w:r>
        <w:rPr>
          <w:rFonts w:ascii="Times New Roman" w:hAnsi="Times New Roman" w:eastAsia="黑体" w:cs="Times New Roman"/>
          <w:b/>
          <w:bCs/>
          <w:caps w:val="0"/>
          <w:color w:val="000000" w:themeColor="text1"/>
          <w:kern w:val="2"/>
          <w:sz w:val="24"/>
          <w:szCs w:val="32"/>
          <w14:textFill>
            <w14:solidFill>
              <w14:schemeClr w14:val="tx1"/>
            </w14:solidFill>
          </w14:textFill>
        </w:rPr>
        <w:t>可能产生放射性污染的建设子项</w:t>
      </w:r>
      <w:bookmarkEnd w:id="40"/>
    </w:p>
    <w:p w14:paraId="63A6B08C">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本项目进口毛矿作原料，采用磁选工艺进行分选加工生产钛铁精矿。</w:t>
      </w:r>
      <w:r>
        <w:rPr>
          <w:rFonts w:hint="eastAsia" w:ascii="Times New Roman" w:hAnsi="Times New Roman" w:eastAsia="宋体" w:cs="Times New Roman"/>
          <w:color w:val="000000" w:themeColor="text1"/>
          <w:spacing w:val="-2"/>
          <w:sz w:val="24"/>
          <w:szCs w:val="20"/>
          <w14:textFill>
            <w14:solidFill>
              <w14:schemeClr w14:val="tx1"/>
            </w14:solidFill>
          </w14:textFill>
        </w:rPr>
        <w:t>分离全过程均涉及含放射性核素物料，因此，本项目生产设施均有可能产生放射性污染。</w:t>
      </w:r>
    </w:p>
    <w:p w14:paraId="0CCFE106">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color w:val="000000" w:themeColor="text1"/>
          <w:spacing w:val="-2"/>
          <w:sz w:val="24"/>
          <w:szCs w:val="24"/>
          <w14:textFill>
            <w14:solidFill>
              <w14:schemeClr w14:val="tx1"/>
            </w14:solidFill>
          </w14:textFill>
        </w:rPr>
        <w:t>项目工程组成</w:t>
      </w:r>
      <w:r>
        <w:rPr>
          <w:rFonts w:hint="eastAsia" w:ascii="Times New Roman" w:hAnsi="Times New Roman"/>
          <w:color w:val="000000" w:themeColor="text1"/>
          <w:spacing w:val="-2"/>
          <w:sz w:val="24"/>
          <w:szCs w:val="24"/>
          <w14:textFill>
            <w14:solidFill>
              <w14:schemeClr w14:val="tx1"/>
            </w14:solidFill>
          </w14:textFill>
        </w:rPr>
        <w:t>包括主体工程、储运工程、公辅工程、环保工程等</w:t>
      </w:r>
      <w:r>
        <w:rPr>
          <w:rFonts w:ascii="Times New Roman" w:hAnsi="Times New Roman" w:eastAsia="宋体" w:cs="Times New Roman"/>
          <w:color w:val="000000" w:themeColor="text1"/>
          <w:spacing w:val="-2"/>
          <w:sz w:val="24"/>
          <w:szCs w:val="20"/>
          <w14:textFill>
            <w14:solidFill>
              <w14:schemeClr w14:val="tx1"/>
            </w14:solidFill>
          </w14:textFill>
        </w:rPr>
        <w:t>组成。项目具体建设内容详见表2.1-1。</w:t>
      </w:r>
    </w:p>
    <w:p w14:paraId="1DF867D1">
      <w:pPr>
        <w:widowControl w:val="0"/>
        <w:spacing w:after="0" w:line="360" w:lineRule="auto"/>
        <w:jc w:val="center"/>
        <w:rPr>
          <w:rFonts w:ascii="Times New Roman" w:hAnsi="Times New Roman" w:eastAsia="宋体" w:cs="Times New Roman"/>
          <w:b/>
          <w:bCs/>
          <w:color w:val="000000" w:themeColor="text1"/>
          <w:spacing w:val="-2"/>
          <w:sz w:val="24"/>
          <w:szCs w:val="20"/>
          <w14:textFill>
            <w14:solidFill>
              <w14:schemeClr w14:val="tx1"/>
            </w14:solidFill>
          </w14:textFill>
        </w:rPr>
      </w:pPr>
      <w:r>
        <w:rPr>
          <w:rFonts w:ascii="Times New Roman" w:hAnsi="Times New Roman" w:eastAsia="宋体" w:cs="Times New Roman"/>
          <w:b/>
          <w:bCs/>
          <w:color w:val="000000" w:themeColor="text1"/>
          <w:spacing w:val="-2"/>
          <w:sz w:val="24"/>
          <w:szCs w:val="20"/>
          <w14:textFill>
            <w14:solidFill>
              <w14:schemeClr w14:val="tx1"/>
            </w14:solidFill>
          </w14:textFill>
        </w:rPr>
        <w:t>表2.1-1</w:t>
      </w:r>
      <w:r>
        <w:rPr>
          <w:rFonts w:hint="eastAsia" w:ascii="Times New Roman" w:hAnsi="Times New Roman" w:eastAsia="宋体" w:cs="Times New Roman"/>
          <w:b/>
          <w:bCs/>
          <w:color w:val="000000" w:themeColor="text1"/>
          <w:spacing w:val="-2"/>
          <w:sz w:val="24"/>
          <w:szCs w:val="20"/>
          <w14:textFill>
            <w14:solidFill>
              <w14:schemeClr w14:val="tx1"/>
            </w14:solidFill>
          </w14:textFill>
        </w:rPr>
        <w:t xml:space="preserve">  </w:t>
      </w:r>
      <w:r>
        <w:rPr>
          <w:rFonts w:ascii="Times New Roman" w:hAnsi="Times New Roman" w:eastAsia="宋体" w:cs="Times New Roman"/>
          <w:b/>
          <w:bCs/>
          <w:color w:val="000000" w:themeColor="text1"/>
          <w:spacing w:val="-2"/>
          <w:sz w:val="24"/>
          <w:szCs w:val="20"/>
          <w14:textFill>
            <w14:solidFill>
              <w14:schemeClr w14:val="tx1"/>
            </w14:solidFill>
          </w14:textFill>
        </w:rPr>
        <w:t>项目建设内容情况表</w:t>
      </w:r>
    </w:p>
    <w:tbl>
      <w:tblPr>
        <w:tblStyle w:val="46"/>
        <w:tblW w:w="834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74"/>
        <w:gridCol w:w="1489"/>
        <w:gridCol w:w="6186"/>
      </w:tblGrid>
      <w:tr w14:paraId="59D14D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74" w:type="dxa"/>
            <w:vAlign w:val="center"/>
          </w:tcPr>
          <w:p w14:paraId="5DB37F16">
            <w:pPr>
              <w:spacing w:after="0" w:line="240" w:lineRule="auto"/>
              <w:rPr>
                <w:rFonts w:ascii="Times New Roman" w:hAnsi="Times New Roman"/>
                <w:b/>
                <w:bCs/>
                <w:color w:val="000000" w:themeColor="text1"/>
                <w:spacing w:val="-2"/>
                <w14:textFill>
                  <w14:solidFill>
                    <w14:schemeClr w14:val="tx1"/>
                  </w14:solidFill>
                </w14:textFill>
              </w:rPr>
            </w:pPr>
            <w:r>
              <w:rPr>
                <w:rFonts w:ascii="Times New Roman" w:hAnsi="Times New Roman"/>
                <w:b/>
                <w:bCs/>
                <w:color w:val="000000" w:themeColor="text1"/>
                <w:spacing w:val="-2"/>
                <w14:textFill>
                  <w14:solidFill>
                    <w14:schemeClr w14:val="tx1"/>
                  </w14:solidFill>
                </w14:textFill>
              </w:rPr>
              <w:t>类别</w:t>
            </w:r>
          </w:p>
        </w:tc>
        <w:tc>
          <w:tcPr>
            <w:tcW w:w="1489" w:type="dxa"/>
            <w:vAlign w:val="center"/>
          </w:tcPr>
          <w:p w14:paraId="4A1F57BE">
            <w:pPr>
              <w:spacing w:after="0" w:line="240" w:lineRule="auto"/>
              <w:jc w:val="center"/>
              <w:rPr>
                <w:rFonts w:ascii="Times New Roman" w:hAnsi="Times New Roman"/>
                <w:b/>
                <w:bCs/>
                <w:color w:val="000000" w:themeColor="text1"/>
                <w:spacing w:val="-2"/>
                <w14:textFill>
                  <w14:solidFill>
                    <w14:schemeClr w14:val="tx1"/>
                  </w14:solidFill>
                </w14:textFill>
              </w:rPr>
            </w:pPr>
            <w:r>
              <w:rPr>
                <w:rFonts w:ascii="Times New Roman" w:hAnsi="Times New Roman"/>
                <w:b/>
                <w:bCs/>
                <w:color w:val="000000" w:themeColor="text1"/>
                <w:spacing w:val="-2"/>
                <w14:textFill>
                  <w14:solidFill>
                    <w14:schemeClr w14:val="tx1"/>
                  </w14:solidFill>
                </w14:textFill>
              </w:rPr>
              <w:t>工序或车间</w:t>
            </w:r>
          </w:p>
        </w:tc>
        <w:tc>
          <w:tcPr>
            <w:tcW w:w="6186" w:type="dxa"/>
            <w:vAlign w:val="center"/>
          </w:tcPr>
          <w:p w14:paraId="2F75EB51">
            <w:pPr>
              <w:spacing w:after="0" w:line="240" w:lineRule="auto"/>
              <w:jc w:val="center"/>
              <w:rPr>
                <w:rFonts w:ascii="Times New Roman" w:hAnsi="Times New Roman"/>
                <w:b/>
                <w:bCs/>
                <w:color w:val="000000" w:themeColor="text1"/>
                <w:spacing w:val="-2"/>
                <w14:textFill>
                  <w14:solidFill>
                    <w14:schemeClr w14:val="tx1"/>
                  </w14:solidFill>
                </w14:textFill>
              </w:rPr>
            </w:pPr>
            <w:r>
              <w:rPr>
                <w:rFonts w:ascii="Times New Roman" w:hAnsi="Times New Roman"/>
                <w:b/>
                <w:bCs/>
                <w:color w:val="000000" w:themeColor="text1"/>
                <w:spacing w:val="-2"/>
                <w14:textFill>
                  <w14:solidFill>
                    <w14:schemeClr w14:val="tx1"/>
                  </w14:solidFill>
                </w14:textFill>
              </w:rPr>
              <w:t>建设内容</w:t>
            </w:r>
          </w:p>
        </w:tc>
      </w:tr>
      <w:tr w14:paraId="7E6EEC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Merge w:val="restart"/>
            <w:vAlign w:val="center"/>
          </w:tcPr>
          <w:p w14:paraId="4D91681C">
            <w:pPr>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主体工程</w:t>
            </w:r>
          </w:p>
        </w:tc>
        <w:tc>
          <w:tcPr>
            <w:tcW w:w="1489" w:type="dxa"/>
            <w:vAlign w:val="center"/>
          </w:tcPr>
          <w:p w14:paraId="5E53E205">
            <w:pPr>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1#原料处理车间</w:t>
            </w:r>
          </w:p>
        </w:tc>
        <w:tc>
          <w:tcPr>
            <w:tcW w:w="6186" w:type="dxa"/>
            <w:vAlign w:val="center"/>
          </w:tcPr>
          <w:p w14:paraId="5312D094">
            <w:pPr>
              <w:spacing w:after="0" w:line="240" w:lineRule="auto"/>
              <w:ind w:firstLine="412" w:firstLineChars="200"/>
              <w:rPr>
                <w:rFonts w:ascii="Times New Roman" w:hAnsi="Times New Roman"/>
                <w:color w:val="000000" w:themeColor="text1"/>
                <w:spacing w:val="-2"/>
                <w14:textFill>
                  <w14:solidFill>
                    <w14:schemeClr w14:val="tx1"/>
                  </w14:solidFill>
                </w14:textFill>
              </w:rPr>
            </w:pPr>
            <w:r>
              <w:rPr>
                <w:rFonts w:hint="eastAsia" w:ascii="Times New Roman" w:hAnsi="Times New Roman"/>
                <w:color w:val="000000" w:themeColor="text1"/>
                <w:spacing w:val="-2"/>
                <w14:textFill>
                  <w14:solidFill>
                    <w14:schemeClr w14:val="tx1"/>
                  </w14:solidFill>
                </w14:textFill>
              </w:rPr>
              <w:t>1#</w:t>
            </w:r>
            <w:r>
              <w:rPr>
                <w:rFonts w:ascii="Times New Roman" w:hAnsi="Times New Roman"/>
                <w:color w:val="000000" w:themeColor="text1"/>
                <w:spacing w:val="-2"/>
                <w14:textFill>
                  <w14:solidFill>
                    <w14:schemeClr w14:val="tx1"/>
                  </w14:solidFill>
                </w14:textFill>
              </w:rPr>
              <w:t>原料处理车间位于</w:t>
            </w:r>
            <w:r>
              <w:rPr>
                <w:rFonts w:hint="eastAsia" w:ascii="Times New Roman" w:hAnsi="Times New Roman"/>
                <w:color w:val="000000" w:themeColor="text1"/>
                <w:spacing w:val="-2"/>
                <w14:textFill>
                  <w14:solidFill>
                    <w14:schemeClr w14:val="tx1"/>
                  </w14:solidFill>
                </w14:textFill>
              </w:rPr>
              <w:t>租用的</w:t>
            </w:r>
            <w:r>
              <w:rPr>
                <w:rFonts w:ascii="Times New Roman" w:hAnsi="Times New Roman"/>
                <w:color w:val="000000" w:themeColor="text1"/>
                <w:spacing w:val="-2"/>
                <w14:textFill>
                  <w14:solidFill>
                    <w14:schemeClr w14:val="tx1"/>
                  </w14:solidFill>
                </w14:textFill>
              </w:rPr>
              <w:t>创大3号仓库内西北侧，车间内尺寸长×宽×高为54.61m×21.6m×9m，车间内使用面积1179.58m</w:t>
            </w:r>
            <w:r>
              <w:rPr>
                <w:rFonts w:ascii="Times New Roman" w:hAnsi="Times New Roman"/>
                <w:color w:val="000000" w:themeColor="text1"/>
                <w:spacing w:val="-2"/>
                <w:vertAlign w:val="superscript"/>
                <w14:textFill>
                  <w14:solidFill>
                    <w14:schemeClr w14:val="tx1"/>
                  </w14:solidFill>
                </w14:textFill>
              </w:rPr>
              <w:t>2</w:t>
            </w:r>
            <w:r>
              <w:rPr>
                <w:rFonts w:ascii="Times New Roman" w:hAnsi="Times New Roman"/>
                <w:color w:val="000000" w:themeColor="text1"/>
                <w:spacing w:val="-2"/>
                <w14:textFill>
                  <w14:solidFill>
                    <w14:schemeClr w14:val="tx1"/>
                  </w14:solidFill>
                </w14:textFill>
              </w:rPr>
              <w:t>，结构形式采用砖混结构，钢结构顶棚，地面为混凝土硬化地面，四周封闭。</w:t>
            </w:r>
          </w:p>
          <w:p w14:paraId="13D893C9">
            <w:pPr>
              <w:spacing w:after="0" w:line="240" w:lineRule="auto"/>
              <w:ind w:firstLine="412" w:firstLineChars="200"/>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车间内设置原料烘干生产线1条，主要设备有烘干机、皮带输送机等，设备基础为钢筋混凝土结构；原料堆放区2处、干原料堆放区1处。</w:t>
            </w:r>
          </w:p>
          <w:p w14:paraId="76AA4D93">
            <w:pPr>
              <w:spacing w:after="0" w:line="240" w:lineRule="auto"/>
              <w:ind w:firstLine="412" w:firstLineChars="200"/>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功能分区位于车间南北两侧，车间中央为通道。该原料处理车间主要是进行湿原料的烘干。</w:t>
            </w:r>
          </w:p>
        </w:tc>
      </w:tr>
      <w:tr w14:paraId="14CAE5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Merge w:val="continue"/>
            <w:vAlign w:val="center"/>
          </w:tcPr>
          <w:p w14:paraId="00664F71">
            <w:pPr>
              <w:spacing w:after="0" w:line="240" w:lineRule="auto"/>
              <w:jc w:val="center"/>
              <w:rPr>
                <w:rFonts w:ascii="Times New Roman" w:hAnsi="Times New Roman"/>
                <w:color w:val="000000" w:themeColor="text1"/>
                <w:spacing w:val="-2"/>
                <w14:textFill>
                  <w14:solidFill>
                    <w14:schemeClr w14:val="tx1"/>
                  </w14:solidFill>
                </w14:textFill>
              </w:rPr>
            </w:pPr>
          </w:p>
        </w:tc>
        <w:tc>
          <w:tcPr>
            <w:tcW w:w="1489" w:type="dxa"/>
            <w:vAlign w:val="center"/>
          </w:tcPr>
          <w:p w14:paraId="7002493C">
            <w:pPr>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2#分选车间</w:t>
            </w:r>
          </w:p>
        </w:tc>
        <w:tc>
          <w:tcPr>
            <w:tcW w:w="6186" w:type="dxa"/>
            <w:vAlign w:val="center"/>
          </w:tcPr>
          <w:p w14:paraId="22C082EE">
            <w:pPr>
              <w:spacing w:after="0" w:line="240" w:lineRule="auto"/>
              <w:ind w:firstLine="412" w:firstLineChars="200"/>
              <w:rPr>
                <w:rFonts w:ascii="Times New Roman" w:hAnsi="Times New Roman"/>
                <w:color w:val="000000" w:themeColor="text1"/>
                <w:spacing w:val="-2"/>
                <w14:textFill>
                  <w14:solidFill>
                    <w14:schemeClr w14:val="tx1"/>
                  </w14:solidFill>
                </w14:textFill>
              </w:rPr>
            </w:pPr>
            <w:r>
              <w:rPr>
                <w:rFonts w:hint="eastAsia" w:ascii="Times New Roman" w:hAnsi="Times New Roman"/>
                <w:color w:val="000000" w:themeColor="text1"/>
                <w:spacing w:val="-2"/>
                <w14:textFill>
                  <w14:solidFill>
                    <w14:schemeClr w14:val="tx1"/>
                  </w14:solidFill>
                </w14:textFill>
              </w:rPr>
              <w:t>2#分选</w:t>
            </w:r>
            <w:r>
              <w:rPr>
                <w:rFonts w:ascii="Times New Roman" w:hAnsi="Times New Roman"/>
                <w:color w:val="000000" w:themeColor="text1"/>
                <w:spacing w:val="-2"/>
                <w14:textFill>
                  <w14:solidFill>
                    <w14:schemeClr w14:val="tx1"/>
                  </w14:solidFill>
                </w14:textFill>
              </w:rPr>
              <w:t>车间位</w:t>
            </w:r>
            <w:r>
              <w:rPr>
                <w:rFonts w:hint="eastAsia" w:ascii="Times New Roman" w:hAnsi="Times New Roman"/>
                <w:color w:val="000000" w:themeColor="text1"/>
                <w:spacing w:val="-2"/>
                <w14:textFill>
                  <w14:solidFill>
                    <w14:schemeClr w14:val="tx1"/>
                  </w14:solidFill>
                </w14:textFill>
              </w:rPr>
              <w:t>租用的</w:t>
            </w:r>
            <w:r>
              <w:rPr>
                <w:rFonts w:ascii="Times New Roman" w:hAnsi="Times New Roman"/>
                <w:color w:val="000000" w:themeColor="text1"/>
                <w:spacing w:val="-2"/>
                <w14:textFill>
                  <w14:solidFill>
                    <w14:schemeClr w14:val="tx1"/>
                  </w14:solidFill>
                </w14:textFill>
              </w:rPr>
              <w:t>于创大3号仓库内东北侧，车间内尺寸长×宽×高为54.6×21.6m×9m，车间内使用面积1179.36m</w:t>
            </w:r>
            <w:r>
              <w:rPr>
                <w:rFonts w:ascii="Times New Roman" w:hAnsi="Times New Roman"/>
                <w:color w:val="000000" w:themeColor="text1"/>
                <w:spacing w:val="-2"/>
                <w:vertAlign w:val="superscript"/>
                <w14:textFill>
                  <w14:solidFill>
                    <w14:schemeClr w14:val="tx1"/>
                  </w14:solidFill>
                </w14:textFill>
              </w:rPr>
              <w:t>2</w:t>
            </w:r>
            <w:r>
              <w:rPr>
                <w:rFonts w:ascii="Times New Roman" w:hAnsi="Times New Roman"/>
                <w:color w:val="000000" w:themeColor="text1"/>
                <w:spacing w:val="-2"/>
                <w14:textFill>
                  <w14:solidFill>
                    <w14:schemeClr w14:val="tx1"/>
                  </w14:solidFill>
                </w14:textFill>
              </w:rPr>
              <w:t>，结构形式采用砖混结构，钢结构顶棚，地面为混凝土硬化地面，四周封闭。</w:t>
            </w:r>
          </w:p>
          <w:p w14:paraId="4E6B9730">
            <w:pPr>
              <w:spacing w:after="0" w:line="240" w:lineRule="auto"/>
              <w:ind w:firstLine="412" w:firstLineChars="200"/>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车间内设置钛精矿磁选生产线2条，主要设备有磁选机、皮带输送机等，设备基础为钢筋混凝土结构；</w:t>
            </w:r>
            <w:r>
              <w:rPr>
                <w:rFonts w:hint="eastAsia" w:ascii="Times New Roman" w:hAnsi="Times New Roman"/>
                <w:color w:val="000000" w:themeColor="text1"/>
                <w:spacing w:val="-2"/>
                <w14:textFill>
                  <w14:solidFill>
                    <w14:schemeClr w14:val="tx1"/>
                  </w14:solidFill>
                </w14:textFill>
              </w:rPr>
              <w:t>锆中矿</w:t>
            </w:r>
            <w:r>
              <w:rPr>
                <w:rFonts w:ascii="Times New Roman" w:hAnsi="Times New Roman"/>
                <w:color w:val="000000" w:themeColor="text1"/>
                <w:spacing w:val="-2"/>
                <w14:textFill>
                  <w14:solidFill>
                    <w14:schemeClr w14:val="tx1"/>
                  </w14:solidFill>
                </w14:textFill>
              </w:rPr>
              <w:t>堆放区2处、精矿堆放区2处。</w:t>
            </w:r>
          </w:p>
          <w:p w14:paraId="1093E528">
            <w:pPr>
              <w:spacing w:after="0" w:line="240" w:lineRule="auto"/>
              <w:ind w:firstLine="412" w:firstLineChars="200"/>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功能分区位于车间南北两侧，车间中央为通道。该分选车间主要是将烘干后的毛矿进行分选。</w:t>
            </w:r>
          </w:p>
        </w:tc>
      </w:tr>
      <w:tr w14:paraId="20A85D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Merge w:val="restart"/>
            <w:vAlign w:val="center"/>
          </w:tcPr>
          <w:p w14:paraId="46CF9143">
            <w:pPr>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储运工程</w:t>
            </w:r>
          </w:p>
        </w:tc>
        <w:tc>
          <w:tcPr>
            <w:tcW w:w="1489" w:type="dxa"/>
            <w:vAlign w:val="center"/>
          </w:tcPr>
          <w:p w14:paraId="24047FF3">
            <w:pPr>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原料堆放区</w:t>
            </w:r>
          </w:p>
        </w:tc>
        <w:tc>
          <w:tcPr>
            <w:tcW w:w="6186" w:type="dxa"/>
            <w:vAlign w:val="center"/>
          </w:tcPr>
          <w:p w14:paraId="5BAD4120">
            <w:pPr>
              <w:spacing w:after="0" w:line="240" w:lineRule="auto"/>
              <w:ind w:firstLine="412" w:firstLineChars="200"/>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项目于1#原料处理车间西侧大门附近设置2处原料堆放区，每个原料堆放区的面积约181.44m</w:t>
            </w:r>
            <w:r>
              <w:rPr>
                <w:rFonts w:ascii="Times New Roman" w:hAnsi="Times New Roman"/>
                <w:color w:val="000000" w:themeColor="text1"/>
                <w:spacing w:val="-2"/>
                <w:vertAlign w:val="superscript"/>
                <w14:textFill>
                  <w14:solidFill>
                    <w14:schemeClr w14:val="tx1"/>
                  </w14:solidFill>
                </w14:textFill>
              </w:rPr>
              <w:t>2</w:t>
            </w:r>
            <w:r>
              <w:rPr>
                <w:rFonts w:ascii="Times New Roman" w:hAnsi="Times New Roman"/>
                <w:color w:val="000000" w:themeColor="text1"/>
                <w:spacing w:val="-2"/>
                <w14:textFill>
                  <w14:solidFill>
                    <w14:schemeClr w14:val="tx1"/>
                  </w14:solidFill>
                </w14:textFill>
              </w:rPr>
              <w:t>，用于堆放进厂的湿</w:t>
            </w:r>
            <w:r>
              <w:rPr>
                <w:rFonts w:hint="eastAsia" w:ascii="Times New Roman" w:hAnsi="Times New Roman"/>
                <w:color w:val="000000" w:themeColor="text1"/>
                <w:spacing w:val="-2"/>
                <w14:textFill>
                  <w14:solidFill>
                    <w14:schemeClr w14:val="tx1"/>
                  </w14:solidFill>
                </w14:textFill>
              </w:rPr>
              <w:t>度较大的</w:t>
            </w:r>
            <w:r>
              <w:rPr>
                <w:rFonts w:ascii="Times New Roman" w:hAnsi="Times New Roman"/>
                <w:color w:val="000000" w:themeColor="text1"/>
                <w:spacing w:val="-2"/>
                <w14:textFill>
                  <w14:solidFill>
                    <w14:schemeClr w14:val="tx1"/>
                  </w14:solidFill>
                </w14:textFill>
              </w:rPr>
              <w:t>毛矿。</w:t>
            </w:r>
          </w:p>
        </w:tc>
      </w:tr>
      <w:tr w14:paraId="667ED2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Merge w:val="continue"/>
            <w:vAlign w:val="center"/>
          </w:tcPr>
          <w:p w14:paraId="7609F2DC">
            <w:pPr>
              <w:spacing w:after="0" w:line="240" w:lineRule="auto"/>
              <w:jc w:val="center"/>
              <w:rPr>
                <w:rFonts w:ascii="Times New Roman" w:hAnsi="Times New Roman"/>
                <w:color w:val="000000" w:themeColor="text1"/>
                <w:spacing w:val="-2"/>
                <w14:textFill>
                  <w14:solidFill>
                    <w14:schemeClr w14:val="tx1"/>
                  </w14:solidFill>
                </w14:textFill>
              </w:rPr>
            </w:pPr>
          </w:p>
        </w:tc>
        <w:tc>
          <w:tcPr>
            <w:tcW w:w="1489" w:type="dxa"/>
            <w:vAlign w:val="center"/>
          </w:tcPr>
          <w:p w14:paraId="76B6D861">
            <w:pPr>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干原料堆放区</w:t>
            </w:r>
          </w:p>
        </w:tc>
        <w:tc>
          <w:tcPr>
            <w:tcW w:w="6186" w:type="dxa"/>
            <w:vAlign w:val="center"/>
          </w:tcPr>
          <w:p w14:paraId="5F98082F">
            <w:pPr>
              <w:spacing w:after="0" w:line="240" w:lineRule="auto"/>
              <w:ind w:firstLine="412" w:firstLineChars="200"/>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项目于1#原料处理车间东南部，烘干生产线南侧设置1处干原料堆放区，面积约181.44m</w:t>
            </w:r>
            <w:r>
              <w:rPr>
                <w:rFonts w:ascii="Times New Roman" w:hAnsi="Times New Roman"/>
                <w:color w:val="000000" w:themeColor="text1"/>
                <w:spacing w:val="-2"/>
                <w:vertAlign w:val="superscript"/>
                <w14:textFill>
                  <w14:solidFill>
                    <w14:schemeClr w14:val="tx1"/>
                  </w14:solidFill>
                </w14:textFill>
              </w:rPr>
              <w:t>2</w:t>
            </w:r>
            <w:r>
              <w:rPr>
                <w:rFonts w:ascii="Times New Roman" w:hAnsi="Times New Roman"/>
                <w:color w:val="000000" w:themeColor="text1"/>
                <w:spacing w:val="-2"/>
                <w14:textFill>
                  <w14:solidFill>
                    <w14:schemeClr w14:val="tx1"/>
                  </w14:solidFill>
                </w14:textFill>
              </w:rPr>
              <w:t>，用于堆放烘干后的毛矿，待</w:t>
            </w:r>
            <w:r>
              <w:rPr>
                <w:rFonts w:hint="eastAsia" w:ascii="Times New Roman" w:hAnsi="Times New Roman"/>
                <w:color w:val="000000" w:themeColor="text1"/>
                <w:spacing w:val="-2"/>
                <w14:textFill>
                  <w14:solidFill>
                    <w14:schemeClr w14:val="tx1"/>
                  </w14:solidFill>
                </w14:textFill>
              </w:rPr>
              <w:t>装载机</w:t>
            </w:r>
            <w:r>
              <w:rPr>
                <w:rFonts w:ascii="Times New Roman" w:hAnsi="Times New Roman"/>
                <w:color w:val="000000" w:themeColor="text1"/>
                <w:spacing w:val="-2"/>
                <w14:textFill>
                  <w14:solidFill>
                    <w14:schemeClr w14:val="tx1"/>
                  </w14:solidFill>
                </w14:textFill>
              </w:rPr>
              <w:t>运送到2#分选车间进行分选。</w:t>
            </w:r>
          </w:p>
        </w:tc>
      </w:tr>
      <w:tr w14:paraId="2486A3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Merge w:val="continue"/>
            <w:vAlign w:val="center"/>
          </w:tcPr>
          <w:p w14:paraId="2A5135A1">
            <w:pPr>
              <w:spacing w:after="0" w:line="240" w:lineRule="auto"/>
              <w:jc w:val="center"/>
              <w:rPr>
                <w:rFonts w:ascii="Times New Roman" w:hAnsi="Times New Roman"/>
                <w:color w:val="000000" w:themeColor="text1"/>
                <w:spacing w:val="-2"/>
                <w14:textFill>
                  <w14:solidFill>
                    <w14:schemeClr w14:val="tx1"/>
                  </w14:solidFill>
                </w14:textFill>
              </w:rPr>
            </w:pPr>
          </w:p>
        </w:tc>
        <w:tc>
          <w:tcPr>
            <w:tcW w:w="1489" w:type="dxa"/>
            <w:vAlign w:val="center"/>
          </w:tcPr>
          <w:p w14:paraId="088326F3">
            <w:pPr>
              <w:spacing w:after="0" w:line="240" w:lineRule="auto"/>
              <w:jc w:val="center"/>
              <w:rPr>
                <w:rFonts w:ascii="Times New Roman" w:hAnsi="Times New Roman"/>
                <w:color w:val="000000" w:themeColor="text1"/>
                <w:spacing w:val="-2"/>
                <w14:textFill>
                  <w14:solidFill>
                    <w14:schemeClr w14:val="tx1"/>
                  </w14:solidFill>
                </w14:textFill>
              </w:rPr>
            </w:pPr>
            <w:r>
              <w:rPr>
                <w:rFonts w:hint="eastAsia" w:ascii="Times New Roman" w:hAnsi="Times New Roman"/>
                <w:color w:val="000000" w:themeColor="text1"/>
                <w:spacing w:val="-2"/>
                <w14:textFill>
                  <w14:solidFill>
                    <w14:schemeClr w14:val="tx1"/>
                  </w14:solidFill>
                </w14:textFill>
              </w:rPr>
              <w:t>锆中矿</w:t>
            </w:r>
            <w:r>
              <w:rPr>
                <w:rFonts w:ascii="Times New Roman" w:hAnsi="Times New Roman"/>
                <w:color w:val="000000" w:themeColor="text1"/>
                <w:spacing w:val="-2"/>
                <w14:textFill>
                  <w14:solidFill>
                    <w14:schemeClr w14:val="tx1"/>
                  </w14:solidFill>
                </w14:textFill>
              </w:rPr>
              <w:t>放区</w:t>
            </w:r>
          </w:p>
        </w:tc>
        <w:tc>
          <w:tcPr>
            <w:tcW w:w="6186" w:type="dxa"/>
            <w:vAlign w:val="center"/>
          </w:tcPr>
          <w:p w14:paraId="2A79FA5E">
            <w:pPr>
              <w:spacing w:after="0" w:line="240" w:lineRule="auto"/>
              <w:ind w:firstLine="412" w:firstLineChars="200"/>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项目于2#分选车间西部，分选生产线西侧设置2处</w:t>
            </w:r>
            <w:r>
              <w:rPr>
                <w:rFonts w:hint="eastAsia" w:ascii="Times New Roman" w:hAnsi="Times New Roman"/>
                <w:color w:val="000000" w:themeColor="text1"/>
                <w:spacing w:val="-2"/>
                <w14:textFill>
                  <w14:solidFill>
                    <w14:schemeClr w14:val="tx1"/>
                  </w14:solidFill>
                </w14:textFill>
              </w:rPr>
              <w:t>锆中矿</w:t>
            </w:r>
            <w:r>
              <w:rPr>
                <w:rFonts w:ascii="Times New Roman" w:hAnsi="Times New Roman"/>
                <w:color w:val="000000" w:themeColor="text1"/>
                <w:spacing w:val="-2"/>
                <w14:textFill>
                  <w14:solidFill>
                    <w14:schemeClr w14:val="tx1"/>
                  </w14:solidFill>
                </w14:textFill>
              </w:rPr>
              <w:t>堆放区，每个</w:t>
            </w:r>
            <w:r>
              <w:rPr>
                <w:rFonts w:hint="eastAsia" w:ascii="Times New Roman" w:hAnsi="Times New Roman"/>
                <w:color w:val="000000" w:themeColor="text1"/>
                <w:spacing w:val="-2"/>
                <w14:textFill>
                  <w14:solidFill>
                    <w14:schemeClr w14:val="tx1"/>
                  </w14:solidFill>
                </w14:textFill>
              </w:rPr>
              <w:t>锆中矿</w:t>
            </w:r>
            <w:r>
              <w:rPr>
                <w:rFonts w:ascii="Times New Roman" w:hAnsi="Times New Roman"/>
                <w:color w:val="000000" w:themeColor="text1"/>
                <w:spacing w:val="-2"/>
                <w14:textFill>
                  <w14:solidFill>
                    <w14:schemeClr w14:val="tx1"/>
                  </w14:solidFill>
                </w14:textFill>
              </w:rPr>
              <w:t>堆放区的面积约100.80m</w:t>
            </w:r>
            <w:r>
              <w:rPr>
                <w:rFonts w:ascii="Times New Roman" w:hAnsi="Times New Roman"/>
                <w:color w:val="000000" w:themeColor="text1"/>
                <w:spacing w:val="-2"/>
                <w:vertAlign w:val="superscript"/>
                <w14:textFill>
                  <w14:solidFill>
                    <w14:schemeClr w14:val="tx1"/>
                  </w14:solidFill>
                </w14:textFill>
              </w:rPr>
              <w:t>2</w:t>
            </w:r>
            <w:r>
              <w:rPr>
                <w:rFonts w:ascii="Times New Roman" w:hAnsi="Times New Roman"/>
                <w:color w:val="000000" w:themeColor="text1"/>
                <w:spacing w:val="-2"/>
                <w14:textFill>
                  <w14:solidFill>
                    <w14:schemeClr w14:val="tx1"/>
                  </w14:solidFill>
                </w14:textFill>
              </w:rPr>
              <w:t>，用于堆放毛矿分选后产生的</w:t>
            </w:r>
            <w:r>
              <w:rPr>
                <w:rFonts w:hint="eastAsia" w:ascii="Times New Roman" w:hAnsi="Times New Roman"/>
                <w:color w:val="000000" w:themeColor="text1"/>
                <w:spacing w:val="-2"/>
                <w14:textFill>
                  <w14:solidFill>
                    <w14:schemeClr w14:val="tx1"/>
                  </w14:solidFill>
                </w14:textFill>
              </w:rPr>
              <w:t>副产品锆中矿</w:t>
            </w:r>
            <w:r>
              <w:rPr>
                <w:rFonts w:ascii="Times New Roman" w:hAnsi="Times New Roman"/>
                <w:color w:val="000000" w:themeColor="text1"/>
                <w:spacing w:val="-2"/>
                <w14:textFill>
                  <w14:solidFill>
                    <w14:schemeClr w14:val="tx1"/>
                  </w14:solidFill>
                </w14:textFill>
              </w:rPr>
              <w:t>。</w:t>
            </w:r>
          </w:p>
        </w:tc>
      </w:tr>
      <w:tr w14:paraId="1D6FE9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Merge w:val="continue"/>
            <w:vAlign w:val="center"/>
          </w:tcPr>
          <w:p w14:paraId="5C3DCD16">
            <w:pPr>
              <w:spacing w:after="0" w:line="240" w:lineRule="auto"/>
              <w:jc w:val="center"/>
              <w:rPr>
                <w:rFonts w:ascii="Times New Roman" w:hAnsi="Times New Roman"/>
                <w:color w:val="000000" w:themeColor="text1"/>
                <w:spacing w:val="-2"/>
                <w14:textFill>
                  <w14:solidFill>
                    <w14:schemeClr w14:val="tx1"/>
                  </w14:solidFill>
                </w14:textFill>
              </w:rPr>
            </w:pPr>
          </w:p>
        </w:tc>
        <w:tc>
          <w:tcPr>
            <w:tcW w:w="1489" w:type="dxa"/>
            <w:vAlign w:val="center"/>
          </w:tcPr>
          <w:p w14:paraId="49F1B5E9">
            <w:pPr>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精矿堆放区</w:t>
            </w:r>
          </w:p>
        </w:tc>
        <w:tc>
          <w:tcPr>
            <w:tcW w:w="6186" w:type="dxa"/>
            <w:vAlign w:val="center"/>
          </w:tcPr>
          <w:p w14:paraId="58DC7B38">
            <w:pPr>
              <w:spacing w:after="0" w:line="240" w:lineRule="auto"/>
              <w:ind w:firstLine="412" w:firstLineChars="200"/>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项目于2#分选车间东部，分选生产线东侧靠近东侧车间大门附近设置2处精矿堆放区，每个精矿堆放区的面积约120.96m</w:t>
            </w:r>
            <w:r>
              <w:rPr>
                <w:rFonts w:ascii="Times New Roman" w:hAnsi="Times New Roman"/>
                <w:color w:val="000000" w:themeColor="text1"/>
                <w:spacing w:val="-2"/>
                <w:vertAlign w:val="superscript"/>
                <w14:textFill>
                  <w14:solidFill>
                    <w14:schemeClr w14:val="tx1"/>
                  </w14:solidFill>
                </w14:textFill>
              </w:rPr>
              <w:t>2</w:t>
            </w:r>
            <w:r>
              <w:rPr>
                <w:rFonts w:ascii="Times New Roman" w:hAnsi="Times New Roman"/>
                <w:color w:val="000000" w:themeColor="text1"/>
                <w:spacing w:val="-2"/>
                <w14:textFill>
                  <w14:solidFill>
                    <w14:schemeClr w14:val="tx1"/>
                  </w14:solidFill>
                </w14:textFill>
              </w:rPr>
              <w:t>，用于堆放毛矿分选后产生的钛精矿，待外售。</w:t>
            </w:r>
          </w:p>
        </w:tc>
      </w:tr>
      <w:tr w14:paraId="5127BB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Merge w:val="continue"/>
            <w:vAlign w:val="center"/>
          </w:tcPr>
          <w:p w14:paraId="695B3C36">
            <w:pPr>
              <w:spacing w:after="0" w:line="240" w:lineRule="auto"/>
              <w:jc w:val="center"/>
              <w:rPr>
                <w:rFonts w:ascii="Times New Roman" w:hAnsi="Times New Roman"/>
                <w:color w:val="000000" w:themeColor="text1"/>
                <w:spacing w:val="-2"/>
                <w14:textFill>
                  <w14:solidFill>
                    <w14:schemeClr w14:val="tx1"/>
                  </w14:solidFill>
                </w14:textFill>
              </w:rPr>
            </w:pPr>
          </w:p>
        </w:tc>
        <w:tc>
          <w:tcPr>
            <w:tcW w:w="1489" w:type="dxa"/>
            <w:vAlign w:val="center"/>
          </w:tcPr>
          <w:p w14:paraId="6C21CB3E">
            <w:pPr>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生物质燃料</w:t>
            </w:r>
          </w:p>
          <w:p w14:paraId="677EEB61">
            <w:pPr>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堆放区</w:t>
            </w:r>
          </w:p>
        </w:tc>
        <w:tc>
          <w:tcPr>
            <w:tcW w:w="6186" w:type="dxa"/>
            <w:vAlign w:val="center"/>
          </w:tcPr>
          <w:p w14:paraId="0B18CAC6">
            <w:pPr>
              <w:spacing w:after="0" w:line="240" w:lineRule="auto"/>
              <w:ind w:firstLine="412" w:firstLineChars="200"/>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项目生物质燃料堆放于烘干</w:t>
            </w:r>
            <w:r>
              <w:rPr>
                <w:rFonts w:hint="eastAsia" w:ascii="Times New Roman" w:hAnsi="Times New Roman"/>
                <w:color w:val="000000" w:themeColor="text1"/>
                <w:spacing w:val="-2"/>
                <w14:textFill>
                  <w14:solidFill>
                    <w14:schemeClr w14:val="tx1"/>
                  </w14:solidFill>
                </w14:textFill>
              </w:rPr>
              <w:t>机西</w:t>
            </w:r>
            <w:r>
              <w:rPr>
                <w:rFonts w:ascii="Times New Roman" w:hAnsi="Times New Roman"/>
                <w:color w:val="000000" w:themeColor="text1"/>
                <w:spacing w:val="-2"/>
                <w14:textFill>
                  <w14:solidFill>
                    <w14:schemeClr w14:val="tx1"/>
                  </w14:solidFill>
                </w14:textFill>
              </w:rPr>
              <w:t>南侧，约50m</w:t>
            </w:r>
            <w:r>
              <w:rPr>
                <w:rFonts w:ascii="Times New Roman" w:hAnsi="Times New Roman"/>
                <w:color w:val="000000" w:themeColor="text1"/>
                <w:spacing w:val="-2"/>
                <w:vertAlign w:val="superscript"/>
                <w14:textFill>
                  <w14:solidFill>
                    <w14:schemeClr w14:val="tx1"/>
                  </w14:solidFill>
                </w14:textFill>
              </w:rPr>
              <w:t>2</w:t>
            </w:r>
            <w:r>
              <w:rPr>
                <w:rFonts w:ascii="Times New Roman" w:hAnsi="Times New Roman"/>
                <w:color w:val="000000" w:themeColor="text1"/>
                <w:spacing w:val="-2"/>
                <w14:textFill>
                  <w14:solidFill>
                    <w14:schemeClr w14:val="tx1"/>
                  </w14:solidFill>
                </w14:textFill>
              </w:rPr>
              <w:t>。</w:t>
            </w:r>
          </w:p>
        </w:tc>
      </w:tr>
      <w:tr w14:paraId="1DBCA2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Merge w:val="restart"/>
            <w:vAlign w:val="center"/>
          </w:tcPr>
          <w:p w14:paraId="7C61ADE4">
            <w:pPr>
              <w:spacing w:after="0" w:line="240" w:lineRule="auto"/>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公辅工程</w:t>
            </w:r>
          </w:p>
        </w:tc>
        <w:tc>
          <w:tcPr>
            <w:tcW w:w="1489" w:type="dxa"/>
            <w:vAlign w:val="center"/>
          </w:tcPr>
          <w:p w14:paraId="4A58FD83">
            <w:pPr>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供电</w:t>
            </w:r>
          </w:p>
        </w:tc>
        <w:tc>
          <w:tcPr>
            <w:tcW w:w="6186" w:type="dxa"/>
            <w:vAlign w:val="center"/>
          </w:tcPr>
          <w:p w14:paraId="530263D4">
            <w:pPr>
              <w:spacing w:after="0" w:line="240" w:lineRule="auto"/>
              <w:ind w:firstLine="412" w:firstLineChars="200"/>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由园区供电电网供应，供电能力可满足本项目用电。</w:t>
            </w:r>
          </w:p>
        </w:tc>
      </w:tr>
      <w:tr w14:paraId="352835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Merge w:val="continue"/>
            <w:vAlign w:val="center"/>
          </w:tcPr>
          <w:p w14:paraId="68B94E1D">
            <w:pPr>
              <w:spacing w:after="0" w:line="240" w:lineRule="auto"/>
              <w:rPr>
                <w:rFonts w:ascii="Times New Roman" w:hAnsi="Times New Roman"/>
                <w:color w:val="000000" w:themeColor="text1"/>
                <w:spacing w:val="-2"/>
                <w14:textFill>
                  <w14:solidFill>
                    <w14:schemeClr w14:val="tx1"/>
                  </w14:solidFill>
                </w14:textFill>
              </w:rPr>
            </w:pPr>
          </w:p>
        </w:tc>
        <w:tc>
          <w:tcPr>
            <w:tcW w:w="1489" w:type="dxa"/>
            <w:vAlign w:val="center"/>
          </w:tcPr>
          <w:p w14:paraId="27F6A021">
            <w:pPr>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给排水</w:t>
            </w:r>
          </w:p>
        </w:tc>
        <w:tc>
          <w:tcPr>
            <w:tcW w:w="6186" w:type="dxa"/>
            <w:vAlign w:val="center"/>
          </w:tcPr>
          <w:p w14:paraId="3B69D38D">
            <w:pPr>
              <w:spacing w:after="0" w:line="240" w:lineRule="auto"/>
              <w:ind w:firstLine="412" w:firstLineChars="200"/>
              <w:rPr>
                <w:rFonts w:ascii="Times New Roman" w:hAnsi="Times New Roman"/>
                <w:color w:val="000000" w:themeColor="text1"/>
                <w:spacing w:val="-2"/>
                <w14:textFill>
                  <w14:solidFill>
                    <w14:schemeClr w14:val="tx1"/>
                  </w14:solidFill>
                </w14:textFill>
              </w:rPr>
            </w:pPr>
            <w:r>
              <w:rPr>
                <w:rFonts w:hint="eastAsia" w:ascii="Times New Roman" w:hAnsi="Times New Roman"/>
                <w:color w:val="000000" w:themeColor="text1"/>
                <w:spacing w:val="-2"/>
                <w14:textFill>
                  <w14:solidFill>
                    <w14:schemeClr w14:val="tx1"/>
                  </w14:solidFill>
                </w14:textFill>
              </w:rPr>
              <w:t>污水：</w:t>
            </w:r>
            <w:r>
              <w:rPr>
                <w:rFonts w:ascii="Times New Roman" w:hAnsi="Times New Roman"/>
                <w:color w:val="000000" w:themeColor="text1"/>
                <w:spacing w:val="-2"/>
                <w14:textFill>
                  <w14:solidFill>
                    <w14:schemeClr w14:val="tx1"/>
                  </w14:solidFill>
                </w14:textFill>
              </w:rPr>
              <w:t>由园区市政管网提供，主要是工作人员厕所用水，生活污水经化粪池处理后排入市政污水管网。</w:t>
            </w:r>
          </w:p>
          <w:p w14:paraId="65E59F96">
            <w:pPr>
              <w:spacing w:after="0" w:line="240" w:lineRule="auto"/>
              <w:ind w:firstLine="412" w:firstLineChars="200"/>
              <w:rPr>
                <w:rFonts w:ascii="Times New Roman" w:hAnsi="Times New Roman"/>
                <w:color w:val="000000" w:themeColor="text1"/>
                <w:spacing w:val="-2"/>
                <w14:textFill>
                  <w14:solidFill>
                    <w14:schemeClr w14:val="tx1"/>
                  </w14:solidFill>
                </w14:textFill>
              </w:rPr>
            </w:pPr>
            <w:r>
              <w:rPr>
                <w:rFonts w:hint="eastAsia" w:ascii="Times New Roman" w:hAnsi="Times New Roman"/>
                <w:color w:val="000000" w:themeColor="text1"/>
                <w:spacing w:val="-2"/>
                <w14:textFill>
                  <w14:solidFill>
                    <w14:schemeClr w14:val="tx1"/>
                  </w14:solidFill>
                </w14:textFill>
              </w:rPr>
              <w:t>雨水：</w:t>
            </w:r>
            <w:r>
              <w:rPr>
                <w:rFonts w:ascii="Times New Roman" w:hAnsi="Times New Roman"/>
                <w:color w:val="000000" w:themeColor="text1"/>
                <w:spacing w:val="-2"/>
                <w14:textFill>
                  <w14:solidFill>
                    <w14:schemeClr w14:val="tx1"/>
                  </w14:solidFill>
                </w14:textFill>
              </w:rPr>
              <w:t>项目租用已建成的仓库进行布置生产，项目生产线及物料堆放用地均布置在车间内，无新增室外建筑物。</w:t>
            </w:r>
            <w:r>
              <w:rPr>
                <w:rFonts w:ascii="Times New Roman" w:hAnsi="Times New Roman"/>
                <w:color w:val="000000" w:themeColor="text1"/>
                <w:spacing w:val="-2"/>
                <w:u w:val="single"/>
                <w14:textFill>
                  <w14:solidFill>
                    <w14:schemeClr w14:val="tx1"/>
                  </w14:solidFill>
                </w14:textFill>
              </w:rPr>
              <w:t>项目涉及的雨水主要为车间顶棚雨水</w:t>
            </w:r>
            <w:r>
              <w:rPr>
                <w:rFonts w:hint="eastAsia" w:ascii="Times New Roman" w:hAnsi="Times New Roman"/>
                <w:color w:val="000000" w:themeColor="text1"/>
                <w:spacing w:val="-2"/>
                <w:u w:val="single"/>
                <w14:textFill>
                  <w14:solidFill>
                    <w14:schemeClr w14:val="tx1"/>
                  </w14:solidFill>
                </w14:textFill>
              </w:rPr>
              <w:t>及车间进出口附近地面初期雨水</w:t>
            </w:r>
            <w:r>
              <w:rPr>
                <w:rFonts w:ascii="Times New Roman" w:hAnsi="Times New Roman"/>
                <w:color w:val="000000" w:themeColor="text1"/>
                <w:spacing w:val="-2"/>
                <w:u w:val="single"/>
                <w14:textFill>
                  <w14:solidFill>
                    <w14:schemeClr w14:val="tx1"/>
                  </w14:solidFill>
                </w14:textFill>
              </w:rPr>
              <w:t>，</w:t>
            </w:r>
            <w:r>
              <w:rPr>
                <w:rFonts w:hint="eastAsia" w:ascii="Times New Roman" w:hAnsi="Times New Roman"/>
                <w:color w:val="000000" w:themeColor="text1"/>
                <w:spacing w:val="-2"/>
                <w:u w:val="single"/>
                <w14:textFill>
                  <w14:solidFill>
                    <w14:schemeClr w14:val="tx1"/>
                  </w14:solidFill>
                </w14:textFill>
              </w:rPr>
              <w:t>在创大进口汽车仓储物流园东大门附近设置一个150m</w:t>
            </w:r>
            <w:r>
              <w:rPr>
                <w:rFonts w:hint="eastAsia" w:ascii="Times New Roman" w:hAnsi="Times New Roman"/>
                <w:color w:val="000000" w:themeColor="text1"/>
                <w:spacing w:val="-2"/>
                <w:u w:val="single"/>
                <w:vertAlign w:val="superscript"/>
                <w14:textFill>
                  <w14:solidFill>
                    <w14:schemeClr w14:val="tx1"/>
                  </w14:solidFill>
                </w14:textFill>
              </w:rPr>
              <w:t>3</w:t>
            </w:r>
            <w:r>
              <w:rPr>
                <w:rFonts w:hint="eastAsia" w:ascii="Times New Roman" w:hAnsi="Times New Roman"/>
                <w:color w:val="000000" w:themeColor="text1"/>
                <w:spacing w:val="-2"/>
                <w:u w:val="single"/>
                <w14:textFill>
                  <w14:solidFill>
                    <w14:schemeClr w14:val="tx1"/>
                  </w14:solidFill>
                </w14:textFill>
              </w:rPr>
              <w:t>的初期雨水池进行收集，收集后的初期雨水经沉淀后回用于项目水雾喷淋降尘系统使用。</w:t>
            </w:r>
          </w:p>
        </w:tc>
      </w:tr>
      <w:tr w14:paraId="37A81D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Merge w:val="continue"/>
            <w:vAlign w:val="center"/>
          </w:tcPr>
          <w:p w14:paraId="62A2F50B">
            <w:pPr>
              <w:spacing w:after="0" w:line="240" w:lineRule="auto"/>
              <w:rPr>
                <w:rFonts w:ascii="Times New Roman" w:hAnsi="Times New Roman"/>
                <w:color w:val="000000" w:themeColor="text1"/>
                <w:spacing w:val="-2"/>
                <w14:textFill>
                  <w14:solidFill>
                    <w14:schemeClr w14:val="tx1"/>
                  </w14:solidFill>
                </w14:textFill>
              </w:rPr>
            </w:pPr>
          </w:p>
        </w:tc>
        <w:tc>
          <w:tcPr>
            <w:tcW w:w="1489" w:type="dxa"/>
            <w:vAlign w:val="center"/>
          </w:tcPr>
          <w:p w14:paraId="209F8F39">
            <w:pPr>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供热</w:t>
            </w:r>
          </w:p>
        </w:tc>
        <w:tc>
          <w:tcPr>
            <w:tcW w:w="6186" w:type="dxa"/>
            <w:vAlign w:val="center"/>
          </w:tcPr>
          <w:p w14:paraId="24464A96">
            <w:pPr>
              <w:spacing w:after="0" w:line="240" w:lineRule="auto"/>
              <w:ind w:firstLine="412" w:firstLineChars="200"/>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项目配置1台</w:t>
            </w:r>
            <w:r>
              <w:rPr>
                <w:rFonts w:hint="eastAsia" w:ascii="Times New Roman" w:hAnsi="Times New Roman"/>
                <w:color w:val="000000" w:themeColor="text1"/>
                <w:spacing w:val="-2"/>
                <w14:textFill>
                  <w14:solidFill>
                    <w14:schemeClr w14:val="tx1"/>
                  </w14:solidFill>
                </w14:textFill>
              </w:rPr>
              <w:t>燃生物质</w:t>
            </w:r>
            <w:r>
              <w:rPr>
                <w:rFonts w:ascii="Times New Roman" w:hAnsi="Times New Roman"/>
                <w:color w:val="000000" w:themeColor="text1"/>
                <w:spacing w:val="-2"/>
                <w14:textFill>
                  <w14:solidFill>
                    <w14:schemeClr w14:val="tx1"/>
                  </w14:solidFill>
                </w14:textFill>
              </w:rPr>
              <w:t>烘干炉，用于烘干</w:t>
            </w:r>
            <w:r>
              <w:rPr>
                <w:rFonts w:hint="eastAsia" w:ascii="Times New Roman" w:hAnsi="Times New Roman"/>
                <w:color w:val="000000" w:themeColor="text1"/>
                <w:spacing w:val="-2"/>
                <w14:textFill>
                  <w14:solidFill>
                    <w14:schemeClr w14:val="tx1"/>
                  </w14:solidFill>
                </w14:textFill>
              </w:rPr>
              <w:t>原料</w:t>
            </w:r>
            <w:r>
              <w:rPr>
                <w:rFonts w:ascii="Times New Roman" w:hAnsi="Times New Roman"/>
                <w:color w:val="000000" w:themeColor="text1"/>
                <w:spacing w:val="-2"/>
                <w14:textFill>
                  <w14:solidFill>
                    <w14:schemeClr w14:val="tx1"/>
                  </w14:solidFill>
                </w14:textFill>
              </w:rPr>
              <w:t>毛矿。</w:t>
            </w:r>
          </w:p>
        </w:tc>
      </w:tr>
      <w:tr w14:paraId="3AD29A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Merge w:val="continue"/>
            <w:vAlign w:val="center"/>
          </w:tcPr>
          <w:p w14:paraId="479016B6">
            <w:pPr>
              <w:spacing w:after="0" w:line="240" w:lineRule="auto"/>
              <w:rPr>
                <w:rFonts w:ascii="Times New Roman" w:hAnsi="Times New Roman"/>
                <w:color w:val="000000" w:themeColor="text1"/>
                <w:spacing w:val="-2"/>
                <w14:textFill>
                  <w14:solidFill>
                    <w14:schemeClr w14:val="tx1"/>
                  </w14:solidFill>
                </w14:textFill>
              </w:rPr>
            </w:pPr>
          </w:p>
        </w:tc>
        <w:tc>
          <w:tcPr>
            <w:tcW w:w="1489" w:type="dxa"/>
            <w:vAlign w:val="center"/>
          </w:tcPr>
          <w:p w14:paraId="7DC41E41">
            <w:pPr>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消防</w:t>
            </w:r>
          </w:p>
        </w:tc>
        <w:tc>
          <w:tcPr>
            <w:tcW w:w="6186" w:type="dxa"/>
            <w:vAlign w:val="center"/>
          </w:tcPr>
          <w:p w14:paraId="67C99128">
            <w:pPr>
              <w:spacing w:after="0" w:line="240" w:lineRule="auto"/>
              <w:ind w:firstLine="412" w:firstLineChars="200"/>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项目室外消防设施依托</w:t>
            </w:r>
            <w:bookmarkStart w:id="41" w:name="OLE_LINK13"/>
            <w:r>
              <w:rPr>
                <w:rFonts w:ascii="Times New Roman" w:hAnsi="Times New Roman"/>
                <w:color w:val="000000" w:themeColor="text1"/>
                <w:spacing w:val="-2"/>
                <w14:textFill>
                  <w14:solidFill>
                    <w14:schemeClr w14:val="tx1"/>
                  </w14:solidFill>
                </w14:textFill>
              </w:rPr>
              <w:t>创大进口汽车仓储物流园</w:t>
            </w:r>
            <w:bookmarkEnd w:id="41"/>
            <w:r>
              <w:rPr>
                <w:rFonts w:ascii="Times New Roman" w:hAnsi="Times New Roman"/>
                <w:color w:val="000000" w:themeColor="text1"/>
                <w:spacing w:val="-2"/>
                <w14:textFill>
                  <w14:solidFill>
                    <w14:schemeClr w14:val="tx1"/>
                  </w14:solidFill>
                </w14:textFill>
              </w:rPr>
              <w:t>内的消防设施。</w:t>
            </w:r>
          </w:p>
        </w:tc>
      </w:tr>
      <w:tr w14:paraId="122EB4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Merge w:val="restart"/>
            <w:vAlign w:val="center"/>
          </w:tcPr>
          <w:p w14:paraId="3C8F39F0">
            <w:pPr>
              <w:spacing w:after="0" w:line="240" w:lineRule="auto"/>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环保工程</w:t>
            </w:r>
          </w:p>
        </w:tc>
        <w:tc>
          <w:tcPr>
            <w:tcW w:w="1489" w:type="dxa"/>
            <w:vMerge w:val="restart"/>
            <w:vAlign w:val="center"/>
          </w:tcPr>
          <w:p w14:paraId="5DAE87F9">
            <w:pPr>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废气处理措施</w:t>
            </w:r>
          </w:p>
        </w:tc>
        <w:tc>
          <w:tcPr>
            <w:tcW w:w="6186" w:type="dxa"/>
            <w:vAlign w:val="center"/>
          </w:tcPr>
          <w:p w14:paraId="0BA348DB">
            <w:pPr>
              <w:spacing w:after="0" w:line="240" w:lineRule="auto"/>
              <w:ind w:firstLine="412" w:firstLineChars="200"/>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毛矿烘干炉烟气经布袋除尘器处理，粉尘去除率达99%，烟气经1</w:t>
            </w:r>
            <w:r>
              <w:rPr>
                <w:rFonts w:hint="eastAsia" w:ascii="Times New Roman" w:hAnsi="Times New Roman"/>
                <w:color w:val="000000" w:themeColor="text1"/>
                <w:spacing w:val="-2"/>
                <w14:textFill>
                  <w14:solidFill>
                    <w14:schemeClr w14:val="tx1"/>
                  </w14:solidFill>
                </w14:textFill>
              </w:rPr>
              <w:t>9</w:t>
            </w:r>
            <w:r>
              <w:rPr>
                <w:rFonts w:ascii="Times New Roman" w:hAnsi="Times New Roman"/>
                <w:color w:val="000000" w:themeColor="text1"/>
                <w:spacing w:val="-2"/>
                <w14:textFill>
                  <w14:solidFill>
                    <w14:schemeClr w14:val="tx1"/>
                  </w14:solidFill>
                </w14:textFill>
              </w:rPr>
              <w:t>m高排气筒DA001排放。</w:t>
            </w:r>
          </w:p>
        </w:tc>
      </w:tr>
      <w:tr w14:paraId="548252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Merge w:val="continue"/>
            <w:vAlign w:val="center"/>
          </w:tcPr>
          <w:p w14:paraId="24D07703">
            <w:pPr>
              <w:spacing w:after="0" w:line="240" w:lineRule="auto"/>
              <w:rPr>
                <w:rFonts w:ascii="Times New Roman" w:hAnsi="Times New Roman"/>
                <w:color w:val="000000" w:themeColor="text1"/>
                <w:spacing w:val="-2"/>
                <w14:textFill>
                  <w14:solidFill>
                    <w14:schemeClr w14:val="tx1"/>
                  </w14:solidFill>
                </w14:textFill>
              </w:rPr>
            </w:pPr>
          </w:p>
        </w:tc>
        <w:tc>
          <w:tcPr>
            <w:tcW w:w="1489" w:type="dxa"/>
            <w:vMerge w:val="continue"/>
            <w:vAlign w:val="center"/>
          </w:tcPr>
          <w:p w14:paraId="6C726B01">
            <w:pPr>
              <w:spacing w:after="0" w:line="240" w:lineRule="auto"/>
              <w:jc w:val="center"/>
              <w:rPr>
                <w:rFonts w:ascii="Times New Roman" w:hAnsi="Times New Roman"/>
                <w:color w:val="000000" w:themeColor="text1"/>
                <w:spacing w:val="-2"/>
                <w14:textFill>
                  <w14:solidFill>
                    <w14:schemeClr w14:val="tx1"/>
                  </w14:solidFill>
                </w14:textFill>
              </w:rPr>
            </w:pPr>
          </w:p>
        </w:tc>
        <w:tc>
          <w:tcPr>
            <w:tcW w:w="6186" w:type="dxa"/>
            <w:vAlign w:val="center"/>
          </w:tcPr>
          <w:p w14:paraId="7C7FF90D">
            <w:pPr>
              <w:spacing w:after="0" w:line="240" w:lineRule="auto"/>
              <w:ind w:firstLine="412" w:firstLineChars="200"/>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1#生产</w:t>
            </w:r>
            <w:r>
              <w:rPr>
                <w:rFonts w:ascii="Times New Roman" w:hAnsi="Times New Roman"/>
                <w:color w:val="000000" w:themeColor="text1"/>
                <w:spacing w:val="-2"/>
                <w:u w:val="single"/>
                <w14:textFill>
                  <w14:solidFill>
                    <w14:schemeClr w14:val="tx1"/>
                  </w14:solidFill>
                </w14:textFill>
              </w:rPr>
              <w:t>车间</w:t>
            </w:r>
            <w:r>
              <w:rPr>
                <w:rFonts w:hint="eastAsia" w:ascii="Times New Roman" w:hAnsi="Times New Roman"/>
                <w:color w:val="000000" w:themeColor="text1"/>
                <w:spacing w:val="-2"/>
                <w:u w:val="single"/>
                <w14:textFill>
                  <w14:solidFill>
                    <w14:schemeClr w14:val="tx1"/>
                  </w14:solidFill>
                </w14:textFill>
              </w:rPr>
              <w:t>、2#生产车间设备进出料</w:t>
            </w:r>
            <w:r>
              <w:rPr>
                <w:rFonts w:ascii="Times New Roman" w:hAnsi="Times New Roman"/>
                <w:color w:val="000000" w:themeColor="text1"/>
                <w:spacing w:val="-2"/>
                <w:u w:val="single"/>
                <w14:textFill>
                  <w14:solidFill>
                    <w14:schemeClr w14:val="tx1"/>
                  </w14:solidFill>
                </w14:textFill>
              </w:rPr>
              <w:t>粉尘排放口</w:t>
            </w:r>
            <w:r>
              <w:rPr>
                <w:rFonts w:hint="eastAsia" w:ascii="Times New Roman" w:hAnsi="Times New Roman"/>
                <w:color w:val="000000" w:themeColor="text1"/>
                <w:spacing w:val="-2"/>
                <w:u w:val="single"/>
                <w14:textFill>
                  <w14:solidFill>
                    <w14:schemeClr w14:val="tx1"/>
                  </w14:solidFill>
                </w14:textFill>
              </w:rPr>
              <w:t>均</w:t>
            </w:r>
            <w:r>
              <w:rPr>
                <w:rFonts w:ascii="Times New Roman" w:hAnsi="Times New Roman"/>
                <w:color w:val="000000" w:themeColor="text1"/>
                <w:spacing w:val="-2"/>
                <w:u w:val="single"/>
                <w14:textFill>
                  <w14:solidFill>
                    <w14:schemeClr w14:val="tx1"/>
                  </w14:solidFill>
                </w14:textFill>
              </w:rPr>
              <w:t>安装集气罩进行收集，收集后的粉尘</w:t>
            </w:r>
            <w:r>
              <w:rPr>
                <w:rFonts w:hint="eastAsia" w:ascii="Times New Roman" w:hAnsi="Times New Roman"/>
                <w:color w:val="000000" w:themeColor="text1"/>
                <w:spacing w:val="-2"/>
                <w:u w:val="single"/>
                <w14:textFill>
                  <w14:solidFill>
                    <w14:schemeClr w14:val="tx1"/>
                  </w14:solidFill>
                </w14:textFill>
              </w:rPr>
              <w:t>分别</w:t>
            </w:r>
            <w:r>
              <w:rPr>
                <w:rFonts w:ascii="Times New Roman" w:hAnsi="Times New Roman"/>
                <w:color w:val="000000" w:themeColor="text1"/>
                <w:spacing w:val="-2"/>
                <w:u w:val="single"/>
                <w14:textFill>
                  <w14:solidFill>
                    <w14:schemeClr w14:val="tx1"/>
                  </w14:solidFill>
                </w14:textFill>
              </w:rPr>
              <w:t>经</w:t>
            </w:r>
            <w:r>
              <w:rPr>
                <w:rFonts w:hint="eastAsia" w:ascii="Times New Roman" w:hAnsi="Times New Roman"/>
                <w:color w:val="000000" w:themeColor="text1"/>
                <w:spacing w:val="-2"/>
                <w:u w:val="single"/>
                <w14:textFill>
                  <w14:solidFill>
                    <w14:schemeClr w14:val="tx1"/>
                  </w14:solidFill>
                </w14:textFill>
              </w:rPr>
              <w:t>过2套袋式</w:t>
            </w:r>
            <w:r>
              <w:rPr>
                <w:rFonts w:ascii="Times New Roman" w:hAnsi="Times New Roman"/>
                <w:color w:val="000000" w:themeColor="text1"/>
                <w:spacing w:val="-2"/>
                <w:u w:val="single"/>
                <w14:textFill>
                  <w14:solidFill>
                    <w14:schemeClr w14:val="tx1"/>
                  </w14:solidFill>
                </w14:textFill>
              </w:rPr>
              <w:t>除尘</w:t>
            </w:r>
            <w:r>
              <w:rPr>
                <w:rFonts w:hint="eastAsia" w:ascii="Times New Roman" w:hAnsi="Times New Roman"/>
                <w:color w:val="000000" w:themeColor="text1"/>
                <w:spacing w:val="-2"/>
                <w:u w:val="single"/>
                <w14:textFill>
                  <w14:solidFill>
                    <w14:schemeClr w14:val="tx1"/>
                  </w14:solidFill>
                </w14:textFill>
              </w:rPr>
              <w:t>系统</w:t>
            </w:r>
            <w:r>
              <w:rPr>
                <w:rFonts w:ascii="Times New Roman" w:hAnsi="Times New Roman"/>
                <w:color w:val="000000" w:themeColor="text1"/>
                <w:spacing w:val="-2"/>
                <w:u w:val="single"/>
                <w14:textFill>
                  <w14:solidFill>
                    <w14:schemeClr w14:val="tx1"/>
                  </w14:solidFill>
                </w14:textFill>
              </w:rPr>
              <w:t>处理，粉尘去除率达99%，除尘尾气经</w:t>
            </w:r>
            <w:r>
              <w:rPr>
                <w:rFonts w:hint="eastAsia" w:ascii="Times New Roman" w:hAnsi="Times New Roman"/>
                <w:color w:val="000000" w:themeColor="text1"/>
                <w:spacing w:val="-2"/>
                <w:u w:val="single"/>
                <w14:textFill>
                  <w14:solidFill>
                    <w14:schemeClr w14:val="tx1"/>
                  </w14:solidFill>
                </w14:textFill>
              </w:rPr>
              <w:t>2根19</w:t>
            </w:r>
            <w:r>
              <w:rPr>
                <w:rFonts w:ascii="Times New Roman" w:hAnsi="Times New Roman"/>
                <w:color w:val="000000" w:themeColor="text1"/>
                <w:spacing w:val="-2"/>
                <w:u w:val="single"/>
                <w14:textFill>
                  <w14:solidFill>
                    <w14:schemeClr w14:val="tx1"/>
                  </w14:solidFill>
                </w14:textFill>
              </w:rPr>
              <w:t>m高排气筒DA002</w:t>
            </w:r>
            <w:r>
              <w:rPr>
                <w:rFonts w:hint="eastAsia" w:ascii="Times New Roman" w:hAnsi="Times New Roman"/>
                <w:color w:val="000000" w:themeColor="text1"/>
                <w:spacing w:val="-2"/>
                <w:u w:val="single"/>
                <w14:textFill>
                  <w14:solidFill>
                    <w14:schemeClr w14:val="tx1"/>
                  </w14:solidFill>
                </w14:textFill>
              </w:rPr>
              <w:t>、DA003</w:t>
            </w:r>
            <w:r>
              <w:rPr>
                <w:rFonts w:ascii="Times New Roman" w:hAnsi="Times New Roman"/>
                <w:color w:val="000000" w:themeColor="text1"/>
                <w:spacing w:val="-2"/>
                <w:u w:val="single"/>
                <w14:textFill>
                  <w14:solidFill>
                    <w14:schemeClr w14:val="tx1"/>
                  </w14:solidFill>
                </w14:textFill>
              </w:rPr>
              <w:t>排放。</w:t>
            </w:r>
          </w:p>
        </w:tc>
      </w:tr>
      <w:tr w14:paraId="14ECB6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Merge w:val="continue"/>
            <w:vAlign w:val="center"/>
          </w:tcPr>
          <w:p w14:paraId="555CEA25">
            <w:pPr>
              <w:spacing w:after="0" w:line="240" w:lineRule="auto"/>
              <w:rPr>
                <w:rFonts w:ascii="Times New Roman" w:hAnsi="Times New Roman"/>
                <w:color w:val="000000" w:themeColor="text1"/>
                <w:spacing w:val="-2"/>
                <w14:textFill>
                  <w14:solidFill>
                    <w14:schemeClr w14:val="tx1"/>
                  </w14:solidFill>
                </w14:textFill>
              </w:rPr>
            </w:pPr>
          </w:p>
        </w:tc>
        <w:tc>
          <w:tcPr>
            <w:tcW w:w="1489" w:type="dxa"/>
            <w:vMerge w:val="continue"/>
            <w:vAlign w:val="center"/>
          </w:tcPr>
          <w:p w14:paraId="688F6F98">
            <w:pPr>
              <w:spacing w:after="0" w:line="240" w:lineRule="auto"/>
              <w:jc w:val="center"/>
              <w:rPr>
                <w:rFonts w:ascii="Times New Roman" w:hAnsi="Times New Roman"/>
                <w:color w:val="000000" w:themeColor="text1"/>
                <w:spacing w:val="-2"/>
                <w14:textFill>
                  <w14:solidFill>
                    <w14:schemeClr w14:val="tx1"/>
                  </w14:solidFill>
                </w14:textFill>
              </w:rPr>
            </w:pPr>
          </w:p>
        </w:tc>
        <w:tc>
          <w:tcPr>
            <w:tcW w:w="6186" w:type="dxa"/>
            <w:vAlign w:val="center"/>
          </w:tcPr>
          <w:p w14:paraId="22D3A852">
            <w:pPr>
              <w:spacing w:after="0" w:line="240" w:lineRule="auto"/>
              <w:ind w:firstLine="412" w:firstLineChars="200"/>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毛矿进厂卸车、铲车转运至烘干、铲车转运至磁选、铲车产品移堆等铲车装卸区域安装水雾喷淋系统降尘；</w:t>
            </w:r>
          </w:p>
          <w:p w14:paraId="2CED13A7">
            <w:pPr>
              <w:spacing w:after="0" w:line="240" w:lineRule="auto"/>
              <w:ind w:firstLine="412" w:firstLineChars="200"/>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在磁选机组两侧安装水雾喷淋系统除尘；</w:t>
            </w:r>
          </w:p>
          <w:p w14:paraId="61B91879">
            <w:pPr>
              <w:spacing w:after="0" w:line="240" w:lineRule="auto"/>
              <w:ind w:firstLine="412" w:firstLineChars="200"/>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在车间出入口处安装水雾喷淋系统除尘。</w:t>
            </w:r>
          </w:p>
        </w:tc>
      </w:tr>
      <w:tr w14:paraId="061C43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Merge w:val="continue"/>
            <w:vAlign w:val="center"/>
          </w:tcPr>
          <w:p w14:paraId="26B4E50F">
            <w:pPr>
              <w:spacing w:after="0" w:line="240" w:lineRule="auto"/>
              <w:rPr>
                <w:rFonts w:ascii="Times New Roman" w:hAnsi="Times New Roman"/>
                <w:color w:val="000000" w:themeColor="text1"/>
                <w:spacing w:val="-2"/>
                <w14:textFill>
                  <w14:solidFill>
                    <w14:schemeClr w14:val="tx1"/>
                  </w14:solidFill>
                </w14:textFill>
              </w:rPr>
            </w:pPr>
          </w:p>
        </w:tc>
        <w:tc>
          <w:tcPr>
            <w:tcW w:w="1489" w:type="dxa"/>
            <w:vAlign w:val="center"/>
          </w:tcPr>
          <w:p w14:paraId="04C42D72">
            <w:pPr>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废水处理措施</w:t>
            </w:r>
          </w:p>
        </w:tc>
        <w:tc>
          <w:tcPr>
            <w:tcW w:w="6186" w:type="dxa"/>
            <w:vAlign w:val="center"/>
          </w:tcPr>
          <w:p w14:paraId="75101C58">
            <w:pPr>
              <w:spacing w:after="0" w:line="240" w:lineRule="auto"/>
              <w:ind w:firstLine="412" w:firstLineChars="200"/>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生活污水经化粪池处理后经园区纳污管网排入大榄坪污水处理厂处理。</w:t>
            </w:r>
          </w:p>
        </w:tc>
      </w:tr>
      <w:tr w14:paraId="6D640C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Merge w:val="continue"/>
            <w:vAlign w:val="center"/>
          </w:tcPr>
          <w:p w14:paraId="0545E0FC">
            <w:pPr>
              <w:spacing w:after="0" w:line="240" w:lineRule="auto"/>
              <w:rPr>
                <w:rFonts w:ascii="Times New Roman" w:hAnsi="Times New Roman"/>
                <w:color w:val="000000" w:themeColor="text1"/>
                <w:spacing w:val="-2"/>
                <w14:textFill>
                  <w14:solidFill>
                    <w14:schemeClr w14:val="tx1"/>
                  </w14:solidFill>
                </w14:textFill>
              </w:rPr>
            </w:pPr>
          </w:p>
        </w:tc>
        <w:tc>
          <w:tcPr>
            <w:tcW w:w="1489" w:type="dxa"/>
            <w:vAlign w:val="center"/>
          </w:tcPr>
          <w:p w14:paraId="64D4D60C">
            <w:pPr>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固体废物措施</w:t>
            </w:r>
          </w:p>
        </w:tc>
        <w:tc>
          <w:tcPr>
            <w:tcW w:w="6186" w:type="dxa"/>
            <w:vAlign w:val="center"/>
          </w:tcPr>
          <w:p w14:paraId="3453CE00">
            <w:pPr>
              <w:spacing w:after="0" w:line="240" w:lineRule="auto"/>
              <w:ind w:firstLine="412" w:firstLineChars="200"/>
              <w:rPr>
                <w:rFonts w:ascii="Times New Roman" w:hAnsi="Times New Roman"/>
                <w:color w:val="000000" w:themeColor="text1"/>
                <w:spacing w:val="-2"/>
                <w:u w:val="single"/>
                <w14:textFill>
                  <w14:solidFill>
                    <w14:schemeClr w14:val="tx1"/>
                  </w14:solidFill>
                </w14:textFill>
              </w:rPr>
            </w:pPr>
            <w:r>
              <w:rPr>
                <w:rFonts w:ascii="Times New Roman" w:hAnsi="Times New Roman"/>
                <w:color w:val="000000" w:themeColor="text1"/>
                <w:spacing w:val="-2"/>
                <w:u w:val="single"/>
                <w14:textFill>
                  <w14:solidFill>
                    <w14:schemeClr w14:val="tx1"/>
                  </w14:solidFill>
                </w14:textFill>
              </w:rPr>
              <w:t>烘干炉炉渣</w:t>
            </w:r>
            <w:r>
              <w:rPr>
                <w:rFonts w:hint="eastAsia" w:ascii="Times New Roman" w:hAnsi="Times New Roman"/>
                <w:color w:val="000000" w:themeColor="text1"/>
                <w:spacing w:val="-2"/>
                <w:u w:val="single"/>
                <w14:textFill>
                  <w14:solidFill>
                    <w14:schemeClr w14:val="tx1"/>
                  </w14:solidFill>
                </w14:textFill>
              </w:rPr>
              <w:t>外售给有机肥原料生产企业</w:t>
            </w:r>
            <w:r>
              <w:rPr>
                <w:rFonts w:ascii="Times New Roman" w:hAnsi="Times New Roman"/>
                <w:color w:val="000000" w:themeColor="text1"/>
                <w:spacing w:val="-2"/>
                <w:u w:val="single"/>
                <w14:textFill>
                  <w14:solidFill>
                    <w14:schemeClr w14:val="tx1"/>
                  </w14:solidFill>
                </w14:textFill>
              </w:rPr>
              <w:t>；</w:t>
            </w:r>
          </w:p>
          <w:p w14:paraId="0E12953E">
            <w:pPr>
              <w:spacing w:after="0" w:line="240" w:lineRule="auto"/>
              <w:ind w:firstLine="412" w:firstLineChars="200"/>
              <w:rPr>
                <w:rFonts w:ascii="Times New Roman" w:hAnsi="Times New Roman"/>
                <w:color w:val="000000" w:themeColor="text1"/>
                <w:spacing w:val="-2"/>
                <w:u w:val="single"/>
                <w14:textFill>
                  <w14:solidFill>
                    <w14:schemeClr w14:val="tx1"/>
                  </w14:solidFill>
                </w14:textFill>
              </w:rPr>
            </w:pPr>
            <w:r>
              <w:rPr>
                <w:rFonts w:ascii="Times New Roman" w:hAnsi="Times New Roman"/>
                <w:color w:val="000000" w:themeColor="text1"/>
                <w:spacing w:val="-2"/>
                <w:u w:val="single"/>
                <w14:textFill>
                  <w14:solidFill>
                    <w14:schemeClr w14:val="tx1"/>
                  </w14:solidFill>
                </w14:textFill>
              </w:rPr>
              <w:t>烘干炉除尘器收集的粉尘</w:t>
            </w:r>
            <w:r>
              <w:rPr>
                <w:rFonts w:hint="eastAsia" w:ascii="Times New Roman" w:hAnsi="Times New Roman"/>
                <w:color w:val="000000" w:themeColor="text1"/>
                <w:spacing w:val="-2"/>
                <w:u w:val="single"/>
                <w14:textFill>
                  <w14:solidFill>
                    <w14:schemeClr w14:val="tx1"/>
                  </w14:solidFill>
                </w14:textFill>
              </w:rPr>
              <w:t>与</w:t>
            </w:r>
            <w:r>
              <w:rPr>
                <w:rFonts w:ascii="Times New Roman" w:hAnsi="Times New Roman"/>
                <w:color w:val="000000" w:themeColor="text1"/>
                <w:spacing w:val="-2"/>
                <w:u w:val="single"/>
                <w14:textFill>
                  <w14:solidFill>
                    <w14:schemeClr w14:val="tx1"/>
                  </w14:solidFill>
                </w14:textFill>
              </w:rPr>
              <w:t>生产车间除尘器收集的含矿粉尘掺入</w:t>
            </w:r>
            <w:r>
              <w:rPr>
                <w:rFonts w:hint="eastAsia" w:ascii="Times New Roman" w:hAnsi="Times New Roman"/>
                <w:color w:val="000000" w:themeColor="text1"/>
                <w:spacing w:val="-2"/>
                <w:u w:val="single"/>
                <w14:textFill>
                  <w14:solidFill>
                    <w14:schemeClr w14:val="tx1"/>
                  </w14:solidFill>
                </w14:textFill>
              </w:rPr>
              <w:t>锆中矿</w:t>
            </w:r>
            <w:r>
              <w:rPr>
                <w:rFonts w:ascii="Times New Roman" w:hAnsi="Times New Roman"/>
                <w:color w:val="000000" w:themeColor="text1"/>
                <w:spacing w:val="-2"/>
                <w:u w:val="single"/>
                <w14:textFill>
                  <w14:solidFill>
                    <w14:schemeClr w14:val="tx1"/>
                  </w14:solidFill>
                </w14:textFill>
              </w:rPr>
              <w:t>堆放区临时存放，外售给深度分选加工企业综合利用；</w:t>
            </w:r>
          </w:p>
          <w:p w14:paraId="79F42AAF">
            <w:pPr>
              <w:spacing w:after="0" w:line="240" w:lineRule="auto"/>
              <w:ind w:firstLine="412" w:firstLineChars="200"/>
              <w:rPr>
                <w:rFonts w:ascii="Times New Roman" w:hAnsi="Times New Roman"/>
                <w:color w:val="000000" w:themeColor="text1"/>
                <w:spacing w:val="-2"/>
                <w:u w:val="single"/>
                <w14:textFill>
                  <w14:solidFill>
                    <w14:schemeClr w14:val="tx1"/>
                  </w14:solidFill>
                </w14:textFill>
              </w:rPr>
            </w:pPr>
            <w:r>
              <w:rPr>
                <w:rFonts w:ascii="Times New Roman" w:hAnsi="Times New Roman"/>
                <w:color w:val="000000" w:themeColor="text1"/>
                <w:spacing w:val="-2"/>
                <w:u w:val="single"/>
                <w14:textFill>
                  <w14:solidFill>
                    <w14:schemeClr w14:val="tx1"/>
                  </w14:solidFill>
                </w14:textFill>
              </w:rPr>
              <w:t>生产车间地面沉降的含矿粉尘</w:t>
            </w:r>
            <w:r>
              <w:rPr>
                <w:rFonts w:hint="eastAsia" w:ascii="Times New Roman" w:hAnsi="Times New Roman"/>
                <w:color w:val="000000" w:themeColor="text1"/>
                <w:spacing w:val="-2"/>
                <w:u w:val="single"/>
                <w14:textFill>
                  <w14:solidFill>
                    <w14:schemeClr w14:val="tx1"/>
                  </w14:solidFill>
                </w14:textFill>
              </w:rPr>
              <w:t>收集后放置到原料堆放区，作为原料重新投入到生产线进行分选</w:t>
            </w:r>
            <w:r>
              <w:rPr>
                <w:rFonts w:ascii="Times New Roman" w:hAnsi="Times New Roman"/>
                <w:color w:val="000000" w:themeColor="text1"/>
                <w:spacing w:val="-2"/>
                <w:u w:val="single"/>
                <w14:textFill>
                  <w14:solidFill>
                    <w14:schemeClr w14:val="tx1"/>
                  </w14:solidFill>
                </w14:textFill>
              </w:rPr>
              <w:t>；</w:t>
            </w:r>
          </w:p>
          <w:p w14:paraId="27168080">
            <w:pPr>
              <w:spacing w:after="0" w:line="240" w:lineRule="auto"/>
              <w:ind w:firstLine="412" w:firstLineChars="200"/>
              <w:rPr>
                <w:rFonts w:ascii="Times New Roman" w:hAnsi="Times New Roman"/>
                <w:color w:val="000000" w:themeColor="text1"/>
                <w:spacing w:val="-2"/>
                <w:u w:val="single"/>
                <w14:textFill>
                  <w14:solidFill>
                    <w14:schemeClr w14:val="tx1"/>
                  </w14:solidFill>
                </w14:textFill>
              </w:rPr>
            </w:pPr>
            <w:r>
              <w:rPr>
                <w:rFonts w:ascii="Times New Roman" w:hAnsi="Times New Roman"/>
                <w:color w:val="000000" w:themeColor="text1"/>
                <w:spacing w:val="-2"/>
                <w:u w:val="single"/>
                <w14:textFill>
                  <w14:solidFill>
                    <w14:schemeClr w14:val="tx1"/>
                  </w14:solidFill>
                </w14:textFill>
              </w:rPr>
              <w:t>生活垃圾交由环卫部门处理；</w:t>
            </w:r>
          </w:p>
          <w:p w14:paraId="15976E02">
            <w:pPr>
              <w:spacing w:after="0" w:line="240" w:lineRule="auto"/>
              <w:ind w:firstLine="412" w:firstLineChars="200"/>
              <w:rPr>
                <w:rFonts w:ascii="Times New Roman" w:hAnsi="Times New Roman"/>
                <w:color w:val="000000" w:themeColor="text1"/>
                <w:spacing w:val="-2"/>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除尘器废除尘袋暂存于专用贮存场地，定期外售综合利用或处置。</w:t>
            </w:r>
          </w:p>
        </w:tc>
      </w:tr>
    </w:tbl>
    <w:p w14:paraId="323054CD">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bookmarkStart w:id="42" w:name="_Toc78822646"/>
    </w:p>
    <w:p w14:paraId="033207EE">
      <w:pPr>
        <w:pStyle w:val="5"/>
        <w:widowControl w:val="0"/>
        <w:numPr>
          <w:ilvl w:val="2"/>
          <w:numId w:val="1"/>
        </w:numPr>
        <w:spacing w:before="0" w:line="360" w:lineRule="auto"/>
        <w:jc w:val="both"/>
        <w:rPr>
          <w:rFonts w:ascii="Times New Roman" w:hAnsi="Times New Roman" w:eastAsia="黑体" w:cs="Times New Roman"/>
          <w:b/>
          <w:bCs/>
          <w:caps w:val="0"/>
          <w:color w:val="000000" w:themeColor="text1"/>
          <w:kern w:val="2"/>
          <w:sz w:val="24"/>
          <w:szCs w:val="32"/>
          <w14:textFill>
            <w14:solidFill>
              <w14:schemeClr w14:val="tx1"/>
            </w14:solidFill>
          </w14:textFill>
        </w:rPr>
      </w:pPr>
      <w:r>
        <w:rPr>
          <w:rFonts w:ascii="Times New Roman" w:hAnsi="Times New Roman" w:eastAsia="黑体" w:cs="Times New Roman"/>
          <w:b/>
          <w:bCs/>
          <w:caps w:val="0"/>
          <w:color w:val="000000" w:themeColor="text1"/>
          <w:kern w:val="2"/>
          <w:sz w:val="24"/>
          <w:szCs w:val="32"/>
          <w14:textFill>
            <w14:solidFill>
              <w14:schemeClr w14:val="tx1"/>
            </w14:solidFill>
          </w14:textFill>
        </w:rPr>
        <w:t>工程平面布置及放射性气态、液态流出物排放位置</w:t>
      </w:r>
      <w:bookmarkEnd w:id="42"/>
    </w:p>
    <w:p w14:paraId="3166E591">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本项目租用广西钦州保税区创大冷链物流公司进口汽车仓储物流园内的3号仓库进行生产，本项目生产线及原料、产品等物料的存放均设置在室内，无新增室外建筑物，项目的总平面布局均在3号仓库内。</w:t>
      </w:r>
      <w:r>
        <w:rPr>
          <w:rFonts w:hint="eastAsia" w:ascii="Times New Roman" w:hAnsi="Times New Roman"/>
          <w:color w:val="000000" w:themeColor="text1"/>
          <w:sz w:val="24"/>
          <w:szCs w:val="24"/>
          <w:u w:val="single"/>
          <w14:textFill>
            <w14:solidFill>
              <w14:schemeClr w14:val="tx1"/>
            </w14:solidFill>
          </w14:textFill>
        </w:rPr>
        <w:t>本项目的厂界保守以项目租用的3号仓库用地边界作为项目的厂界进行控制。</w:t>
      </w:r>
    </w:p>
    <w:p w14:paraId="5381B6AE">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本项目生产用地较小，厂房内仅布置与生产相关的设施设备，不设置生活区、办公区等，厂房的供电、给排水、消防等设施均依托园区现有的公辅设施。项目厂房内布局按照工艺流程顺捷的原则，充分利用厂房内的地形条件，减少物料的反向运输；在满足安全防护距离要求的情况下，达到流程顺、距离短、减少分散布置、达到节能降耗的目的。</w:t>
      </w:r>
      <w:r>
        <w:rPr>
          <w:rFonts w:ascii="Times New Roman" w:hAnsi="Times New Roman"/>
          <w:color w:val="000000" w:themeColor="text1"/>
          <w:sz w:val="24"/>
          <w:szCs w:val="24"/>
          <w:u w:val="single"/>
          <w14:textFill>
            <w14:solidFill>
              <w14:schemeClr w14:val="tx1"/>
            </w14:solidFill>
          </w14:textFill>
        </w:rPr>
        <w:t>根据项目厂房平面布局，项目厂房为矩形，厂房内分为2个车间，项目原料</w:t>
      </w:r>
      <w:r>
        <w:rPr>
          <w:rFonts w:hint="eastAsia" w:ascii="Times New Roman" w:hAnsi="Times New Roman"/>
          <w:color w:val="000000" w:themeColor="text1"/>
          <w:sz w:val="24"/>
          <w:szCs w:val="24"/>
          <w:u w:val="single"/>
          <w14:textFill>
            <w14:solidFill>
              <w14:schemeClr w14:val="tx1"/>
            </w14:solidFill>
          </w14:textFill>
        </w:rPr>
        <w:t>采用集装箱运输，运输车由创大物流园南门进入，在项目</w:t>
      </w:r>
      <w:r>
        <w:rPr>
          <w:rFonts w:ascii="Times New Roman" w:hAnsi="Times New Roman"/>
          <w:color w:val="000000" w:themeColor="text1"/>
          <w:sz w:val="24"/>
          <w:szCs w:val="24"/>
          <w:u w:val="single"/>
          <w14:textFill>
            <w14:solidFill>
              <w14:schemeClr w14:val="tx1"/>
            </w14:solidFill>
          </w14:textFill>
        </w:rPr>
        <w:t>厂房西大门</w:t>
      </w:r>
      <w:r>
        <w:rPr>
          <w:rFonts w:hint="eastAsia" w:ascii="Times New Roman" w:hAnsi="Times New Roman"/>
          <w:color w:val="000000" w:themeColor="text1"/>
          <w:sz w:val="24"/>
          <w:szCs w:val="24"/>
          <w:u w:val="single"/>
          <w14:textFill>
            <w14:solidFill>
              <w14:schemeClr w14:val="tx1"/>
            </w14:solidFill>
          </w14:textFill>
        </w:rPr>
        <w:t>整箱拖入</w:t>
      </w:r>
      <w:r>
        <w:rPr>
          <w:rFonts w:ascii="Times New Roman" w:hAnsi="Times New Roman"/>
          <w:color w:val="000000" w:themeColor="text1"/>
          <w:sz w:val="24"/>
          <w:szCs w:val="24"/>
          <w:u w:val="single"/>
          <w14:textFill>
            <w14:solidFill>
              <w14:schemeClr w14:val="tx1"/>
            </w14:solidFill>
          </w14:textFill>
        </w:rPr>
        <w:t>1#原料处理车间</w:t>
      </w:r>
      <w:r>
        <w:rPr>
          <w:rFonts w:hint="eastAsia" w:ascii="Times New Roman" w:hAnsi="Times New Roman"/>
          <w:color w:val="000000" w:themeColor="text1"/>
          <w:sz w:val="24"/>
          <w:szCs w:val="24"/>
          <w:u w:val="single"/>
          <w14:textFill>
            <w14:solidFill>
              <w14:schemeClr w14:val="tx1"/>
            </w14:solidFill>
          </w14:textFill>
        </w:rPr>
        <w:t>内拆箱卸货</w:t>
      </w:r>
      <w:r>
        <w:rPr>
          <w:rFonts w:ascii="Times New Roman" w:hAnsi="Times New Roman"/>
          <w:color w:val="000000" w:themeColor="text1"/>
          <w:sz w:val="24"/>
          <w:szCs w:val="24"/>
          <w:u w:val="single"/>
          <w14:textFill>
            <w14:solidFill>
              <w14:schemeClr w14:val="tx1"/>
            </w14:solidFill>
          </w14:textFill>
        </w:rPr>
        <w:t>，</w:t>
      </w:r>
      <w:r>
        <w:rPr>
          <w:rFonts w:hint="eastAsia" w:ascii="Times New Roman" w:hAnsi="Times New Roman"/>
          <w:color w:val="000000" w:themeColor="text1"/>
          <w:sz w:val="24"/>
          <w:szCs w:val="24"/>
          <w:u w:val="single"/>
          <w14:textFill>
            <w14:solidFill>
              <w14:schemeClr w14:val="tx1"/>
            </w14:solidFill>
          </w14:textFill>
        </w:rPr>
        <w:t>项目生产车间内按照生产流程物料</w:t>
      </w:r>
      <w:r>
        <w:rPr>
          <w:rFonts w:ascii="Times New Roman" w:hAnsi="Times New Roman"/>
          <w:color w:val="000000" w:themeColor="text1"/>
          <w:sz w:val="24"/>
          <w:szCs w:val="24"/>
          <w:u w:val="single"/>
          <w14:textFill>
            <w14:solidFill>
              <w14:schemeClr w14:val="tx1"/>
            </w14:solidFill>
          </w14:textFill>
        </w:rPr>
        <w:t>依次</w:t>
      </w:r>
      <w:r>
        <w:rPr>
          <w:rFonts w:hint="eastAsia" w:ascii="Times New Roman" w:hAnsi="Times New Roman"/>
          <w:color w:val="000000" w:themeColor="text1"/>
          <w:sz w:val="24"/>
          <w:szCs w:val="24"/>
          <w:u w:val="single"/>
          <w14:textFill>
            <w14:solidFill>
              <w14:schemeClr w14:val="tx1"/>
            </w14:solidFill>
          </w14:textFill>
        </w:rPr>
        <w:t>从</w:t>
      </w:r>
      <w:r>
        <w:rPr>
          <w:rFonts w:ascii="Times New Roman" w:hAnsi="Times New Roman"/>
          <w:color w:val="000000" w:themeColor="text1"/>
          <w:sz w:val="24"/>
          <w:szCs w:val="24"/>
          <w:u w:val="single"/>
          <w14:textFill>
            <w14:solidFill>
              <w14:schemeClr w14:val="tx1"/>
            </w14:solidFill>
          </w14:textFill>
        </w:rPr>
        <w:t>1#原料处理车间</w:t>
      </w:r>
      <w:r>
        <w:rPr>
          <w:rFonts w:hint="eastAsia" w:ascii="Times New Roman" w:hAnsi="Times New Roman"/>
          <w:color w:val="000000" w:themeColor="text1"/>
          <w:sz w:val="24"/>
          <w:szCs w:val="24"/>
          <w:u w:val="single"/>
          <w14:textFill>
            <w14:solidFill>
              <w14:schemeClr w14:val="tx1"/>
            </w14:solidFill>
          </w14:textFill>
        </w:rPr>
        <w:t>，到</w:t>
      </w:r>
      <w:r>
        <w:rPr>
          <w:rFonts w:ascii="Times New Roman" w:hAnsi="Times New Roman"/>
          <w:color w:val="000000" w:themeColor="text1"/>
          <w:sz w:val="24"/>
          <w:szCs w:val="24"/>
          <w:u w:val="single"/>
          <w14:textFill>
            <w14:solidFill>
              <w14:schemeClr w14:val="tx1"/>
            </w14:solidFill>
          </w14:textFill>
        </w:rPr>
        <w:t>2#分选车间，毛矿经过磁选后</w:t>
      </w:r>
      <w:r>
        <w:rPr>
          <w:rFonts w:hint="eastAsia" w:ascii="Times New Roman" w:hAnsi="Times New Roman"/>
          <w:color w:val="000000" w:themeColor="text1"/>
          <w:sz w:val="24"/>
          <w:szCs w:val="24"/>
          <w:u w:val="single"/>
          <w14:textFill>
            <w14:solidFill>
              <w14:schemeClr w14:val="tx1"/>
            </w14:solidFill>
          </w14:textFill>
        </w:rPr>
        <w:t>产生的产品及副产品</w:t>
      </w:r>
      <w:r>
        <w:rPr>
          <w:rFonts w:ascii="Times New Roman" w:hAnsi="Times New Roman"/>
          <w:color w:val="000000" w:themeColor="text1"/>
          <w:sz w:val="24"/>
          <w:szCs w:val="24"/>
          <w:u w:val="single"/>
          <w14:textFill>
            <w14:solidFill>
              <w14:schemeClr w14:val="tx1"/>
            </w14:solidFill>
          </w14:textFill>
        </w:rPr>
        <w:t>暂存在2#分选车间的</w:t>
      </w:r>
      <w:r>
        <w:rPr>
          <w:rFonts w:hint="eastAsia" w:ascii="Times New Roman" w:hAnsi="Times New Roman"/>
          <w:color w:val="000000" w:themeColor="text1"/>
          <w:sz w:val="24"/>
          <w:szCs w:val="24"/>
          <w:u w:val="single"/>
          <w14:textFill>
            <w14:solidFill>
              <w14:schemeClr w14:val="tx1"/>
            </w14:solidFill>
          </w14:textFill>
        </w:rPr>
        <w:t>精矿堆场及中矿堆场</w:t>
      </w:r>
      <w:r>
        <w:rPr>
          <w:rFonts w:ascii="Times New Roman" w:hAnsi="Times New Roman"/>
          <w:color w:val="000000" w:themeColor="text1"/>
          <w:sz w:val="24"/>
          <w:szCs w:val="24"/>
          <w:u w:val="single"/>
          <w14:textFill>
            <w14:solidFill>
              <w14:schemeClr w14:val="tx1"/>
            </w14:solidFill>
          </w14:textFill>
        </w:rPr>
        <w:t>待售，</w:t>
      </w:r>
      <w:r>
        <w:rPr>
          <w:rFonts w:hint="eastAsia" w:ascii="Times New Roman" w:hAnsi="Times New Roman"/>
          <w:color w:val="000000" w:themeColor="text1"/>
          <w:sz w:val="24"/>
          <w:szCs w:val="24"/>
          <w:u w:val="single"/>
          <w14:textFill>
            <w14:solidFill>
              <w14:schemeClr w14:val="tx1"/>
            </w14:solidFill>
          </w14:textFill>
        </w:rPr>
        <w:t>产品由小型货车在</w:t>
      </w:r>
      <w:r>
        <w:rPr>
          <w:rFonts w:ascii="Times New Roman" w:hAnsi="Times New Roman"/>
          <w:color w:val="000000" w:themeColor="text1"/>
          <w:sz w:val="24"/>
          <w:szCs w:val="24"/>
          <w:u w:val="single"/>
          <w14:textFill>
            <w14:solidFill>
              <w14:schemeClr w14:val="tx1"/>
            </w14:solidFill>
          </w14:textFill>
        </w:rPr>
        <w:t>2#分选车间</w:t>
      </w:r>
      <w:r>
        <w:rPr>
          <w:rFonts w:hint="eastAsia" w:ascii="Times New Roman" w:hAnsi="Times New Roman"/>
          <w:color w:val="000000" w:themeColor="text1"/>
          <w:sz w:val="24"/>
          <w:szCs w:val="24"/>
          <w:u w:val="single"/>
          <w14:textFill>
            <w14:solidFill>
              <w14:schemeClr w14:val="tx1"/>
            </w14:solidFill>
          </w14:textFill>
        </w:rPr>
        <w:t>内进行装车后，覆盖篷布从</w:t>
      </w:r>
      <w:r>
        <w:rPr>
          <w:rFonts w:ascii="Times New Roman" w:hAnsi="Times New Roman"/>
          <w:color w:val="000000" w:themeColor="text1"/>
          <w:sz w:val="24"/>
          <w:szCs w:val="24"/>
          <w:u w:val="single"/>
          <w14:textFill>
            <w14:solidFill>
              <w14:schemeClr w14:val="tx1"/>
            </w14:solidFill>
          </w14:textFill>
        </w:rPr>
        <w:t>2#分选车间</w:t>
      </w:r>
      <w:r>
        <w:rPr>
          <w:rFonts w:hint="eastAsia" w:ascii="Times New Roman" w:hAnsi="Times New Roman"/>
          <w:color w:val="000000" w:themeColor="text1"/>
          <w:sz w:val="24"/>
          <w:szCs w:val="24"/>
          <w:u w:val="single"/>
          <w14:textFill>
            <w14:solidFill>
              <w14:schemeClr w14:val="tx1"/>
            </w14:solidFill>
          </w14:textFill>
        </w:rPr>
        <w:t>东大门运出，运输车由创大物流园东门发往产品购买企业。</w:t>
      </w:r>
      <w:r>
        <w:rPr>
          <w:rFonts w:ascii="Times New Roman" w:hAnsi="Times New Roman"/>
          <w:color w:val="000000" w:themeColor="text1"/>
          <w:sz w:val="24"/>
          <w:szCs w:val="24"/>
          <w:u w:val="single"/>
          <w14:textFill>
            <w14:solidFill>
              <w14:schemeClr w14:val="tx1"/>
            </w14:solidFill>
          </w14:textFill>
        </w:rPr>
        <w:t>项目总平面</w:t>
      </w:r>
      <w:r>
        <w:rPr>
          <w:rFonts w:hint="eastAsia" w:ascii="Times New Roman" w:hAnsi="Times New Roman"/>
          <w:color w:val="000000" w:themeColor="text1"/>
          <w:sz w:val="24"/>
          <w:szCs w:val="24"/>
          <w:u w:val="single"/>
          <w14:textFill>
            <w14:solidFill>
              <w14:schemeClr w14:val="tx1"/>
            </w14:solidFill>
          </w14:textFill>
        </w:rPr>
        <w:t>根据项目生产、物流路径进行布局，</w:t>
      </w:r>
      <w:r>
        <w:rPr>
          <w:rFonts w:ascii="Times New Roman" w:hAnsi="Times New Roman"/>
          <w:color w:val="000000" w:themeColor="text1"/>
          <w:sz w:val="24"/>
          <w:szCs w:val="24"/>
          <w:u w:val="single"/>
          <w14:textFill>
            <w14:solidFill>
              <w14:schemeClr w14:val="tx1"/>
            </w14:solidFill>
          </w14:textFill>
        </w:rPr>
        <w:t>布局紧凑合理。</w:t>
      </w:r>
    </w:p>
    <w:p w14:paraId="324A1B3C">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项目</w:t>
      </w:r>
      <w:r>
        <w:rPr>
          <w:rFonts w:ascii="Times New Roman" w:hAnsi="Times New Roman"/>
          <w:color w:val="000000" w:themeColor="text1"/>
          <w:spacing w:val="-2"/>
          <w:sz w:val="24"/>
          <w:szCs w:val="24"/>
          <w14:textFill>
            <w14:solidFill>
              <w14:schemeClr w14:val="tx1"/>
            </w14:solidFill>
          </w14:textFill>
        </w:rPr>
        <w:t>采用干式磁选工艺对原料进行分选加工，原料毛矿无需进行清洗，生产过程中无需用水，</w:t>
      </w:r>
      <w:r>
        <w:rPr>
          <w:rFonts w:hint="eastAsia" w:ascii="Times New Roman" w:hAnsi="Times New Roman"/>
          <w:color w:val="000000" w:themeColor="text1"/>
          <w:spacing w:val="-2"/>
          <w:sz w:val="24"/>
          <w:szCs w:val="24"/>
          <w14:textFill>
            <w14:solidFill>
              <w14:schemeClr w14:val="tx1"/>
            </w14:solidFill>
          </w14:textFill>
        </w:rPr>
        <w:t>不产生生产废水，项目不产生辐射液态流出物。</w:t>
      </w:r>
    </w:p>
    <w:p w14:paraId="6003A775">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u w:val="single"/>
          <w14:textFill>
            <w14:solidFill>
              <w14:schemeClr w14:val="tx1"/>
            </w14:solidFill>
          </w14:textFill>
        </w:rPr>
      </w:pPr>
      <w:r>
        <w:rPr>
          <w:rFonts w:hint="eastAsia" w:ascii="Times New Roman" w:hAnsi="Times New Roman" w:eastAsia="宋体" w:cs="Times New Roman"/>
          <w:color w:val="000000" w:themeColor="text1"/>
          <w:spacing w:val="-2"/>
          <w:sz w:val="24"/>
          <w:szCs w:val="20"/>
          <w:u w:val="single"/>
          <w14:textFill>
            <w14:solidFill>
              <w14:schemeClr w14:val="tx1"/>
            </w14:solidFill>
          </w14:textFill>
        </w:rPr>
        <w:t>项目气载流出物主要是烘干炉烟气、生产车间装卸、选矿过程中含放射性核素衰变排出γ辐射、含有氡及氡子体的放射性废气及含铀、钍粉尘。</w:t>
      </w:r>
    </w:p>
    <w:p w14:paraId="073C2B78">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u w:val="single"/>
          <w14:textFill>
            <w14:solidFill>
              <w14:schemeClr w14:val="tx1"/>
            </w14:solidFill>
          </w14:textFill>
        </w:rPr>
      </w:pPr>
      <w:r>
        <w:rPr>
          <w:rFonts w:ascii="Times New Roman" w:hAnsi="Times New Roman" w:eastAsia="宋体" w:cs="Times New Roman"/>
          <w:color w:val="000000" w:themeColor="text1"/>
          <w:spacing w:val="-2"/>
          <w:sz w:val="24"/>
          <w:szCs w:val="20"/>
          <w:u w:val="single"/>
          <w14:textFill>
            <w14:solidFill>
              <w14:schemeClr w14:val="tx1"/>
            </w14:solidFill>
          </w14:textFill>
        </w:rPr>
        <w:t>项目工程平面布置及放射性气态</w:t>
      </w:r>
      <w:r>
        <w:rPr>
          <w:rFonts w:hint="eastAsia" w:ascii="Times New Roman" w:hAnsi="Times New Roman" w:eastAsia="宋体" w:cs="Times New Roman"/>
          <w:color w:val="000000" w:themeColor="text1"/>
          <w:spacing w:val="-2"/>
          <w:sz w:val="24"/>
          <w:szCs w:val="20"/>
          <w:u w:val="single"/>
          <w14:textFill>
            <w14:solidFill>
              <w14:schemeClr w14:val="tx1"/>
            </w14:solidFill>
          </w14:textFill>
        </w:rPr>
        <w:t>排放</w:t>
      </w:r>
      <w:r>
        <w:rPr>
          <w:rFonts w:ascii="Times New Roman" w:hAnsi="Times New Roman" w:eastAsia="宋体" w:cs="Times New Roman"/>
          <w:color w:val="000000" w:themeColor="text1"/>
          <w:spacing w:val="-2"/>
          <w:sz w:val="24"/>
          <w:szCs w:val="20"/>
          <w:u w:val="single"/>
          <w14:textFill>
            <w14:solidFill>
              <w14:schemeClr w14:val="tx1"/>
            </w14:solidFill>
          </w14:textFill>
        </w:rPr>
        <w:t>位置见图2.1-1。</w:t>
      </w:r>
    </w:p>
    <w:p w14:paraId="32242FD5">
      <w:pPr>
        <w:autoSpaceDE w:val="0"/>
        <w:autoSpaceDN w:val="0"/>
        <w:adjustRightInd w:val="0"/>
        <w:spacing w:after="0" w:line="360" w:lineRule="auto"/>
        <w:jc w:val="center"/>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drawing>
          <wp:inline distT="0" distB="0" distL="0" distR="0">
            <wp:extent cx="5274310" cy="6127115"/>
            <wp:effectExtent l="19050" t="19050" r="21590" b="26035"/>
            <wp:docPr id="1697658212"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658212" name="图片 60"/>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6127115"/>
                    </a:xfrm>
                    <a:prstGeom prst="rect">
                      <a:avLst/>
                    </a:prstGeom>
                    <a:ln>
                      <a:solidFill>
                        <a:schemeClr val="tx1"/>
                      </a:solidFill>
                    </a:ln>
                  </pic:spPr>
                </pic:pic>
              </a:graphicData>
            </a:graphic>
          </wp:inline>
        </w:drawing>
      </w:r>
    </w:p>
    <w:p w14:paraId="314BCDE1">
      <w:pPr>
        <w:autoSpaceDE w:val="0"/>
        <w:autoSpaceDN w:val="0"/>
        <w:adjustRightInd w:val="0"/>
        <w:spacing w:after="0" w:line="360" w:lineRule="auto"/>
        <w:jc w:val="center"/>
        <w:rPr>
          <w:rFonts w:ascii="Times New Roman" w:hAnsi="Times New Roman" w:cs="Times New Roman"/>
          <w:b/>
          <w:bCs/>
          <w:color w:val="000000" w:themeColor="text1"/>
          <w:sz w:val="24"/>
          <w:szCs w:val="24"/>
          <w:u w:val="single"/>
          <w14:textFill>
            <w14:solidFill>
              <w14:schemeClr w14:val="tx1"/>
            </w14:solidFill>
          </w14:textFill>
        </w:rPr>
      </w:pPr>
      <w:r>
        <w:rPr>
          <w:rFonts w:ascii="Times New Roman" w:hAnsi="Times New Roman" w:cs="Times New Roman"/>
          <w:b/>
          <w:bCs/>
          <w:color w:val="000000" w:themeColor="text1"/>
          <w:sz w:val="24"/>
          <w:szCs w:val="24"/>
          <w:u w:val="single"/>
          <w14:textFill>
            <w14:solidFill>
              <w14:schemeClr w14:val="tx1"/>
            </w14:solidFill>
          </w14:textFill>
        </w:rPr>
        <w:t>图2.1-1  工程平面布置及放射性气态、液态流出物排放位置图</w:t>
      </w:r>
    </w:p>
    <w:p w14:paraId="4425FFDD">
      <w:pPr>
        <w:widowControl w:val="0"/>
        <w:spacing w:after="0" w:line="360" w:lineRule="auto"/>
        <w:ind w:firstLine="420" w:firstLineChars="200"/>
        <w:jc w:val="both"/>
        <w:rPr>
          <w:color w:val="000000" w:themeColor="text1"/>
          <w14:textFill>
            <w14:solidFill>
              <w14:schemeClr w14:val="tx1"/>
            </w14:solidFill>
          </w14:textFill>
        </w:rPr>
      </w:pPr>
    </w:p>
    <w:p w14:paraId="00D593EF">
      <w:pPr>
        <w:pStyle w:val="5"/>
        <w:widowControl w:val="0"/>
        <w:numPr>
          <w:ilvl w:val="2"/>
          <w:numId w:val="1"/>
        </w:numPr>
        <w:spacing w:before="0" w:line="360" w:lineRule="auto"/>
        <w:jc w:val="both"/>
        <w:rPr>
          <w:rFonts w:ascii="Times New Roman" w:hAnsi="Times New Roman" w:eastAsia="黑体" w:cs="Times New Roman"/>
          <w:b/>
          <w:bCs/>
          <w:caps w:val="0"/>
          <w:color w:val="000000" w:themeColor="text1"/>
          <w:kern w:val="2"/>
          <w:sz w:val="24"/>
          <w:szCs w:val="32"/>
          <w14:textFill>
            <w14:solidFill>
              <w14:schemeClr w14:val="tx1"/>
            </w14:solidFill>
          </w14:textFill>
        </w:rPr>
      </w:pPr>
      <w:bookmarkStart w:id="43" w:name="_Toc78822647"/>
      <w:r>
        <w:rPr>
          <w:rFonts w:ascii="Times New Roman" w:hAnsi="Times New Roman" w:eastAsia="黑体" w:cs="Times New Roman"/>
          <w:b/>
          <w:bCs/>
          <w:caps w:val="0"/>
          <w:color w:val="000000" w:themeColor="text1"/>
          <w:kern w:val="2"/>
          <w:sz w:val="24"/>
          <w:szCs w:val="32"/>
          <w14:textFill>
            <w14:solidFill>
              <w14:schemeClr w14:val="tx1"/>
            </w14:solidFill>
          </w14:textFill>
        </w:rPr>
        <w:t>放射性核素在工艺流程的走向</w:t>
      </w:r>
      <w:bookmarkEnd w:id="43"/>
    </w:p>
    <w:p w14:paraId="1C98F8B7">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本项目采用</w:t>
      </w:r>
      <w:r>
        <w:rPr>
          <w:rFonts w:hint="eastAsia" w:ascii="Times New Roman" w:hAnsi="Times New Roman" w:eastAsia="宋体" w:cs="Times New Roman"/>
          <w:color w:val="000000" w:themeColor="text1"/>
          <w:spacing w:val="-2"/>
          <w:sz w:val="24"/>
          <w:szCs w:val="20"/>
          <w14:textFill>
            <w14:solidFill>
              <w14:schemeClr w14:val="tx1"/>
            </w14:solidFill>
          </w14:textFill>
        </w:rPr>
        <w:t>干式</w:t>
      </w:r>
      <w:r>
        <w:rPr>
          <w:rFonts w:ascii="Times New Roman" w:hAnsi="Times New Roman" w:eastAsia="宋体" w:cs="Times New Roman"/>
          <w:color w:val="000000" w:themeColor="text1"/>
          <w:spacing w:val="-2"/>
          <w:sz w:val="24"/>
          <w:szCs w:val="20"/>
          <w14:textFill>
            <w14:solidFill>
              <w14:schemeClr w14:val="tx1"/>
            </w14:solidFill>
          </w14:textFill>
        </w:rPr>
        <w:t>磁选工艺，将钛铁矿毛矿进行加工筛选，分选出品位更高的钛铁精矿。毛矿含水率较高，不适宜直接进行磁选，毛矿进行磁选前需要进行</w:t>
      </w:r>
      <w:r>
        <w:rPr>
          <w:rFonts w:hint="eastAsia" w:ascii="Times New Roman" w:hAnsi="Times New Roman" w:eastAsia="宋体" w:cs="Times New Roman"/>
          <w:color w:val="000000" w:themeColor="text1"/>
          <w:spacing w:val="-2"/>
          <w:sz w:val="24"/>
          <w:szCs w:val="20"/>
          <w14:textFill>
            <w14:solidFill>
              <w14:schemeClr w14:val="tx1"/>
            </w14:solidFill>
          </w14:textFill>
        </w:rPr>
        <w:t>毛矿</w:t>
      </w:r>
      <w:r>
        <w:rPr>
          <w:rFonts w:ascii="Times New Roman" w:hAnsi="Times New Roman" w:eastAsia="宋体" w:cs="Times New Roman"/>
          <w:color w:val="000000" w:themeColor="text1"/>
          <w:spacing w:val="-2"/>
          <w:sz w:val="24"/>
          <w:szCs w:val="20"/>
          <w14:textFill>
            <w14:solidFill>
              <w14:schemeClr w14:val="tx1"/>
            </w14:solidFill>
          </w14:textFill>
        </w:rPr>
        <w:t>烘干，烘干后的毛矿进行干式磁选，在整个磁选过程中</w:t>
      </w:r>
      <w:r>
        <w:rPr>
          <w:rFonts w:hint="eastAsia" w:ascii="Times New Roman" w:hAnsi="Times New Roman" w:eastAsia="宋体" w:cs="Times New Roman"/>
          <w:color w:val="000000" w:themeColor="text1"/>
          <w:spacing w:val="-2"/>
          <w:sz w:val="24"/>
          <w:szCs w:val="20"/>
          <w14:textFill>
            <w14:solidFill>
              <w14:schemeClr w14:val="tx1"/>
            </w14:solidFill>
          </w14:textFill>
        </w:rPr>
        <w:t>仅</w:t>
      </w:r>
      <w:r>
        <w:rPr>
          <w:rFonts w:ascii="Times New Roman" w:hAnsi="Times New Roman" w:eastAsia="宋体" w:cs="Times New Roman"/>
          <w:color w:val="000000" w:themeColor="text1"/>
          <w:spacing w:val="-2"/>
          <w:sz w:val="24"/>
          <w:szCs w:val="20"/>
          <w14:textFill>
            <w14:solidFill>
              <w14:schemeClr w14:val="tx1"/>
            </w14:solidFill>
          </w14:textFill>
        </w:rPr>
        <w:t>需用电，通过物理手段进行分选，无需用水及其他化学药剂等。</w:t>
      </w:r>
      <w:bookmarkStart w:id="44" w:name="OLE_LINK2"/>
      <w:r>
        <w:rPr>
          <w:rFonts w:ascii="Times New Roman" w:hAnsi="Times New Roman" w:eastAsia="宋体" w:cs="Times New Roman"/>
          <w:color w:val="000000" w:themeColor="text1"/>
          <w:spacing w:val="-2"/>
          <w:sz w:val="24"/>
          <w:szCs w:val="20"/>
          <w14:textFill>
            <w14:solidFill>
              <w14:schemeClr w14:val="tx1"/>
            </w14:solidFill>
          </w14:textFill>
        </w:rPr>
        <w:t>项目毛矿分选后得到钛铁精矿和</w:t>
      </w:r>
      <w:bookmarkEnd w:id="44"/>
      <w:r>
        <w:rPr>
          <w:rFonts w:ascii="Times New Roman" w:hAnsi="Times New Roman" w:eastAsia="宋体" w:cs="Times New Roman"/>
          <w:color w:val="000000" w:themeColor="text1"/>
          <w:spacing w:val="-2"/>
          <w:sz w:val="24"/>
          <w:szCs w:val="20"/>
          <w14:textFill>
            <w14:solidFill>
              <w14:schemeClr w14:val="tx1"/>
            </w14:solidFill>
          </w14:textFill>
        </w:rPr>
        <w:t>锆中矿，项目不再进行进一步的锆英砂、金红石、锡、独居石等其他矿物的分选，</w:t>
      </w:r>
      <w:r>
        <w:rPr>
          <w:rFonts w:hint="eastAsia" w:ascii="Times New Roman" w:hAnsi="Times New Roman" w:eastAsia="宋体" w:cs="Times New Roman"/>
          <w:color w:val="000000" w:themeColor="text1"/>
          <w:spacing w:val="-2"/>
          <w:sz w:val="24"/>
          <w:szCs w:val="20"/>
          <w14:textFill>
            <w14:solidFill>
              <w14:schemeClr w14:val="tx1"/>
            </w14:solidFill>
          </w14:textFill>
        </w:rPr>
        <w:t>锆中矿</w:t>
      </w:r>
      <w:r>
        <w:rPr>
          <w:rFonts w:ascii="Times New Roman" w:hAnsi="Times New Roman" w:eastAsia="宋体" w:cs="Times New Roman"/>
          <w:color w:val="000000" w:themeColor="text1"/>
          <w:spacing w:val="-2"/>
          <w:sz w:val="24"/>
          <w:szCs w:val="20"/>
          <w14:textFill>
            <w14:solidFill>
              <w14:schemeClr w14:val="tx1"/>
            </w14:solidFill>
          </w14:textFill>
        </w:rPr>
        <w:t>等作为深度分选矿企业的原料出售。本项目分选加工后的产品为钛铁精矿，产品的钛、铁的品位较毛矿均有提高，项目不进行钛和铁的分离。</w:t>
      </w:r>
    </w:p>
    <w:p w14:paraId="338A437F">
      <w:pPr>
        <w:widowControl w:val="0"/>
        <w:spacing w:after="0" w:line="360" w:lineRule="auto"/>
        <w:ind w:firstLine="474"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b/>
          <w:bCs/>
          <w:color w:val="000000" w:themeColor="text1"/>
          <w:spacing w:val="-2"/>
          <w:sz w:val="24"/>
          <w:szCs w:val="20"/>
          <w14:textFill>
            <w14:solidFill>
              <w14:schemeClr w14:val="tx1"/>
            </w14:solidFill>
          </w14:textFill>
        </w:rPr>
        <w:t>磁选工艺原理：</w:t>
      </w:r>
      <w:r>
        <w:rPr>
          <w:rFonts w:ascii="Times New Roman" w:hAnsi="Times New Roman" w:eastAsia="宋体" w:cs="Times New Roman"/>
          <w:color w:val="000000" w:themeColor="text1"/>
          <w:spacing w:val="-2"/>
          <w:sz w:val="24"/>
          <w:szCs w:val="20"/>
          <w14:textFill>
            <w14:solidFill>
              <w14:schemeClr w14:val="tx1"/>
            </w14:solidFill>
          </w14:textFill>
        </w:rPr>
        <w:t>利用各种矿物的不同导磁性，调节磁选机磁场的强弱，从而实现强导磁矿物、弱导磁矿物和非导磁矿物的分选。主要利用精矿的物理性质不同（主要是导电性及磁性）而进行分选，比如钛铁精矿具有导电性和有磁性，通过矿物质的磁性，分选出不同品位的钛铁精矿。具体生产工艺流程如下。</w:t>
      </w:r>
    </w:p>
    <w:p w14:paraId="5A4C3B43">
      <w:pPr>
        <w:widowControl w:val="0"/>
        <w:spacing w:after="0" w:line="360" w:lineRule="auto"/>
        <w:ind w:firstLine="474" w:firstLineChars="200"/>
        <w:jc w:val="both"/>
        <w:rPr>
          <w:rFonts w:ascii="Times New Roman" w:hAnsi="Times New Roman" w:eastAsia="宋体" w:cs="Times New Roman"/>
          <w:b/>
          <w:bCs/>
          <w:color w:val="000000" w:themeColor="text1"/>
          <w:spacing w:val="-2"/>
          <w:sz w:val="24"/>
          <w:szCs w:val="20"/>
          <w14:textFill>
            <w14:solidFill>
              <w14:schemeClr w14:val="tx1"/>
            </w14:solidFill>
          </w14:textFill>
        </w:rPr>
      </w:pPr>
      <w:r>
        <w:rPr>
          <w:rFonts w:ascii="Times New Roman" w:hAnsi="Times New Roman" w:eastAsia="宋体" w:cs="Times New Roman"/>
          <w:b/>
          <w:bCs/>
          <w:color w:val="000000" w:themeColor="text1"/>
          <w:spacing w:val="-2"/>
          <w:sz w:val="24"/>
          <w:szCs w:val="20"/>
          <w14:textFill>
            <w14:solidFill>
              <w14:schemeClr w14:val="tx1"/>
            </w14:solidFill>
          </w14:textFill>
        </w:rPr>
        <w:t>1、原料入库</w:t>
      </w:r>
    </w:p>
    <w:p w14:paraId="0673296C">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项目原料主要是国外进口毛矿，以非洲的海滨砂矿为主，毛矿粒度比较均匀，厂区内不再破碎；毛矿在国外已经初步清洗，已经将泥沙等冲洗掉，含泥沙量不多，无需对毛矿清洗。原料毛矿进厂后，临时存放于原料堆放区，经过烘干降低毛矿的含水率后，便可直接进行分选。</w:t>
      </w:r>
    </w:p>
    <w:p w14:paraId="398A4C8C">
      <w:pPr>
        <w:widowControl w:val="0"/>
        <w:spacing w:after="0" w:line="360" w:lineRule="auto"/>
        <w:ind w:firstLine="480"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color w:val="000000" w:themeColor="text1"/>
          <w:sz w:val="24"/>
          <w:szCs w:val="24"/>
          <w:u w:val="single"/>
          <w14:textFill>
            <w14:solidFill>
              <w14:schemeClr w14:val="tx1"/>
            </w14:solidFill>
          </w14:textFill>
        </w:rPr>
        <w:t>项目原料毛矿由国外订货，原料毛矿采用集装箱运输，根据市场情况每批订货约20到30柜，每集装箱约26.5吨毛矿。满负荷生产情况下，按每天到厂一批30柜毛矿估算，每天到厂加工的毛矿约795吨左右，年订货到厂的毛矿估算238500吨，满负荷状态下项目年加工毛矿约240000吨。装有原料的集装箱运输到场后，集装箱由拖车将集装箱整箱拖入1#原料处理车间内，毛矿集装箱进入车间后放置在2个原料堆场的中间过道，关闭车间大门进行拆箱卸货。根据过道南北两侧的原料堆场的堆放情况，选择堆垛较小一侧的原料堆场进行拆箱卸货，集装箱内的原料毛矿由铲车卸货到原料堆放区内。集装箱装卸完毕后，再开启车间大门将空箱运走，继续进行下一个集装箱的卸货操作。毛矿卸柜的过程中产生卸柜扬尘（G2），整个拆箱装卸过程均在1#原料处理车间内进行。原料运输车辆行驶进厂产生运输扬尘（G13）。在车间出入口及拆箱区域设置水雾喷淋降尘设施。</w:t>
      </w:r>
    </w:p>
    <w:p w14:paraId="09A778DF">
      <w:pPr>
        <w:widowControl w:val="0"/>
        <w:spacing w:after="0" w:line="360" w:lineRule="auto"/>
        <w:ind w:firstLine="474" w:firstLineChars="200"/>
        <w:jc w:val="both"/>
        <w:rPr>
          <w:rFonts w:ascii="Times New Roman" w:hAnsi="Times New Roman" w:eastAsia="宋体" w:cs="Times New Roman"/>
          <w:b/>
          <w:bCs/>
          <w:color w:val="000000" w:themeColor="text1"/>
          <w:spacing w:val="-2"/>
          <w:sz w:val="24"/>
          <w:szCs w:val="20"/>
          <w14:textFill>
            <w14:solidFill>
              <w14:schemeClr w14:val="tx1"/>
            </w14:solidFill>
          </w14:textFill>
        </w:rPr>
      </w:pPr>
      <w:r>
        <w:rPr>
          <w:rFonts w:ascii="Times New Roman" w:hAnsi="Times New Roman" w:eastAsia="宋体" w:cs="Times New Roman"/>
          <w:b/>
          <w:bCs/>
          <w:color w:val="000000" w:themeColor="text1"/>
          <w:spacing w:val="-2"/>
          <w:sz w:val="24"/>
          <w:szCs w:val="20"/>
          <w14:textFill>
            <w14:solidFill>
              <w14:schemeClr w14:val="tx1"/>
            </w14:solidFill>
          </w14:textFill>
        </w:rPr>
        <w:t>2、烘干</w:t>
      </w:r>
    </w:p>
    <w:p w14:paraId="78D4A699">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原料毛矿湿度不适合直接进行磁选，在磁选前需对毛矿进行干燥处理，以提高磁选工序的分选效率。毛矿由原料堆放区，使用车间内的小型装载车，铲至烘干机进料漏斗，通过输送带送入烘干机进行干燥。毛矿烘干至磁选标准后堆存于1#原料处理车间的干原料堆放区，待装载车转运至2#分选车间。用于磁选的毛矿含水率一般控制在约2.5%以下，项目原料堆场均设置在1#原料处理车间内，不设置室外露天晒场，原料毛矿不受较大或遇到连续阴雨天气影响，降低烘干炉能耗。</w:t>
      </w:r>
    </w:p>
    <w:p w14:paraId="1B0B922D">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color w:val="000000" w:themeColor="text1"/>
          <w:spacing w:val="-2"/>
          <w:sz w:val="24"/>
          <w:szCs w:val="20"/>
          <w:u w:val="single"/>
          <w14:textFill>
            <w14:solidFill>
              <w14:schemeClr w14:val="tx1"/>
            </w14:solidFill>
          </w14:textFill>
        </w:rPr>
        <w:t>待烘干的毛矿由铲车在原料堆放区转运至烘干机处，产生物料转运扬尘（G3），毛矿在烘干机进料漏斗上方卸下，产生烘干机上料扬尘（G4）。毛矿进入烘干机后，由烘干炉过来的干燥热烟气与毛矿在料筒滚动翻转过程中充分接触进行烘干，毛矿的水分与烘干烟气一并排放（G1），烘干后的干毛矿在烘干机出料口输送出来，出料产生落料扬尘（G5）。烘干后的毛矿落在出料口下方临时堆放后，再由铲车将烘干后的毛矿转运至干原料堆放区，转运过程中产生装卸扬尘（G6）。</w:t>
      </w:r>
    </w:p>
    <w:p w14:paraId="11084681">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color w:val="000000" w:themeColor="text1"/>
          <w:spacing w:val="-2"/>
          <w:sz w:val="24"/>
          <w:szCs w:val="20"/>
          <w14:textFill>
            <w14:solidFill>
              <w14:schemeClr w14:val="tx1"/>
            </w14:solidFill>
          </w14:textFill>
        </w:rPr>
        <w:t>项目烘干</w:t>
      </w:r>
      <w:r>
        <w:rPr>
          <w:rFonts w:hint="eastAsia" w:ascii="Times New Roman" w:hAnsi="Times New Roman"/>
          <w:color w:val="000000" w:themeColor="text1"/>
          <w:spacing w:val="-2"/>
          <w:sz w:val="24"/>
          <w:szCs w:val="20"/>
          <w14:textFill>
            <w14:solidFill>
              <w14:schemeClr w14:val="tx1"/>
            </w14:solidFill>
          </w14:textFill>
        </w:rPr>
        <w:t>机</w:t>
      </w:r>
      <w:r>
        <w:rPr>
          <w:rFonts w:ascii="Times New Roman" w:hAnsi="Times New Roman"/>
          <w:color w:val="000000" w:themeColor="text1"/>
          <w:spacing w:val="-2"/>
          <w:sz w:val="24"/>
          <w:szCs w:val="20"/>
          <w14:textFill>
            <w14:solidFill>
              <w14:schemeClr w14:val="tx1"/>
            </w14:solidFill>
          </w14:textFill>
        </w:rPr>
        <w:t>配套一台生物质燃料烘干炉，燃料为</w:t>
      </w:r>
      <w:r>
        <w:rPr>
          <w:rFonts w:hint="eastAsia" w:ascii="Times New Roman" w:hAnsi="Times New Roman"/>
          <w:color w:val="000000" w:themeColor="text1"/>
          <w:spacing w:val="-2"/>
          <w:sz w:val="24"/>
          <w:szCs w:val="24"/>
          <w14:textFill>
            <w14:solidFill>
              <w14:schemeClr w14:val="tx1"/>
            </w14:solidFill>
          </w14:textFill>
        </w:rPr>
        <w:t>成型</w:t>
      </w:r>
      <w:r>
        <w:rPr>
          <w:rFonts w:ascii="Times New Roman" w:hAnsi="Times New Roman"/>
          <w:color w:val="000000" w:themeColor="text1"/>
          <w:spacing w:val="-2"/>
          <w:sz w:val="24"/>
          <w:szCs w:val="20"/>
          <w14:textFill>
            <w14:solidFill>
              <w14:schemeClr w14:val="tx1"/>
            </w14:solidFill>
          </w14:textFill>
        </w:rPr>
        <w:t>生物质颗粒，烘干工艺采用</w:t>
      </w:r>
      <w:r>
        <w:rPr>
          <w:rFonts w:hint="eastAsia" w:ascii="Times New Roman" w:hAnsi="Times New Roman"/>
          <w:color w:val="000000" w:themeColor="text1"/>
          <w:spacing w:val="-2"/>
          <w:sz w:val="24"/>
          <w:szCs w:val="20"/>
          <w:u w:val="single"/>
          <w14:textFill>
            <w14:solidFill>
              <w14:schemeClr w14:val="tx1"/>
            </w14:solidFill>
          </w14:textFill>
        </w:rPr>
        <w:t>直接</w:t>
      </w:r>
      <w:r>
        <w:rPr>
          <w:rFonts w:ascii="Times New Roman" w:hAnsi="Times New Roman"/>
          <w:color w:val="000000" w:themeColor="text1"/>
          <w:spacing w:val="-2"/>
          <w:sz w:val="24"/>
          <w:szCs w:val="20"/>
          <w14:textFill>
            <w14:solidFill>
              <w14:schemeClr w14:val="tx1"/>
            </w14:solidFill>
          </w14:textFill>
        </w:rPr>
        <w:t>烘干。烘干炉的燃烧烟气采用脉冲袋式除尘器进行处理</w:t>
      </w:r>
      <w:r>
        <w:rPr>
          <w:rFonts w:hint="eastAsia" w:ascii="Times New Roman" w:hAnsi="Times New Roman"/>
          <w:color w:val="000000" w:themeColor="text1"/>
          <w:spacing w:val="-2"/>
          <w:sz w:val="24"/>
          <w:szCs w:val="20"/>
          <w14:textFill>
            <w14:solidFill>
              <w14:schemeClr w14:val="tx1"/>
            </w14:solidFill>
          </w14:textFill>
        </w:rPr>
        <w:t>，处理后通过19m排气筒（DA001）排放</w:t>
      </w:r>
      <w:r>
        <w:rPr>
          <w:rFonts w:ascii="Times New Roman" w:hAnsi="Times New Roman"/>
          <w:color w:val="000000" w:themeColor="text1"/>
          <w:spacing w:val="-2"/>
          <w:sz w:val="24"/>
          <w:szCs w:val="20"/>
          <w14:textFill>
            <w14:solidFill>
              <w14:schemeClr w14:val="tx1"/>
            </w14:solidFill>
          </w14:textFill>
        </w:rPr>
        <w:t>。原料处理车间内的烘干机进、出料口</w:t>
      </w:r>
      <w:r>
        <w:rPr>
          <w:rFonts w:hint="eastAsia" w:ascii="Times New Roman" w:hAnsi="Times New Roman"/>
          <w:color w:val="000000" w:themeColor="text1"/>
          <w:spacing w:val="-2"/>
          <w:sz w:val="24"/>
          <w:szCs w:val="20"/>
          <w14:textFill>
            <w14:solidFill>
              <w14:schemeClr w14:val="tx1"/>
            </w14:solidFill>
          </w14:textFill>
        </w:rPr>
        <w:t>处</w:t>
      </w:r>
      <w:r>
        <w:rPr>
          <w:rFonts w:ascii="Times New Roman" w:hAnsi="Times New Roman"/>
          <w:color w:val="000000" w:themeColor="text1"/>
          <w:spacing w:val="-2"/>
          <w:sz w:val="24"/>
          <w:szCs w:val="20"/>
          <w14:textFill>
            <w14:solidFill>
              <w14:schemeClr w14:val="tx1"/>
            </w14:solidFill>
          </w14:textFill>
        </w:rPr>
        <w:t>配套集尘罩，对烘干机</w:t>
      </w:r>
      <w:r>
        <w:rPr>
          <w:rFonts w:hint="eastAsia" w:ascii="Times New Roman" w:hAnsi="Times New Roman"/>
          <w:color w:val="000000" w:themeColor="text1"/>
          <w:spacing w:val="-2"/>
          <w:sz w:val="24"/>
          <w:szCs w:val="20"/>
          <w14:textFill>
            <w14:solidFill>
              <w14:schemeClr w14:val="tx1"/>
            </w14:solidFill>
          </w14:textFill>
        </w:rPr>
        <w:t>进、出</w:t>
      </w:r>
      <w:r>
        <w:rPr>
          <w:rFonts w:ascii="Times New Roman" w:hAnsi="Times New Roman"/>
          <w:color w:val="000000" w:themeColor="text1"/>
          <w:spacing w:val="-2"/>
          <w:sz w:val="24"/>
          <w:szCs w:val="20"/>
          <w14:textFill>
            <w14:solidFill>
              <w14:schemeClr w14:val="tx1"/>
            </w14:solidFill>
          </w14:textFill>
        </w:rPr>
        <w:t>料口处产生的矿砂粉尘进行收集，收集后的粉尘采用袋式除尘器进行处理</w:t>
      </w:r>
      <w:r>
        <w:rPr>
          <w:rFonts w:hint="eastAsia" w:ascii="Times New Roman" w:hAnsi="Times New Roman"/>
          <w:color w:val="000000" w:themeColor="text1"/>
          <w:spacing w:val="-2"/>
          <w:sz w:val="24"/>
          <w:szCs w:val="20"/>
          <w14:textFill>
            <w14:solidFill>
              <w14:schemeClr w14:val="tx1"/>
            </w14:solidFill>
          </w14:textFill>
        </w:rPr>
        <w:t>，处理后通过19m排气筒（DA002）排放</w:t>
      </w:r>
      <w:r>
        <w:rPr>
          <w:rFonts w:ascii="Times New Roman" w:hAnsi="Times New Roman"/>
          <w:color w:val="000000" w:themeColor="text1"/>
          <w:spacing w:val="-2"/>
          <w:sz w:val="24"/>
          <w:szCs w:val="20"/>
          <w14:textFill>
            <w14:solidFill>
              <w14:schemeClr w14:val="tx1"/>
            </w14:solidFill>
          </w14:textFill>
        </w:rPr>
        <w:t>。</w:t>
      </w:r>
    </w:p>
    <w:p w14:paraId="05856D5A">
      <w:pPr>
        <w:widowControl w:val="0"/>
        <w:spacing w:after="0" w:line="360" w:lineRule="auto"/>
        <w:ind w:firstLine="474" w:firstLineChars="200"/>
        <w:jc w:val="both"/>
        <w:rPr>
          <w:rFonts w:ascii="Times New Roman" w:hAnsi="Times New Roman" w:eastAsia="宋体" w:cs="Times New Roman"/>
          <w:b/>
          <w:bCs/>
          <w:color w:val="000000" w:themeColor="text1"/>
          <w:spacing w:val="-2"/>
          <w:sz w:val="24"/>
          <w:szCs w:val="20"/>
          <w14:textFill>
            <w14:solidFill>
              <w14:schemeClr w14:val="tx1"/>
            </w14:solidFill>
          </w14:textFill>
        </w:rPr>
      </w:pPr>
      <w:r>
        <w:rPr>
          <w:rFonts w:ascii="Times New Roman" w:hAnsi="Times New Roman" w:eastAsia="宋体" w:cs="Times New Roman"/>
          <w:b/>
          <w:bCs/>
          <w:color w:val="000000" w:themeColor="text1"/>
          <w:spacing w:val="-2"/>
          <w:sz w:val="24"/>
          <w:szCs w:val="20"/>
          <w14:textFill>
            <w14:solidFill>
              <w14:schemeClr w14:val="tx1"/>
            </w14:solidFill>
          </w14:textFill>
        </w:rPr>
        <w:t>3、磁选</w:t>
      </w:r>
    </w:p>
    <w:p w14:paraId="6AC0C8CB">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color w:val="000000" w:themeColor="text1"/>
          <w:spacing w:val="-2"/>
          <w:sz w:val="24"/>
          <w:szCs w:val="20"/>
          <w14:textFill>
            <w14:solidFill>
              <w14:schemeClr w14:val="tx1"/>
            </w14:solidFill>
          </w14:textFill>
        </w:rPr>
        <w:t>磁选是</w:t>
      </w:r>
      <w:r>
        <w:rPr>
          <w:rFonts w:ascii="Times New Roman" w:hAnsi="Times New Roman"/>
          <w:color w:val="000000" w:themeColor="text1"/>
          <w:spacing w:val="-2"/>
          <w:sz w:val="24"/>
          <w:szCs w:val="20"/>
          <w14:textFill>
            <w14:solidFill>
              <w14:schemeClr w14:val="tx1"/>
            </w14:solidFill>
          </w14:textFill>
        </w:rPr>
        <w:t>根据不同矿种磁性不同的原理，通过调节磁选机磁场强度，将矿种分离。本项目配套</w:t>
      </w:r>
      <w:r>
        <w:rPr>
          <w:rFonts w:hint="eastAsia" w:ascii="Times New Roman" w:hAnsi="Times New Roman"/>
          <w:color w:val="000000" w:themeColor="text1"/>
          <w:spacing w:val="-2"/>
          <w:sz w:val="24"/>
          <w:szCs w:val="20"/>
          <w14:textFill>
            <w14:solidFill>
              <w14:schemeClr w14:val="tx1"/>
            </w14:solidFill>
          </w14:textFill>
        </w:rPr>
        <w:t>2</w:t>
      </w:r>
      <w:r>
        <w:rPr>
          <w:rFonts w:ascii="Times New Roman" w:hAnsi="Times New Roman"/>
          <w:color w:val="000000" w:themeColor="text1"/>
          <w:spacing w:val="-2"/>
          <w:sz w:val="24"/>
          <w:szCs w:val="20"/>
          <w14:textFill>
            <w14:solidFill>
              <w14:schemeClr w14:val="tx1"/>
            </w14:solidFill>
          </w14:textFill>
        </w:rPr>
        <w:t>条磁选生产线，每条磁选生产线配置10台磁选机</w:t>
      </w:r>
      <w:r>
        <w:rPr>
          <w:rFonts w:hint="eastAsia" w:ascii="Times New Roman" w:hAnsi="Times New Roman"/>
          <w:color w:val="000000" w:themeColor="text1"/>
          <w:spacing w:val="-2"/>
          <w:sz w:val="24"/>
          <w:szCs w:val="20"/>
          <w:u w:val="single"/>
          <w14:textFill>
            <w14:solidFill>
              <w14:schemeClr w14:val="tx1"/>
            </w14:solidFill>
          </w14:textFill>
        </w:rPr>
        <w:t>组成磁选机组</w:t>
      </w:r>
      <w:r>
        <w:rPr>
          <w:rFonts w:ascii="Times New Roman" w:hAnsi="Times New Roman"/>
          <w:color w:val="000000" w:themeColor="text1"/>
          <w:spacing w:val="-2"/>
          <w:sz w:val="24"/>
          <w:szCs w:val="20"/>
          <w14:textFill>
            <w14:solidFill>
              <w14:schemeClr w14:val="tx1"/>
            </w14:solidFill>
          </w14:textFill>
        </w:rPr>
        <w:t>，</w:t>
      </w:r>
      <w:r>
        <w:rPr>
          <w:rFonts w:hint="eastAsia" w:ascii="Times New Roman" w:hAnsi="Times New Roman"/>
          <w:color w:val="000000" w:themeColor="text1"/>
          <w:spacing w:val="-2"/>
          <w:sz w:val="24"/>
          <w:szCs w:val="24"/>
          <w14:textFill>
            <w14:solidFill>
              <w14:schemeClr w14:val="tx1"/>
            </w14:solidFill>
          </w14:textFill>
        </w:rPr>
        <w:t>项目钛铁精矿磁选工艺是利用钛、铁与其他矿物磁导率的不同，使毛矿通过一个磁场，由于不同矿物对磁场的反应不同，磁导率高的钛、铁等矿物被磁盘吸起，再失磁落入精矿堆，磁导率低的不被吸起的矿物，留在物料皮带中最后进入中矿堆。</w:t>
      </w:r>
      <w:r>
        <w:rPr>
          <w:rFonts w:ascii="Times New Roman" w:hAnsi="Times New Roman"/>
          <w:color w:val="000000" w:themeColor="text1"/>
          <w:sz w:val="24"/>
          <w:szCs w:val="24"/>
          <w14:textFill>
            <w14:solidFill>
              <w14:schemeClr w14:val="tx1"/>
            </w14:solidFill>
          </w14:textFill>
        </w:rPr>
        <w:t>铁矿的适用磁选磁场强度范围为800</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1500高斯，钛矿的适用磁选磁场强度范围为7000</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17000高斯</w:t>
      </w:r>
      <w:r>
        <w:rPr>
          <w:rFonts w:hint="eastAsia" w:ascii="Times New Roman" w:hAnsi="Times New Roman"/>
          <w:color w:val="000000" w:themeColor="text1"/>
          <w:sz w:val="24"/>
          <w:szCs w:val="24"/>
          <w14:textFill>
            <w14:solidFill>
              <w14:schemeClr w14:val="tx1"/>
            </w14:solidFill>
          </w14:textFill>
        </w:rPr>
        <w:t>，项目不细分钛精矿、铁矿的单独分选，产品为钛铁混合的精矿，因此项目磁选采用</w:t>
      </w:r>
      <w:r>
        <w:rPr>
          <w:rFonts w:ascii="Times New Roman" w:hAnsi="Times New Roman"/>
          <w:color w:val="000000" w:themeColor="text1"/>
          <w:sz w:val="24"/>
          <w:szCs w:val="24"/>
          <w14:textFill>
            <w14:solidFill>
              <w14:schemeClr w14:val="tx1"/>
            </w14:solidFill>
          </w14:textFill>
        </w:rPr>
        <w:t>7000</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17000高斯</w:t>
      </w:r>
      <w:r>
        <w:rPr>
          <w:rFonts w:hint="eastAsia" w:ascii="Times New Roman" w:hAnsi="Times New Roman"/>
          <w:color w:val="000000" w:themeColor="text1"/>
          <w:sz w:val="24"/>
          <w:szCs w:val="24"/>
          <w14:textFill>
            <w14:solidFill>
              <w14:schemeClr w14:val="tx1"/>
            </w14:solidFill>
          </w14:textFill>
        </w:rPr>
        <w:t>的磁场强度进行磁选。毛矿经过磁选后得到</w:t>
      </w:r>
      <w:r>
        <w:rPr>
          <w:rFonts w:ascii="Times New Roman" w:hAnsi="Times New Roman"/>
          <w:color w:val="000000" w:themeColor="text1"/>
          <w:sz w:val="24"/>
          <w:szCs w:val="24"/>
          <w14:textFill>
            <w14:solidFill>
              <w14:schemeClr w14:val="tx1"/>
            </w14:solidFill>
          </w14:textFill>
        </w:rPr>
        <w:t>品位更高的钛铁精矿产品，存放于</w:t>
      </w:r>
      <w:r>
        <w:rPr>
          <w:rFonts w:ascii="Times New Roman" w:hAnsi="Times New Roman"/>
          <w:color w:val="000000" w:themeColor="text1"/>
          <w:spacing w:val="-2"/>
          <w:sz w:val="24"/>
          <w:szCs w:val="24"/>
          <w14:textFill>
            <w14:solidFill>
              <w14:schemeClr w14:val="tx1"/>
            </w14:solidFill>
          </w14:textFill>
        </w:rPr>
        <w:t>2#分选车间内的精矿堆放区</w:t>
      </w:r>
      <w:r>
        <w:rPr>
          <w:rFonts w:ascii="Times New Roman" w:hAnsi="Times New Roman"/>
          <w:color w:val="000000" w:themeColor="text1"/>
          <w:sz w:val="24"/>
          <w:szCs w:val="24"/>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磁选后</w:t>
      </w:r>
      <w:r>
        <w:rPr>
          <w:rFonts w:ascii="Times New Roman" w:hAnsi="Times New Roman"/>
          <w:color w:val="000000" w:themeColor="text1"/>
          <w:sz w:val="24"/>
          <w:szCs w:val="24"/>
          <w14:textFill>
            <w14:solidFill>
              <w14:schemeClr w14:val="tx1"/>
            </w14:solidFill>
          </w14:textFill>
        </w:rPr>
        <w:t>的</w:t>
      </w:r>
      <w:r>
        <w:rPr>
          <w:rFonts w:hint="eastAsia" w:ascii="Times New Roman" w:hAnsi="Times New Roman"/>
          <w:color w:val="000000" w:themeColor="text1"/>
          <w:sz w:val="24"/>
          <w:szCs w:val="24"/>
          <w14:textFill>
            <w14:solidFill>
              <w14:schemeClr w14:val="tx1"/>
            </w14:solidFill>
          </w14:textFill>
        </w:rPr>
        <w:t>副产品</w:t>
      </w:r>
      <w:r>
        <w:rPr>
          <w:rFonts w:ascii="Times New Roman" w:hAnsi="Times New Roman"/>
          <w:color w:val="000000" w:themeColor="text1"/>
          <w:sz w:val="24"/>
          <w:szCs w:val="24"/>
          <w14:textFill>
            <w14:solidFill>
              <w14:schemeClr w14:val="tx1"/>
            </w14:solidFill>
          </w14:textFill>
        </w:rPr>
        <w:t>锆中矿存放于</w:t>
      </w:r>
      <w:r>
        <w:rPr>
          <w:rFonts w:ascii="Times New Roman" w:hAnsi="Times New Roman"/>
          <w:color w:val="000000" w:themeColor="text1"/>
          <w:spacing w:val="-2"/>
          <w:sz w:val="24"/>
          <w:szCs w:val="24"/>
          <w14:textFill>
            <w14:solidFill>
              <w14:schemeClr w14:val="tx1"/>
            </w14:solidFill>
          </w14:textFill>
        </w:rPr>
        <w:t>2#分选车间内的</w:t>
      </w:r>
      <w:r>
        <w:rPr>
          <w:rFonts w:hint="eastAsia" w:ascii="Times New Roman" w:hAnsi="Times New Roman"/>
          <w:color w:val="000000" w:themeColor="text1"/>
          <w:spacing w:val="-2"/>
          <w:sz w:val="24"/>
          <w:szCs w:val="24"/>
          <w14:textFill>
            <w14:solidFill>
              <w14:schemeClr w14:val="tx1"/>
            </w14:solidFill>
          </w14:textFill>
        </w:rPr>
        <w:t>锆中矿</w:t>
      </w:r>
      <w:r>
        <w:rPr>
          <w:rFonts w:ascii="Times New Roman" w:hAnsi="Times New Roman"/>
          <w:color w:val="000000" w:themeColor="text1"/>
          <w:spacing w:val="-2"/>
          <w:sz w:val="24"/>
          <w:szCs w:val="24"/>
          <w14:textFill>
            <w14:solidFill>
              <w14:schemeClr w14:val="tx1"/>
            </w14:solidFill>
          </w14:textFill>
        </w:rPr>
        <w:t>堆放区，</w:t>
      </w:r>
      <w:r>
        <w:rPr>
          <w:rFonts w:hint="eastAsia" w:ascii="Times New Roman" w:hAnsi="Times New Roman"/>
          <w:color w:val="000000" w:themeColor="text1"/>
          <w:spacing w:val="-2"/>
          <w:sz w:val="24"/>
          <w:szCs w:val="24"/>
          <w14:textFill>
            <w14:solidFill>
              <w14:schemeClr w14:val="tx1"/>
            </w14:solidFill>
          </w14:textFill>
        </w:rPr>
        <w:t>作为原料出售给</w:t>
      </w:r>
      <w:r>
        <w:rPr>
          <w:rFonts w:ascii="Times New Roman" w:hAnsi="Times New Roman"/>
          <w:color w:val="000000" w:themeColor="text1"/>
          <w:sz w:val="24"/>
          <w:szCs w:val="24"/>
          <w14:textFill>
            <w14:solidFill>
              <w14:schemeClr w14:val="tx1"/>
            </w14:solidFill>
          </w14:textFill>
        </w:rPr>
        <w:t>深度分选矿企业</w:t>
      </w:r>
      <w:r>
        <w:rPr>
          <w:rFonts w:hint="eastAsia" w:ascii="Times New Roman" w:hAnsi="Times New Roman" w:eastAsia="宋体" w:cs="Times New Roman"/>
          <w:color w:val="000000" w:themeColor="text1"/>
          <w:spacing w:val="-2"/>
          <w:sz w:val="24"/>
          <w:szCs w:val="20"/>
          <w14:textFill>
            <w14:solidFill>
              <w14:schemeClr w14:val="tx1"/>
            </w14:solidFill>
          </w14:textFill>
        </w:rPr>
        <w:t>。</w:t>
      </w:r>
    </w:p>
    <w:p w14:paraId="6B644598">
      <w:pPr>
        <w:widowControl w:val="0"/>
        <w:spacing w:after="0" w:line="360" w:lineRule="auto"/>
        <w:ind w:firstLine="472" w:firstLineChars="200"/>
        <w:jc w:val="both"/>
        <w:rPr>
          <w:rFonts w:ascii="Times New Roman" w:hAnsi="Times New Roman"/>
          <w:color w:val="000000" w:themeColor="text1"/>
          <w:spacing w:val="-2"/>
          <w:sz w:val="24"/>
          <w:szCs w:val="24"/>
          <w14:textFill>
            <w14:solidFill>
              <w14:schemeClr w14:val="tx1"/>
            </w14:solidFill>
          </w14:textFill>
        </w:rPr>
      </w:pPr>
      <w:r>
        <w:rPr>
          <w:rFonts w:hint="eastAsia" w:ascii="Times New Roman" w:hAnsi="Times New Roman"/>
          <w:color w:val="000000" w:themeColor="text1"/>
          <w:spacing w:val="-2"/>
          <w:sz w:val="24"/>
          <w:szCs w:val="20"/>
          <w:u w:val="single"/>
          <w14:textFill>
            <w14:solidFill>
              <w14:schemeClr w14:val="tx1"/>
            </w14:solidFill>
          </w14:textFill>
        </w:rPr>
        <w:t>烘干的毛矿由铲车在干原料堆放区转运至磁选机组处，产生物料转运扬尘（G7），干毛矿在磁选机组进料漏斗上方卸下，产生磁选机上料扬尘（G8）。干毛矿进入磁选机后，进行钛铁精矿和锆中矿的分选，分选过程产生磁选落料扬尘（G9），干毛矿经过磁选机分选后，钛铁精矿和锆中矿分别在不同的出料口出料，出料产生落料扬尘（G10）。钛铁精矿和锆中矿落在精矿出料口和中矿出料口下方临时堆放后，再由铲车将产品转运至对应的精矿堆放区和中矿堆放区，转运过程中产生装卸扬尘（G11）。</w:t>
      </w:r>
    </w:p>
    <w:p w14:paraId="00E40F4F">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color w:val="000000" w:themeColor="text1"/>
          <w:spacing w:val="-2"/>
          <w:sz w:val="24"/>
          <w:szCs w:val="24"/>
          <w14:textFill>
            <w14:solidFill>
              <w14:schemeClr w14:val="tx1"/>
            </w14:solidFill>
          </w14:textFill>
        </w:rPr>
        <w:t>分选车间</w:t>
      </w:r>
      <w:r>
        <w:rPr>
          <w:rFonts w:ascii="Times New Roman" w:hAnsi="Times New Roman"/>
          <w:color w:val="000000" w:themeColor="text1"/>
          <w:spacing w:val="-2"/>
          <w:sz w:val="24"/>
          <w:szCs w:val="20"/>
          <w14:textFill>
            <w14:solidFill>
              <w14:schemeClr w14:val="tx1"/>
            </w14:solidFill>
          </w14:textFill>
        </w:rPr>
        <w:t>内的磁选生产线进、出料口</w:t>
      </w:r>
      <w:r>
        <w:rPr>
          <w:rFonts w:hint="eastAsia" w:ascii="Times New Roman" w:hAnsi="Times New Roman"/>
          <w:color w:val="000000" w:themeColor="text1"/>
          <w:spacing w:val="-2"/>
          <w:sz w:val="24"/>
          <w:szCs w:val="20"/>
          <w14:textFill>
            <w14:solidFill>
              <w14:schemeClr w14:val="tx1"/>
            </w14:solidFill>
          </w14:textFill>
        </w:rPr>
        <w:t>处</w:t>
      </w:r>
      <w:r>
        <w:rPr>
          <w:rFonts w:ascii="Times New Roman" w:hAnsi="Times New Roman"/>
          <w:color w:val="000000" w:themeColor="text1"/>
          <w:spacing w:val="-2"/>
          <w:sz w:val="24"/>
          <w:szCs w:val="20"/>
          <w14:textFill>
            <w14:solidFill>
              <w14:schemeClr w14:val="tx1"/>
            </w14:solidFill>
          </w14:textFill>
        </w:rPr>
        <w:t>配套集尘罩，对磁选工序</w:t>
      </w:r>
      <w:r>
        <w:rPr>
          <w:rFonts w:hint="eastAsia" w:ascii="Times New Roman" w:hAnsi="Times New Roman"/>
          <w:color w:val="000000" w:themeColor="text1"/>
          <w:spacing w:val="-2"/>
          <w:sz w:val="24"/>
          <w:szCs w:val="20"/>
          <w14:textFill>
            <w14:solidFill>
              <w14:schemeClr w14:val="tx1"/>
            </w14:solidFill>
          </w14:textFill>
        </w:rPr>
        <w:t>进、出</w:t>
      </w:r>
      <w:r>
        <w:rPr>
          <w:rFonts w:ascii="Times New Roman" w:hAnsi="Times New Roman"/>
          <w:color w:val="000000" w:themeColor="text1"/>
          <w:spacing w:val="-2"/>
          <w:sz w:val="24"/>
          <w:szCs w:val="20"/>
          <w14:textFill>
            <w14:solidFill>
              <w14:schemeClr w14:val="tx1"/>
            </w14:solidFill>
          </w14:textFill>
        </w:rPr>
        <w:t>料口处产生的矿砂粉尘进行收集，收集后的粉尘采用脉冲袋式除尘器进行处理</w:t>
      </w:r>
      <w:r>
        <w:rPr>
          <w:rFonts w:hint="eastAsia" w:ascii="Times New Roman" w:hAnsi="Times New Roman"/>
          <w:color w:val="000000" w:themeColor="text1"/>
          <w:spacing w:val="-2"/>
          <w:sz w:val="24"/>
          <w:szCs w:val="20"/>
          <w14:textFill>
            <w14:solidFill>
              <w14:schemeClr w14:val="tx1"/>
            </w14:solidFill>
          </w14:textFill>
        </w:rPr>
        <w:t>，处理后的尾气通过19m排气筒（DA003）排放</w:t>
      </w:r>
      <w:r>
        <w:rPr>
          <w:rFonts w:ascii="Times New Roman" w:hAnsi="Times New Roman"/>
          <w:color w:val="000000" w:themeColor="text1"/>
          <w:spacing w:val="-2"/>
          <w:sz w:val="24"/>
          <w:szCs w:val="20"/>
          <w14:textFill>
            <w14:solidFill>
              <w14:schemeClr w14:val="tx1"/>
            </w14:solidFill>
          </w14:textFill>
        </w:rPr>
        <w:t>。</w:t>
      </w:r>
      <w:r>
        <w:rPr>
          <w:rFonts w:hint="eastAsia" w:ascii="Times New Roman" w:hAnsi="Times New Roman"/>
          <w:color w:val="000000" w:themeColor="text1"/>
          <w:spacing w:val="-2"/>
          <w:sz w:val="24"/>
          <w:szCs w:val="20"/>
          <w:u w:val="single"/>
          <w14:textFill>
            <w14:solidFill>
              <w14:schemeClr w14:val="tx1"/>
            </w14:solidFill>
          </w14:textFill>
        </w:rPr>
        <w:t>在磁选机组进料料斗两侧以及磁选机组两侧设置水雾喷淋</w:t>
      </w:r>
      <w:r>
        <w:rPr>
          <w:rFonts w:hint="eastAsia" w:ascii="Times New Roman" w:hAnsi="Times New Roman"/>
          <w:color w:val="000000" w:themeColor="text1"/>
          <w:sz w:val="24"/>
          <w:szCs w:val="24"/>
          <w:u w:val="single"/>
          <w14:textFill>
            <w14:solidFill>
              <w14:schemeClr w14:val="tx1"/>
            </w14:solidFill>
          </w14:textFill>
        </w:rPr>
        <w:t>设施</w:t>
      </w:r>
      <w:r>
        <w:rPr>
          <w:rFonts w:hint="eastAsia" w:ascii="Times New Roman" w:hAnsi="Times New Roman"/>
          <w:color w:val="000000" w:themeColor="text1"/>
          <w:spacing w:val="-2"/>
          <w:sz w:val="24"/>
          <w:szCs w:val="20"/>
          <w:u w:val="single"/>
          <w14:textFill>
            <w14:solidFill>
              <w14:schemeClr w14:val="tx1"/>
            </w14:solidFill>
          </w14:textFill>
        </w:rPr>
        <w:t>；在精矿堆放区和中矿堆放区装卸区域设置水雾喷淋</w:t>
      </w:r>
      <w:r>
        <w:rPr>
          <w:rFonts w:hint="eastAsia" w:ascii="Times New Roman" w:hAnsi="Times New Roman"/>
          <w:color w:val="000000" w:themeColor="text1"/>
          <w:sz w:val="24"/>
          <w:szCs w:val="24"/>
          <w:u w:val="single"/>
          <w14:textFill>
            <w14:solidFill>
              <w14:schemeClr w14:val="tx1"/>
            </w14:solidFill>
          </w14:textFill>
        </w:rPr>
        <w:t>设施</w:t>
      </w:r>
      <w:r>
        <w:rPr>
          <w:rFonts w:hint="eastAsia" w:ascii="Times New Roman" w:hAnsi="Times New Roman"/>
          <w:color w:val="000000" w:themeColor="text1"/>
          <w:spacing w:val="-2"/>
          <w:sz w:val="24"/>
          <w:szCs w:val="20"/>
          <w:u w:val="single"/>
          <w14:textFill>
            <w14:solidFill>
              <w14:schemeClr w14:val="tx1"/>
            </w14:solidFill>
          </w14:textFill>
        </w:rPr>
        <w:t>。</w:t>
      </w:r>
      <w:r>
        <w:rPr>
          <w:rFonts w:ascii="Times New Roman" w:hAnsi="Times New Roman"/>
          <w:color w:val="000000" w:themeColor="text1"/>
          <w:spacing w:val="-2"/>
          <w:sz w:val="24"/>
          <w:szCs w:val="20"/>
          <w14:textFill>
            <w14:solidFill>
              <w14:schemeClr w14:val="tx1"/>
            </w14:solidFill>
          </w14:textFill>
        </w:rPr>
        <w:t>除尘器收集到的含矿粉尘，与车间地面沉降的含矿粉尘，一并混入</w:t>
      </w:r>
      <w:r>
        <w:rPr>
          <w:rFonts w:hint="eastAsia" w:ascii="Times New Roman" w:hAnsi="Times New Roman"/>
          <w:color w:val="000000" w:themeColor="text1"/>
          <w:spacing w:val="-2"/>
          <w:sz w:val="24"/>
          <w:szCs w:val="20"/>
          <w14:textFill>
            <w14:solidFill>
              <w14:schemeClr w14:val="tx1"/>
            </w14:solidFill>
          </w14:textFill>
        </w:rPr>
        <w:t>锆中矿堆放区</w:t>
      </w:r>
      <w:r>
        <w:rPr>
          <w:rFonts w:ascii="Times New Roman" w:hAnsi="Times New Roman"/>
          <w:color w:val="000000" w:themeColor="text1"/>
          <w:spacing w:val="-2"/>
          <w:sz w:val="24"/>
          <w:szCs w:val="20"/>
          <w14:textFill>
            <w14:solidFill>
              <w14:schemeClr w14:val="tx1"/>
            </w14:solidFill>
          </w14:textFill>
        </w:rPr>
        <w:t>进行</w:t>
      </w:r>
      <w:r>
        <w:rPr>
          <w:rFonts w:hint="eastAsia" w:ascii="Times New Roman" w:hAnsi="Times New Roman"/>
          <w:color w:val="000000" w:themeColor="text1"/>
          <w:spacing w:val="-2"/>
          <w:sz w:val="24"/>
          <w:szCs w:val="20"/>
          <w14:textFill>
            <w14:solidFill>
              <w14:schemeClr w14:val="tx1"/>
            </w14:solidFill>
          </w14:textFill>
        </w:rPr>
        <w:t>堆存待</w:t>
      </w:r>
      <w:r>
        <w:rPr>
          <w:rFonts w:ascii="Times New Roman" w:hAnsi="Times New Roman"/>
          <w:color w:val="000000" w:themeColor="text1"/>
          <w:spacing w:val="-2"/>
          <w:sz w:val="24"/>
          <w:szCs w:val="20"/>
          <w14:textFill>
            <w14:solidFill>
              <w14:schemeClr w14:val="tx1"/>
            </w14:solidFill>
          </w14:textFill>
        </w:rPr>
        <w:t>出售。</w:t>
      </w:r>
    </w:p>
    <w:p w14:paraId="482BEAF8">
      <w:pPr>
        <w:widowControl w:val="0"/>
        <w:spacing w:after="0" w:line="360" w:lineRule="auto"/>
        <w:ind w:firstLine="474" w:firstLineChars="200"/>
        <w:jc w:val="both"/>
        <w:rPr>
          <w:rFonts w:ascii="Times New Roman" w:hAnsi="Times New Roman" w:eastAsia="宋体" w:cs="Times New Roman"/>
          <w:b/>
          <w:bCs/>
          <w:color w:val="000000" w:themeColor="text1"/>
          <w:spacing w:val="-2"/>
          <w:sz w:val="24"/>
          <w:szCs w:val="20"/>
          <w14:textFill>
            <w14:solidFill>
              <w14:schemeClr w14:val="tx1"/>
            </w14:solidFill>
          </w14:textFill>
        </w:rPr>
      </w:pPr>
      <w:r>
        <w:rPr>
          <w:rFonts w:ascii="Times New Roman" w:hAnsi="Times New Roman" w:eastAsia="宋体" w:cs="Times New Roman"/>
          <w:b/>
          <w:bCs/>
          <w:color w:val="000000" w:themeColor="text1"/>
          <w:spacing w:val="-2"/>
          <w:sz w:val="24"/>
          <w:szCs w:val="20"/>
          <w14:textFill>
            <w14:solidFill>
              <w14:schemeClr w14:val="tx1"/>
            </w14:solidFill>
          </w14:textFill>
        </w:rPr>
        <w:t>4、产品出库</w:t>
      </w:r>
    </w:p>
    <w:p w14:paraId="57E1F872">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项目不设置独立的产品车间，项目的毛矿经过干燥、磁选等工序后，主要产品钛铁精矿存放在分选车间的精矿堆放区，副产品锆中矿存放于锆中矿堆放区。产品和副产品均不露天堆放，待装载车进厂后，将产品及副产品装车外售</w:t>
      </w:r>
      <w:r>
        <w:rPr>
          <w:rFonts w:ascii="Times New Roman" w:hAnsi="Times New Roman" w:eastAsia="宋体" w:cs="Times New Roman"/>
          <w:color w:val="000000" w:themeColor="text1"/>
          <w:spacing w:val="-2"/>
          <w:sz w:val="24"/>
          <w:szCs w:val="20"/>
          <w14:textFill>
            <w14:solidFill>
              <w14:schemeClr w14:val="tx1"/>
            </w14:solidFill>
          </w14:textFill>
        </w:rPr>
        <w:t>。</w:t>
      </w:r>
    </w:p>
    <w:p w14:paraId="54D7A7C5">
      <w:pPr>
        <w:widowControl w:val="0"/>
        <w:spacing w:after="0" w:line="360" w:lineRule="auto"/>
        <w:ind w:firstLine="480"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color w:val="000000" w:themeColor="text1"/>
          <w:sz w:val="24"/>
          <w:szCs w:val="24"/>
          <w:u w:val="single"/>
          <w14:textFill>
            <w14:solidFill>
              <w14:schemeClr w14:val="tx1"/>
            </w14:solidFill>
          </w14:textFill>
        </w:rPr>
        <w:t>项目精矿和中矿等产品装车位于</w:t>
      </w:r>
      <w:r>
        <w:rPr>
          <w:rFonts w:ascii="Times New Roman" w:hAnsi="Times New Roman"/>
          <w:color w:val="000000" w:themeColor="text1"/>
          <w:sz w:val="24"/>
          <w:szCs w:val="24"/>
          <w:u w:val="single"/>
          <w14:textFill>
            <w14:solidFill>
              <w14:schemeClr w14:val="tx1"/>
            </w14:solidFill>
          </w14:textFill>
        </w:rPr>
        <w:t>2#分选车间</w:t>
      </w:r>
      <w:r>
        <w:rPr>
          <w:rFonts w:hint="eastAsia" w:ascii="Times New Roman" w:hAnsi="Times New Roman"/>
          <w:color w:val="000000" w:themeColor="text1"/>
          <w:sz w:val="24"/>
          <w:szCs w:val="24"/>
          <w:u w:val="single"/>
          <w14:textFill>
            <w14:solidFill>
              <w14:schemeClr w14:val="tx1"/>
            </w14:solidFill>
          </w14:textFill>
        </w:rPr>
        <w:t>内，采用小型货车进行运输，小型货车进入2#</w:t>
      </w:r>
      <w:r>
        <w:rPr>
          <w:rFonts w:ascii="Times New Roman" w:hAnsi="Times New Roman"/>
          <w:color w:val="000000" w:themeColor="text1"/>
          <w:sz w:val="24"/>
          <w:szCs w:val="24"/>
          <w:u w:val="single"/>
          <w14:textFill>
            <w14:solidFill>
              <w14:schemeClr w14:val="tx1"/>
            </w14:solidFill>
          </w14:textFill>
        </w:rPr>
        <w:t>分选</w:t>
      </w:r>
      <w:r>
        <w:rPr>
          <w:rFonts w:hint="eastAsia" w:ascii="Times New Roman" w:hAnsi="Times New Roman"/>
          <w:color w:val="000000" w:themeColor="text1"/>
          <w:sz w:val="24"/>
          <w:szCs w:val="24"/>
          <w:u w:val="single"/>
          <w14:textFill>
            <w14:solidFill>
              <w14:schemeClr w14:val="tx1"/>
            </w14:solidFill>
          </w14:textFill>
        </w:rPr>
        <w:t>车间中间过道后，关闭车间大门进行产品装车，装车完成后再打开车间大门运输出厂。项目精矿和中矿在装车过程中产生装卸扬尘（G12），装车完成后，覆盖篷布运输出厂。产品运输车辆行驶出厂产生运输扬尘（G14）。</w:t>
      </w:r>
      <w:r>
        <w:rPr>
          <w:rFonts w:hint="eastAsia" w:ascii="Times New Roman" w:hAnsi="Times New Roman"/>
          <w:color w:val="000000" w:themeColor="text1"/>
          <w:spacing w:val="-2"/>
          <w:sz w:val="24"/>
          <w:szCs w:val="20"/>
          <w:u w:val="single"/>
          <w14:textFill>
            <w14:solidFill>
              <w14:schemeClr w14:val="tx1"/>
            </w14:solidFill>
          </w14:textFill>
        </w:rPr>
        <w:t>在产品装卸区域设置水雾喷淋</w:t>
      </w:r>
      <w:r>
        <w:rPr>
          <w:rFonts w:hint="eastAsia" w:ascii="Times New Roman" w:hAnsi="Times New Roman"/>
          <w:color w:val="000000" w:themeColor="text1"/>
          <w:sz w:val="24"/>
          <w:szCs w:val="24"/>
          <w:u w:val="single"/>
          <w14:textFill>
            <w14:solidFill>
              <w14:schemeClr w14:val="tx1"/>
            </w14:solidFill>
          </w14:textFill>
        </w:rPr>
        <w:t>设施</w:t>
      </w:r>
      <w:r>
        <w:rPr>
          <w:rFonts w:hint="eastAsia" w:ascii="Times New Roman" w:hAnsi="Times New Roman"/>
          <w:color w:val="000000" w:themeColor="text1"/>
          <w:spacing w:val="-2"/>
          <w:sz w:val="24"/>
          <w:szCs w:val="20"/>
          <w:u w:val="single"/>
          <w14:textFill>
            <w14:solidFill>
              <w14:schemeClr w14:val="tx1"/>
            </w14:solidFill>
          </w14:textFill>
        </w:rPr>
        <w:t>；</w:t>
      </w:r>
      <w:r>
        <w:rPr>
          <w:rFonts w:hint="eastAsia" w:ascii="Times New Roman" w:hAnsi="Times New Roman"/>
          <w:color w:val="000000" w:themeColor="text1"/>
          <w:sz w:val="24"/>
          <w:szCs w:val="24"/>
          <w:u w:val="single"/>
          <w14:textFill>
            <w14:solidFill>
              <w14:schemeClr w14:val="tx1"/>
            </w14:solidFill>
          </w14:textFill>
        </w:rPr>
        <w:t>在车间出入口</w:t>
      </w:r>
      <w:r>
        <w:rPr>
          <w:rFonts w:hint="eastAsia" w:ascii="Times New Roman" w:hAnsi="Times New Roman"/>
          <w:color w:val="000000" w:themeColor="text1"/>
          <w:spacing w:val="-2"/>
          <w:sz w:val="24"/>
          <w:szCs w:val="20"/>
          <w:u w:val="single"/>
          <w14:textFill>
            <w14:solidFill>
              <w14:schemeClr w14:val="tx1"/>
            </w14:solidFill>
          </w14:textFill>
        </w:rPr>
        <w:t>设置水雾喷淋</w:t>
      </w:r>
      <w:r>
        <w:rPr>
          <w:rFonts w:hint="eastAsia" w:ascii="Times New Roman" w:hAnsi="Times New Roman"/>
          <w:color w:val="000000" w:themeColor="text1"/>
          <w:sz w:val="24"/>
          <w:szCs w:val="24"/>
          <w:u w:val="single"/>
          <w14:textFill>
            <w14:solidFill>
              <w14:schemeClr w14:val="tx1"/>
            </w14:solidFill>
          </w14:textFill>
        </w:rPr>
        <w:t>设施</w:t>
      </w:r>
      <w:r>
        <w:rPr>
          <w:rFonts w:hint="eastAsia" w:ascii="Times New Roman" w:hAnsi="Times New Roman"/>
          <w:color w:val="000000" w:themeColor="text1"/>
          <w:spacing w:val="-2"/>
          <w:sz w:val="24"/>
          <w:szCs w:val="20"/>
          <w:u w:val="single"/>
          <w14:textFill>
            <w14:solidFill>
              <w14:schemeClr w14:val="tx1"/>
            </w14:solidFill>
          </w14:textFill>
        </w:rPr>
        <w:t>。</w:t>
      </w:r>
    </w:p>
    <w:p w14:paraId="59E1C676">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项目</w:t>
      </w:r>
      <w:r>
        <w:rPr>
          <w:rFonts w:hint="eastAsia" w:ascii="Times New Roman" w:hAnsi="Times New Roman" w:eastAsia="宋体" w:cs="Times New Roman"/>
          <w:color w:val="000000" w:themeColor="text1"/>
          <w:spacing w:val="-2"/>
          <w:sz w:val="24"/>
          <w:szCs w:val="20"/>
          <w14:textFill>
            <w14:solidFill>
              <w14:schemeClr w14:val="tx1"/>
            </w14:solidFill>
          </w14:textFill>
        </w:rPr>
        <w:t>放射性核素在工艺流程的走向图见图</w:t>
      </w:r>
      <w:r>
        <w:rPr>
          <w:rFonts w:ascii="Times New Roman" w:hAnsi="Times New Roman" w:eastAsia="宋体" w:cs="Times New Roman"/>
          <w:color w:val="000000" w:themeColor="text1"/>
          <w:spacing w:val="-2"/>
          <w:sz w:val="24"/>
          <w:szCs w:val="20"/>
          <w14:textFill>
            <w14:solidFill>
              <w14:schemeClr w14:val="tx1"/>
            </w14:solidFill>
          </w14:textFill>
        </w:rPr>
        <w:t>2.2-1。</w:t>
      </w:r>
    </w:p>
    <w:p w14:paraId="50A3F60A">
      <w:pPr>
        <w:spacing w:line="360" w:lineRule="auto"/>
        <w:jc w:val="center"/>
        <w:rPr>
          <w:rFonts w:ascii="Times New Roman" w:hAnsi="Times New Roman" w:cs="Times New Roman"/>
          <w:b/>
          <w:color w:val="000000" w:themeColor="text1"/>
          <w:spacing w:val="-2"/>
          <w:sz w:val="24"/>
          <w:szCs w:val="24"/>
          <w14:textFill>
            <w14:solidFill>
              <w14:schemeClr w14:val="tx1"/>
            </w14:solidFill>
          </w14:textFill>
        </w:rPr>
      </w:pPr>
      <w:r>
        <w:rPr>
          <w:rFonts w:ascii="Times New Roman" w:hAnsi="Times New Roman"/>
          <w:color w:val="000000" w:themeColor="text1"/>
          <w:spacing w:val="-2"/>
          <w:sz w:val="24"/>
          <w:szCs w:val="24"/>
          <w14:textFill>
            <w14:solidFill>
              <w14:schemeClr w14:val="tx1"/>
            </w14:solidFill>
          </w14:textFill>
        </w:rPr>
        <mc:AlternateContent>
          <mc:Choice Requires="wpc">
            <w:drawing>
              <wp:inline distT="0" distB="0" distL="0" distR="0">
                <wp:extent cx="5380355" cy="8282305"/>
                <wp:effectExtent l="0" t="0" r="0" b="23495"/>
                <wp:docPr id="1263295820" name="画布 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34919130" name="矩形 11"/>
                        <wps:cNvSpPr>
                          <a:spLocks noChangeArrowheads="1"/>
                        </wps:cNvSpPr>
                        <wps:spPr bwMode="auto">
                          <a:xfrm>
                            <a:off x="2029460" y="492369"/>
                            <a:ext cx="958215" cy="291465"/>
                          </a:xfrm>
                          <a:prstGeom prst="rect">
                            <a:avLst/>
                          </a:prstGeom>
                          <a:solidFill>
                            <a:srgbClr val="FFFFFF"/>
                          </a:solidFill>
                          <a:ln w="9525" cmpd="sng">
                            <a:solidFill>
                              <a:srgbClr val="000000"/>
                            </a:solidFill>
                            <a:miter lim="800000"/>
                          </a:ln>
                          <a:effectLst/>
                        </wps:spPr>
                        <wps:txbx>
                          <w:txbxContent>
                            <w:p w14:paraId="21093389">
                              <w:pPr>
                                <w:spacing w:after="0" w:line="240" w:lineRule="auto"/>
                                <w:jc w:val="center"/>
                              </w:pPr>
                              <w:r>
                                <w:rPr>
                                  <w:rFonts w:hint="eastAsia"/>
                                </w:rPr>
                                <w:t>湿毛矿堆场</w:t>
                              </w:r>
                            </w:p>
                          </w:txbxContent>
                        </wps:txbx>
                        <wps:bodyPr rot="0" vert="horz" wrap="square" lIns="91440" tIns="45720" rIns="91440" bIns="45720" anchor="t" anchorCtr="0" upright="1">
                          <a:noAutofit/>
                        </wps:bodyPr>
                      </wps:wsp>
                      <wps:wsp>
                        <wps:cNvPr id="2082960523" name="矩形 12"/>
                        <wps:cNvSpPr>
                          <a:spLocks noChangeArrowheads="1"/>
                        </wps:cNvSpPr>
                        <wps:spPr bwMode="auto">
                          <a:xfrm>
                            <a:off x="2032635" y="1999859"/>
                            <a:ext cx="953135" cy="292735"/>
                          </a:xfrm>
                          <a:prstGeom prst="rect">
                            <a:avLst/>
                          </a:prstGeom>
                          <a:solidFill>
                            <a:srgbClr val="FFFFFF"/>
                          </a:solidFill>
                          <a:ln w="25400" cmpd="sng">
                            <a:solidFill>
                              <a:srgbClr val="000000"/>
                            </a:solidFill>
                            <a:miter lim="800000"/>
                          </a:ln>
                          <a:effectLst/>
                        </wps:spPr>
                        <wps:txbx>
                          <w:txbxContent>
                            <w:p w14:paraId="2E79E929">
                              <w:pPr>
                                <w:spacing w:after="0" w:line="240" w:lineRule="auto"/>
                                <w:jc w:val="center"/>
                              </w:pPr>
                              <w:r>
                                <w:rPr>
                                  <w:rFonts w:hint="eastAsia"/>
                                </w:rPr>
                                <w:t>烘干机</w:t>
                              </w:r>
                            </w:p>
                          </w:txbxContent>
                        </wps:txbx>
                        <wps:bodyPr rot="0" vert="horz" wrap="square" lIns="91440" tIns="45720" rIns="91440" bIns="45720" anchor="t" anchorCtr="0" upright="1">
                          <a:noAutofit/>
                        </wps:bodyPr>
                      </wps:wsp>
                      <wps:wsp>
                        <wps:cNvPr id="2107093181" name="矩形 13"/>
                        <wps:cNvSpPr>
                          <a:spLocks noChangeArrowheads="1"/>
                        </wps:cNvSpPr>
                        <wps:spPr bwMode="auto">
                          <a:xfrm>
                            <a:off x="2028190" y="3490839"/>
                            <a:ext cx="952500" cy="292100"/>
                          </a:xfrm>
                          <a:prstGeom prst="rect">
                            <a:avLst/>
                          </a:prstGeom>
                          <a:solidFill>
                            <a:srgbClr val="FFFFFF"/>
                          </a:solidFill>
                          <a:ln w="9525" cmpd="sng">
                            <a:solidFill>
                              <a:srgbClr val="000000"/>
                            </a:solidFill>
                            <a:miter lim="800000"/>
                          </a:ln>
                          <a:effectLst/>
                        </wps:spPr>
                        <wps:txbx>
                          <w:txbxContent>
                            <w:p w14:paraId="17C83D40">
                              <w:pPr>
                                <w:spacing w:after="0" w:line="240" w:lineRule="auto"/>
                                <w:jc w:val="center"/>
                              </w:pPr>
                              <w:r>
                                <w:rPr>
                                  <w:rFonts w:hint="eastAsia"/>
                                </w:rPr>
                                <w:t>干毛矿堆场</w:t>
                              </w:r>
                            </w:p>
                          </w:txbxContent>
                        </wps:txbx>
                        <wps:bodyPr rot="0" vert="horz" wrap="square" lIns="91440" tIns="45720" rIns="91440" bIns="45720" anchor="t" anchorCtr="0" upright="1">
                          <a:noAutofit/>
                        </wps:bodyPr>
                      </wps:wsp>
                      <wps:wsp>
                        <wps:cNvPr id="1479854067" name="矩形 14"/>
                        <wps:cNvSpPr>
                          <a:spLocks noChangeArrowheads="1"/>
                        </wps:cNvSpPr>
                        <wps:spPr bwMode="auto">
                          <a:xfrm>
                            <a:off x="2031365" y="5548874"/>
                            <a:ext cx="951865" cy="291465"/>
                          </a:xfrm>
                          <a:prstGeom prst="rect">
                            <a:avLst/>
                          </a:prstGeom>
                          <a:solidFill>
                            <a:srgbClr val="FFFFFF"/>
                          </a:solidFill>
                          <a:ln w="9525" cmpd="sng">
                            <a:solidFill>
                              <a:srgbClr val="000000"/>
                            </a:solidFill>
                            <a:miter lim="800000"/>
                          </a:ln>
                          <a:effectLst/>
                        </wps:spPr>
                        <wps:txbx>
                          <w:txbxContent>
                            <w:p w14:paraId="44B5414C">
                              <w:pPr>
                                <w:spacing w:after="0" w:line="240" w:lineRule="auto"/>
                                <w:jc w:val="center"/>
                              </w:pPr>
                              <w:r>
                                <w:rPr>
                                  <w:rFonts w:hint="eastAsia"/>
                                </w:rPr>
                                <w:t>磁选机出料</w:t>
                              </w:r>
                            </w:p>
                          </w:txbxContent>
                        </wps:txbx>
                        <wps:bodyPr rot="0" vert="horz" wrap="square" lIns="91440" tIns="45720" rIns="91440" bIns="45720" anchor="t" anchorCtr="0" upright="1">
                          <a:noAutofit/>
                        </wps:bodyPr>
                      </wps:wsp>
                      <wps:wsp>
                        <wps:cNvPr id="291573268" name="矩形 15"/>
                        <wps:cNvSpPr>
                          <a:spLocks noChangeArrowheads="1"/>
                        </wps:cNvSpPr>
                        <wps:spPr bwMode="auto">
                          <a:xfrm>
                            <a:off x="1038225" y="6862689"/>
                            <a:ext cx="950595" cy="290830"/>
                          </a:xfrm>
                          <a:prstGeom prst="rect">
                            <a:avLst/>
                          </a:prstGeom>
                          <a:solidFill>
                            <a:srgbClr val="FFFFFF"/>
                          </a:solidFill>
                          <a:ln w="9525" cmpd="sng">
                            <a:solidFill>
                              <a:srgbClr val="000000"/>
                            </a:solidFill>
                            <a:miter lim="800000"/>
                          </a:ln>
                          <a:effectLst/>
                        </wps:spPr>
                        <wps:txbx>
                          <w:txbxContent>
                            <w:p w14:paraId="4B72E00A">
                              <w:pPr>
                                <w:spacing w:after="0" w:line="240" w:lineRule="auto"/>
                                <w:jc w:val="center"/>
                              </w:pPr>
                              <w:r>
                                <w:rPr>
                                  <w:rFonts w:hint="eastAsia"/>
                                </w:rPr>
                                <w:t>精矿堆场</w:t>
                              </w:r>
                            </w:p>
                          </w:txbxContent>
                        </wps:txbx>
                        <wps:bodyPr rot="0" vert="horz" wrap="square" lIns="91440" tIns="45720" rIns="91440" bIns="45720" anchor="t" anchorCtr="0" upright="1">
                          <a:noAutofit/>
                        </wps:bodyPr>
                      </wps:wsp>
                      <wps:wsp>
                        <wps:cNvPr id="1891936697" name="矩形 16"/>
                        <wps:cNvSpPr>
                          <a:spLocks noChangeArrowheads="1"/>
                        </wps:cNvSpPr>
                        <wps:spPr bwMode="auto">
                          <a:xfrm>
                            <a:off x="2957830" y="6863959"/>
                            <a:ext cx="952500" cy="292100"/>
                          </a:xfrm>
                          <a:prstGeom prst="rect">
                            <a:avLst/>
                          </a:prstGeom>
                          <a:solidFill>
                            <a:srgbClr val="FFFFFF"/>
                          </a:solidFill>
                          <a:ln w="9525" cmpd="sng">
                            <a:solidFill>
                              <a:srgbClr val="000000"/>
                            </a:solidFill>
                            <a:miter lim="800000"/>
                          </a:ln>
                          <a:effectLst/>
                        </wps:spPr>
                        <wps:txbx>
                          <w:txbxContent>
                            <w:p w14:paraId="3D79247E">
                              <w:pPr>
                                <w:spacing w:after="0" w:line="240" w:lineRule="auto"/>
                                <w:jc w:val="center"/>
                              </w:pPr>
                              <w:r>
                                <w:rPr>
                                  <w:rFonts w:hint="eastAsia"/>
                                </w:rPr>
                                <w:t>锆中矿堆场</w:t>
                              </w:r>
                            </w:p>
                          </w:txbxContent>
                        </wps:txbx>
                        <wps:bodyPr rot="0" vert="horz" wrap="square" lIns="91440" tIns="45720" rIns="91440" bIns="45720" anchor="t" anchorCtr="0" upright="1">
                          <a:noAutofit/>
                        </wps:bodyPr>
                      </wps:wsp>
                      <wps:wsp>
                        <wps:cNvPr id="1616903571" name="矩形 17"/>
                        <wps:cNvSpPr>
                          <a:spLocks noChangeArrowheads="1"/>
                        </wps:cNvSpPr>
                        <wps:spPr bwMode="auto">
                          <a:xfrm>
                            <a:off x="2042795" y="8003149"/>
                            <a:ext cx="941070" cy="280035"/>
                          </a:xfrm>
                          <a:prstGeom prst="rect">
                            <a:avLst/>
                          </a:prstGeom>
                          <a:solidFill>
                            <a:srgbClr val="FFFFFF"/>
                          </a:solidFill>
                          <a:ln w="9525" cmpd="sng">
                            <a:solidFill>
                              <a:srgbClr val="000000"/>
                            </a:solidFill>
                            <a:miter lim="800000"/>
                          </a:ln>
                          <a:effectLst/>
                        </wps:spPr>
                        <wps:txbx>
                          <w:txbxContent>
                            <w:p w14:paraId="38896974">
                              <w:pPr>
                                <w:spacing w:after="0" w:line="240" w:lineRule="auto"/>
                                <w:jc w:val="center"/>
                              </w:pPr>
                              <w:r>
                                <w:rPr>
                                  <w:rFonts w:hint="eastAsia"/>
                                </w:rPr>
                                <w:t>产品外运</w:t>
                              </w:r>
                            </w:p>
                          </w:txbxContent>
                        </wps:txbx>
                        <wps:bodyPr rot="0" vert="horz" wrap="square" lIns="91440" tIns="45720" rIns="91440" bIns="45720" anchor="t" anchorCtr="0" upright="1">
                          <a:noAutofit/>
                        </wps:bodyPr>
                      </wps:wsp>
                      <wps:wsp>
                        <wps:cNvPr id="830901864" name="自选图形 25"/>
                        <wps:cNvCnPr>
                          <a:cxnSpLocks noChangeShapeType="1"/>
                        </wps:cNvCnPr>
                        <wps:spPr bwMode="auto">
                          <a:xfrm rot="5400000">
                            <a:off x="1770380" y="5588879"/>
                            <a:ext cx="485775" cy="988695"/>
                          </a:xfrm>
                          <a:prstGeom prst="bentConnector3">
                            <a:avLst>
                              <a:gd name="adj1" fmla="val 50065"/>
                            </a:avLst>
                          </a:prstGeom>
                          <a:noFill/>
                          <a:ln w="9525" cmpd="sng">
                            <a:solidFill>
                              <a:srgbClr val="000000"/>
                            </a:solidFill>
                            <a:miter lim="800000"/>
                            <a:tailEnd type="arrow" w="med" len="med"/>
                          </a:ln>
                          <a:effectLst/>
                        </wps:spPr>
                        <wps:bodyPr/>
                      </wps:wsp>
                      <wps:wsp>
                        <wps:cNvPr id="139914193" name="自选图形 26"/>
                        <wps:cNvCnPr>
                          <a:cxnSpLocks noChangeShapeType="1"/>
                        </wps:cNvCnPr>
                        <wps:spPr bwMode="auto">
                          <a:xfrm rot="5400000" flipV="1">
                            <a:off x="2726055" y="5621899"/>
                            <a:ext cx="485775" cy="922655"/>
                          </a:xfrm>
                          <a:prstGeom prst="bentConnector3">
                            <a:avLst>
                              <a:gd name="adj1" fmla="val 50065"/>
                            </a:avLst>
                          </a:prstGeom>
                          <a:noFill/>
                          <a:ln w="9525" cmpd="sng">
                            <a:solidFill>
                              <a:srgbClr val="000000"/>
                            </a:solidFill>
                            <a:miter lim="800000"/>
                            <a:tailEnd type="arrow" w="med" len="med"/>
                          </a:ln>
                          <a:effectLst/>
                        </wps:spPr>
                        <wps:bodyPr/>
                      </wps:wsp>
                      <wps:wsp>
                        <wps:cNvPr id="862895811" name="自选图形 28"/>
                        <wps:cNvCnPr>
                          <a:cxnSpLocks noChangeShapeType="1"/>
                        </wps:cNvCnPr>
                        <wps:spPr bwMode="auto">
                          <a:xfrm rot="16200000" flipH="1">
                            <a:off x="1815465" y="6851576"/>
                            <a:ext cx="394970" cy="998855"/>
                          </a:xfrm>
                          <a:prstGeom prst="bentConnector3">
                            <a:avLst>
                              <a:gd name="adj1" fmla="val 50000"/>
                            </a:avLst>
                          </a:prstGeom>
                          <a:noFill/>
                          <a:ln w="9525" cmpd="sng">
                            <a:solidFill>
                              <a:srgbClr val="000000"/>
                            </a:solidFill>
                            <a:miter lim="800000"/>
                            <a:tailEnd type="arrow" w="med" len="med"/>
                          </a:ln>
                          <a:effectLst/>
                        </wps:spPr>
                        <wps:bodyPr/>
                      </wps:wsp>
                      <wps:wsp>
                        <wps:cNvPr id="1656012138" name="自选图形 29"/>
                        <wps:cNvCnPr>
                          <a:cxnSpLocks noChangeShapeType="1"/>
                        </wps:cNvCnPr>
                        <wps:spPr bwMode="auto">
                          <a:xfrm rot="5400000">
                            <a:off x="2777173" y="6891582"/>
                            <a:ext cx="392430" cy="921385"/>
                          </a:xfrm>
                          <a:prstGeom prst="bentConnector3">
                            <a:avLst>
                              <a:gd name="adj1" fmla="val 49919"/>
                            </a:avLst>
                          </a:prstGeom>
                          <a:noFill/>
                          <a:ln w="9525" cmpd="sng">
                            <a:solidFill>
                              <a:srgbClr val="000000"/>
                            </a:solidFill>
                            <a:miter lim="800000"/>
                            <a:tailEnd type="arrow" w="med" len="med"/>
                          </a:ln>
                          <a:effectLst/>
                        </wps:spPr>
                        <wps:bodyPr/>
                      </wps:wsp>
                      <wps:wsp>
                        <wps:cNvPr id="680259496" name="矩形 33"/>
                        <wps:cNvSpPr>
                          <a:spLocks noChangeArrowheads="1"/>
                        </wps:cNvSpPr>
                        <wps:spPr bwMode="auto">
                          <a:xfrm>
                            <a:off x="1001395" y="5821924"/>
                            <a:ext cx="1071880" cy="292735"/>
                          </a:xfrm>
                          <a:prstGeom prst="rect">
                            <a:avLst/>
                          </a:prstGeom>
                          <a:noFill/>
                          <a:ln>
                            <a:noFill/>
                          </a:ln>
                          <a:effectLst/>
                        </wps:spPr>
                        <wps:txbx>
                          <w:txbxContent>
                            <w:p w14:paraId="1D97E308">
                              <w:pPr>
                                <w:spacing w:after="0" w:line="240" w:lineRule="auto"/>
                                <w:jc w:val="center"/>
                              </w:pPr>
                              <w:r>
                                <w:rPr>
                                  <w:rFonts w:hint="eastAsia"/>
                                </w:rPr>
                                <w:t>钛铁精矿</w:t>
                              </w:r>
                            </w:p>
                          </w:txbxContent>
                        </wps:txbx>
                        <wps:bodyPr rot="0" vert="horz" wrap="square" lIns="91440" tIns="45720" rIns="91440" bIns="45720" anchor="t" anchorCtr="0" upright="1">
                          <a:noAutofit/>
                        </wps:bodyPr>
                      </wps:wsp>
                      <wps:wsp>
                        <wps:cNvPr id="1327074170" name="矩形 34"/>
                        <wps:cNvSpPr>
                          <a:spLocks noChangeArrowheads="1"/>
                        </wps:cNvSpPr>
                        <wps:spPr bwMode="auto">
                          <a:xfrm>
                            <a:off x="2895600" y="5816844"/>
                            <a:ext cx="1068070" cy="292735"/>
                          </a:xfrm>
                          <a:prstGeom prst="rect">
                            <a:avLst/>
                          </a:prstGeom>
                          <a:noFill/>
                          <a:ln>
                            <a:noFill/>
                          </a:ln>
                          <a:effectLst/>
                        </wps:spPr>
                        <wps:txbx>
                          <w:txbxContent>
                            <w:p w14:paraId="3F6E58DF">
                              <w:pPr>
                                <w:spacing w:after="0" w:line="240" w:lineRule="auto"/>
                                <w:jc w:val="center"/>
                              </w:pPr>
                              <w:r>
                                <w:rPr>
                                  <w:rFonts w:hint="eastAsia"/>
                                </w:rPr>
                                <w:t>锆中矿</w:t>
                              </w:r>
                            </w:p>
                          </w:txbxContent>
                        </wps:txbx>
                        <wps:bodyPr rot="0" vert="horz" wrap="square" lIns="91440" tIns="45720" rIns="91440" bIns="45720" anchor="t" anchorCtr="0" upright="1">
                          <a:noAutofit/>
                        </wps:bodyPr>
                      </wps:wsp>
                      <wps:wsp>
                        <wps:cNvPr id="1142690372" name="自选图形 40"/>
                        <wps:cNvCnPr>
                          <a:cxnSpLocks noChangeShapeType="1"/>
                        </wps:cNvCnPr>
                        <wps:spPr bwMode="auto">
                          <a:xfrm flipV="1">
                            <a:off x="3783965" y="6123549"/>
                            <a:ext cx="345440" cy="212090"/>
                          </a:xfrm>
                          <a:prstGeom prst="curvedConnector3">
                            <a:avLst>
                              <a:gd name="adj1" fmla="val 50184"/>
                            </a:avLst>
                          </a:prstGeom>
                          <a:noFill/>
                          <a:ln w="9525" cmpd="sng">
                            <a:solidFill>
                              <a:srgbClr val="000000"/>
                            </a:solidFill>
                            <a:prstDash val="dash"/>
                            <a:miter lim="800000"/>
                            <a:tailEnd type="arrow" w="med" len="med"/>
                          </a:ln>
                          <a:effectLst/>
                        </wps:spPr>
                        <wps:bodyPr/>
                      </wps:wsp>
                      <wps:wsp>
                        <wps:cNvPr id="701968307" name="自选图形 42"/>
                        <wps:cNvCnPr>
                          <a:cxnSpLocks noChangeShapeType="1"/>
                        </wps:cNvCnPr>
                        <wps:spPr bwMode="auto">
                          <a:xfrm flipV="1">
                            <a:off x="2990215" y="5553319"/>
                            <a:ext cx="396240" cy="125095"/>
                          </a:xfrm>
                          <a:prstGeom prst="curvedConnector3">
                            <a:avLst>
                              <a:gd name="adj1" fmla="val 50160"/>
                            </a:avLst>
                          </a:prstGeom>
                          <a:noFill/>
                          <a:ln w="9525" cmpd="sng">
                            <a:solidFill>
                              <a:srgbClr val="000000"/>
                            </a:solidFill>
                            <a:prstDash val="dash"/>
                            <a:miter lim="800000"/>
                            <a:tailEnd type="arrow" w="med" len="med"/>
                          </a:ln>
                          <a:effectLst/>
                        </wps:spPr>
                        <wps:bodyPr/>
                      </wps:wsp>
                      <wps:wsp>
                        <wps:cNvPr id="1325661161" name="矩形 43"/>
                        <wps:cNvSpPr>
                          <a:spLocks noChangeArrowheads="1"/>
                        </wps:cNvSpPr>
                        <wps:spPr bwMode="auto">
                          <a:xfrm>
                            <a:off x="3733800" y="5879709"/>
                            <a:ext cx="1549400" cy="346075"/>
                          </a:xfrm>
                          <a:prstGeom prst="rect">
                            <a:avLst/>
                          </a:prstGeom>
                          <a:noFill/>
                          <a:ln>
                            <a:noFill/>
                          </a:ln>
                          <a:effectLst/>
                        </wps:spPr>
                        <wps:txbx>
                          <w:txbxContent>
                            <w:p w14:paraId="456A4BF9">
                              <w:pPr>
                                <w:spacing w:after="0" w:line="240" w:lineRule="auto"/>
                                <w:jc w:val="center"/>
                              </w:pPr>
                              <w:r>
                                <w:rPr>
                                  <w:rFonts w:hint="eastAsia"/>
                                </w:rPr>
                                <w:t>放射性粉尘、氡、γ</w:t>
                              </w:r>
                            </w:p>
                          </w:txbxContent>
                        </wps:txbx>
                        <wps:bodyPr rot="0" vert="horz" wrap="square" lIns="91440" tIns="45720" rIns="91440" bIns="45720" anchor="t" anchorCtr="0" upright="1">
                          <a:noAutofit/>
                        </wps:bodyPr>
                      </wps:wsp>
                      <wps:wsp>
                        <wps:cNvPr id="1325565908" name="自选图形 50"/>
                        <wps:cNvCnPr>
                          <a:cxnSpLocks noChangeShapeType="1"/>
                        </wps:cNvCnPr>
                        <wps:spPr bwMode="auto">
                          <a:xfrm flipV="1">
                            <a:off x="2991485" y="8041249"/>
                            <a:ext cx="337820" cy="87630"/>
                          </a:xfrm>
                          <a:prstGeom prst="curvedConnector3">
                            <a:avLst>
                              <a:gd name="adj1" fmla="val 50188"/>
                            </a:avLst>
                          </a:prstGeom>
                          <a:noFill/>
                          <a:ln w="9525" cmpd="sng">
                            <a:solidFill>
                              <a:srgbClr val="000000"/>
                            </a:solidFill>
                            <a:prstDash val="dash"/>
                            <a:miter lim="800000"/>
                            <a:tailEnd type="arrow" w="med" len="med"/>
                          </a:ln>
                          <a:effectLst/>
                        </wps:spPr>
                        <wps:bodyPr/>
                      </wps:wsp>
                      <wps:wsp>
                        <wps:cNvPr id="1711399824" name="矩形 51"/>
                        <wps:cNvSpPr>
                          <a:spLocks noChangeArrowheads="1"/>
                        </wps:cNvSpPr>
                        <wps:spPr bwMode="auto">
                          <a:xfrm>
                            <a:off x="3319145" y="7932029"/>
                            <a:ext cx="1462404" cy="322580"/>
                          </a:xfrm>
                          <a:prstGeom prst="rect">
                            <a:avLst/>
                          </a:prstGeom>
                          <a:noFill/>
                          <a:ln>
                            <a:noFill/>
                          </a:ln>
                          <a:effectLst/>
                        </wps:spPr>
                        <wps:txbx>
                          <w:txbxContent>
                            <w:p w14:paraId="5AE336FE">
                              <w:pPr>
                                <w:spacing w:after="0" w:line="240" w:lineRule="auto"/>
                                <w:jc w:val="center"/>
                              </w:pPr>
                              <w:r>
                                <w:rPr>
                                  <w:rFonts w:hint="eastAsia"/>
                                </w:rPr>
                                <w:t>放射性粉尘、氡、γ尘</w:t>
                              </w:r>
                            </w:p>
                          </w:txbxContent>
                        </wps:txbx>
                        <wps:bodyPr rot="0" vert="horz" wrap="square" lIns="91440" tIns="45720" rIns="91440" bIns="45720" anchor="t" anchorCtr="0" upright="1">
                          <a:noAutofit/>
                        </wps:bodyPr>
                      </wps:wsp>
                      <wps:wsp>
                        <wps:cNvPr id="37487250" name="矩形 15"/>
                        <wps:cNvSpPr>
                          <a:spLocks noChangeArrowheads="1"/>
                        </wps:cNvSpPr>
                        <wps:spPr bwMode="auto">
                          <a:xfrm>
                            <a:off x="2037080" y="7548489"/>
                            <a:ext cx="950595" cy="290830"/>
                          </a:xfrm>
                          <a:prstGeom prst="rect">
                            <a:avLst/>
                          </a:prstGeom>
                          <a:solidFill>
                            <a:srgbClr val="FFFFFF"/>
                          </a:solidFill>
                          <a:ln w="9525" cmpd="sng">
                            <a:solidFill>
                              <a:srgbClr val="000000"/>
                            </a:solidFill>
                            <a:miter lim="800000"/>
                          </a:ln>
                          <a:effectLst/>
                        </wps:spPr>
                        <wps:txbx>
                          <w:txbxContent>
                            <w:p w14:paraId="6F9E1D11">
                              <w:pPr>
                                <w:spacing w:after="0" w:line="240" w:lineRule="auto"/>
                                <w:jc w:val="center"/>
                              </w:pPr>
                              <w:r>
                                <w:rPr>
                                  <w:rFonts w:hint="eastAsia"/>
                                </w:rPr>
                                <w:t>产品装车</w:t>
                              </w:r>
                            </w:p>
                          </w:txbxContent>
                        </wps:txbx>
                        <wps:bodyPr rot="0" vert="horz" wrap="square" lIns="91440" tIns="45720" rIns="91440" bIns="45720" anchor="t" anchorCtr="0" upright="1">
                          <a:noAutofit/>
                        </wps:bodyPr>
                      </wps:wsp>
                      <wps:wsp>
                        <wps:cNvPr id="1097340768" name="矩形 15"/>
                        <wps:cNvSpPr>
                          <a:spLocks noChangeArrowheads="1"/>
                        </wps:cNvSpPr>
                        <wps:spPr bwMode="auto">
                          <a:xfrm>
                            <a:off x="1043305" y="6326114"/>
                            <a:ext cx="950595" cy="290830"/>
                          </a:xfrm>
                          <a:prstGeom prst="rect">
                            <a:avLst/>
                          </a:prstGeom>
                          <a:solidFill>
                            <a:srgbClr val="FFFFFF"/>
                          </a:solidFill>
                          <a:ln w="9525" cmpd="sng">
                            <a:solidFill>
                              <a:srgbClr val="000000"/>
                            </a:solidFill>
                            <a:miter lim="800000"/>
                          </a:ln>
                          <a:effectLst/>
                        </wps:spPr>
                        <wps:txbx>
                          <w:txbxContent>
                            <w:p w14:paraId="40283B36">
                              <w:pPr>
                                <w:spacing w:after="0" w:line="240" w:lineRule="auto"/>
                                <w:jc w:val="center"/>
                              </w:pPr>
                              <w:r>
                                <w:rPr>
                                  <w:rFonts w:hint="eastAsia"/>
                                </w:rPr>
                                <w:t>精矿移堆</w:t>
                              </w:r>
                            </w:p>
                          </w:txbxContent>
                        </wps:txbx>
                        <wps:bodyPr rot="0" vert="horz" wrap="square" lIns="91440" tIns="45720" rIns="91440" bIns="45720" anchor="t" anchorCtr="0" upright="1">
                          <a:noAutofit/>
                        </wps:bodyPr>
                      </wps:wsp>
                      <wps:wsp>
                        <wps:cNvPr id="292496862" name="矩形 15"/>
                        <wps:cNvSpPr>
                          <a:spLocks noChangeArrowheads="1"/>
                        </wps:cNvSpPr>
                        <wps:spPr bwMode="auto">
                          <a:xfrm>
                            <a:off x="2954655" y="6326114"/>
                            <a:ext cx="950595" cy="290830"/>
                          </a:xfrm>
                          <a:prstGeom prst="rect">
                            <a:avLst/>
                          </a:prstGeom>
                          <a:solidFill>
                            <a:srgbClr val="FFFFFF"/>
                          </a:solidFill>
                          <a:ln w="9525" cmpd="sng">
                            <a:solidFill>
                              <a:srgbClr val="000000"/>
                            </a:solidFill>
                            <a:miter lim="800000"/>
                          </a:ln>
                          <a:effectLst/>
                        </wps:spPr>
                        <wps:txbx>
                          <w:txbxContent>
                            <w:p w14:paraId="22EAB99B">
                              <w:pPr>
                                <w:spacing w:after="0" w:line="240" w:lineRule="auto"/>
                                <w:jc w:val="center"/>
                              </w:pPr>
                              <w:r>
                                <w:rPr>
                                  <w:rFonts w:hint="eastAsia"/>
                                </w:rPr>
                                <w:t>中矿移堆</w:t>
                              </w:r>
                            </w:p>
                          </w:txbxContent>
                        </wps:txbx>
                        <wps:bodyPr rot="0" vert="horz" wrap="square" lIns="91440" tIns="45720" rIns="91440" bIns="45720" anchor="t" anchorCtr="0" upright="1">
                          <a:noAutofit/>
                        </wps:bodyPr>
                      </wps:wsp>
                      <wps:wsp>
                        <wps:cNvPr id="718560808" name="直接箭头连接符 718560808"/>
                        <wps:cNvCnPr/>
                        <wps:spPr>
                          <a:xfrm flipH="1">
                            <a:off x="1513840" y="6616944"/>
                            <a:ext cx="5080" cy="24574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214133109" name="直接箭头连接符 1214133109"/>
                        <wps:cNvCnPr/>
                        <wps:spPr>
                          <a:xfrm>
                            <a:off x="3430270" y="6616944"/>
                            <a:ext cx="3810" cy="24701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782232059" name="矩形 14"/>
                        <wps:cNvSpPr>
                          <a:spLocks noChangeArrowheads="1"/>
                        </wps:cNvSpPr>
                        <wps:spPr bwMode="auto">
                          <a:xfrm>
                            <a:off x="2027555" y="5011664"/>
                            <a:ext cx="951865" cy="291465"/>
                          </a:xfrm>
                          <a:prstGeom prst="rect">
                            <a:avLst/>
                          </a:prstGeom>
                          <a:solidFill>
                            <a:srgbClr val="FFFFFF"/>
                          </a:solidFill>
                          <a:ln w="25400" cmpd="sng">
                            <a:solidFill>
                              <a:srgbClr val="000000"/>
                            </a:solidFill>
                            <a:miter lim="800000"/>
                          </a:ln>
                          <a:effectLst/>
                        </wps:spPr>
                        <wps:txbx>
                          <w:txbxContent>
                            <w:p w14:paraId="08CD649E">
                              <w:pPr>
                                <w:spacing w:after="0" w:line="240" w:lineRule="auto"/>
                                <w:jc w:val="center"/>
                              </w:pPr>
                              <w:r>
                                <w:rPr>
                                  <w:rFonts w:hint="eastAsia"/>
                                </w:rPr>
                                <w:t>磁选</w:t>
                              </w:r>
                            </w:p>
                          </w:txbxContent>
                        </wps:txbx>
                        <wps:bodyPr rot="0" vert="horz" wrap="square" lIns="91440" tIns="45720" rIns="91440" bIns="45720" anchor="t" anchorCtr="0" upright="1">
                          <a:noAutofit/>
                        </wps:bodyPr>
                      </wps:wsp>
                      <wps:wsp>
                        <wps:cNvPr id="96674874" name="矩形 14"/>
                        <wps:cNvSpPr>
                          <a:spLocks noChangeArrowheads="1"/>
                        </wps:cNvSpPr>
                        <wps:spPr bwMode="auto">
                          <a:xfrm>
                            <a:off x="2027555" y="4510014"/>
                            <a:ext cx="951865" cy="291465"/>
                          </a:xfrm>
                          <a:prstGeom prst="rect">
                            <a:avLst/>
                          </a:prstGeom>
                          <a:solidFill>
                            <a:srgbClr val="FFFFFF"/>
                          </a:solidFill>
                          <a:ln w="9525" cmpd="sng">
                            <a:solidFill>
                              <a:srgbClr val="000000"/>
                            </a:solidFill>
                            <a:miter lim="800000"/>
                          </a:ln>
                          <a:effectLst/>
                        </wps:spPr>
                        <wps:txbx>
                          <w:txbxContent>
                            <w:p w14:paraId="0563AB0F">
                              <w:pPr>
                                <w:spacing w:after="0" w:line="240" w:lineRule="auto"/>
                                <w:jc w:val="center"/>
                              </w:pPr>
                              <w:r>
                                <w:rPr>
                                  <w:rFonts w:hint="eastAsia"/>
                                </w:rPr>
                                <w:t>磁选机上料</w:t>
                              </w:r>
                            </w:p>
                          </w:txbxContent>
                        </wps:txbx>
                        <wps:bodyPr rot="0" vert="horz" wrap="square" lIns="91440" tIns="45720" rIns="91440" bIns="45720" anchor="t" anchorCtr="0" upright="1">
                          <a:noAutofit/>
                        </wps:bodyPr>
                      </wps:wsp>
                      <wps:wsp>
                        <wps:cNvPr id="343987447" name="矩形 14"/>
                        <wps:cNvSpPr>
                          <a:spLocks noChangeArrowheads="1"/>
                        </wps:cNvSpPr>
                        <wps:spPr bwMode="auto">
                          <a:xfrm>
                            <a:off x="2027555" y="3995664"/>
                            <a:ext cx="951865" cy="291465"/>
                          </a:xfrm>
                          <a:prstGeom prst="rect">
                            <a:avLst/>
                          </a:prstGeom>
                          <a:solidFill>
                            <a:srgbClr val="FFFFFF"/>
                          </a:solidFill>
                          <a:ln w="9525" cmpd="sng">
                            <a:solidFill>
                              <a:srgbClr val="000000"/>
                            </a:solidFill>
                            <a:miter lim="800000"/>
                          </a:ln>
                          <a:effectLst/>
                        </wps:spPr>
                        <wps:txbx>
                          <w:txbxContent>
                            <w:p w14:paraId="0EDF0DB1">
                              <w:pPr>
                                <w:spacing w:after="0" w:line="240" w:lineRule="auto"/>
                                <w:jc w:val="center"/>
                              </w:pPr>
                              <w:r>
                                <w:rPr>
                                  <w:rFonts w:hint="eastAsia"/>
                                </w:rPr>
                                <w:t>铲车转运</w:t>
                              </w:r>
                            </w:p>
                          </w:txbxContent>
                        </wps:txbx>
                        <wps:bodyPr rot="0" vert="horz" wrap="square" lIns="91440" tIns="45720" rIns="91440" bIns="45720" anchor="t" anchorCtr="0" upright="1">
                          <a:noAutofit/>
                        </wps:bodyPr>
                      </wps:wsp>
                      <wps:wsp>
                        <wps:cNvPr id="136933471" name="矩形 14"/>
                        <wps:cNvSpPr>
                          <a:spLocks noChangeArrowheads="1"/>
                        </wps:cNvSpPr>
                        <wps:spPr bwMode="auto">
                          <a:xfrm>
                            <a:off x="2033905" y="3030464"/>
                            <a:ext cx="951865" cy="291465"/>
                          </a:xfrm>
                          <a:prstGeom prst="rect">
                            <a:avLst/>
                          </a:prstGeom>
                          <a:solidFill>
                            <a:srgbClr val="FFFFFF"/>
                          </a:solidFill>
                          <a:ln w="9525" cmpd="sng">
                            <a:solidFill>
                              <a:srgbClr val="000000"/>
                            </a:solidFill>
                            <a:miter lim="800000"/>
                          </a:ln>
                          <a:effectLst/>
                        </wps:spPr>
                        <wps:txbx>
                          <w:txbxContent>
                            <w:p w14:paraId="5A5ACE47">
                              <w:pPr>
                                <w:spacing w:after="0" w:line="240" w:lineRule="auto"/>
                                <w:jc w:val="center"/>
                              </w:pPr>
                              <w:r>
                                <w:rPr>
                                  <w:rFonts w:hint="eastAsia"/>
                                </w:rPr>
                                <w:t>干毛矿移堆</w:t>
                              </w:r>
                            </w:p>
                          </w:txbxContent>
                        </wps:txbx>
                        <wps:bodyPr rot="0" vert="horz" wrap="square" lIns="91440" tIns="45720" rIns="91440" bIns="45720" anchor="t" anchorCtr="0" upright="1">
                          <a:noAutofit/>
                        </wps:bodyPr>
                      </wps:wsp>
                      <wps:wsp>
                        <wps:cNvPr id="453078952" name="矩形 14"/>
                        <wps:cNvSpPr>
                          <a:spLocks noChangeArrowheads="1"/>
                        </wps:cNvSpPr>
                        <wps:spPr bwMode="auto">
                          <a:xfrm>
                            <a:off x="2033905" y="2528814"/>
                            <a:ext cx="951865" cy="291465"/>
                          </a:xfrm>
                          <a:prstGeom prst="rect">
                            <a:avLst/>
                          </a:prstGeom>
                          <a:solidFill>
                            <a:srgbClr val="FFFFFF"/>
                          </a:solidFill>
                          <a:ln w="9525" cmpd="sng">
                            <a:solidFill>
                              <a:srgbClr val="000000"/>
                            </a:solidFill>
                            <a:miter lim="800000"/>
                          </a:ln>
                          <a:effectLst/>
                        </wps:spPr>
                        <wps:txbx>
                          <w:txbxContent>
                            <w:p w14:paraId="2077332B">
                              <w:pPr>
                                <w:spacing w:after="0" w:line="240" w:lineRule="auto"/>
                                <w:jc w:val="center"/>
                              </w:pPr>
                              <w:r>
                                <w:rPr>
                                  <w:rFonts w:hint="eastAsia"/>
                                </w:rPr>
                                <w:t>烘干机出料</w:t>
                              </w:r>
                            </w:p>
                          </w:txbxContent>
                        </wps:txbx>
                        <wps:bodyPr rot="0" vert="horz" wrap="square" lIns="91440" tIns="45720" rIns="91440" bIns="45720" anchor="t" anchorCtr="0" upright="1">
                          <a:noAutofit/>
                        </wps:bodyPr>
                      </wps:wsp>
                      <wps:wsp>
                        <wps:cNvPr id="1501515740" name="矩形 1501515740"/>
                        <wps:cNvSpPr>
                          <a:spLocks noChangeArrowheads="1"/>
                        </wps:cNvSpPr>
                        <wps:spPr bwMode="auto">
                          <a:xfrm>
                            <a:off x="2027555" y="1493764"/>
                            <a:ext cx="951865" cy="291465"/>
                          </a:xfrm>
                          <a:prstGeom prst="rect">
                            <a:avLst/>
                          </a:prstGeom>
                          <a:solidFill>
                            <a:srgbClr val="FFFFFF"/>
                          </a:solidFill>
                          <a:ln w="9525" cmpd="sng">
                            <a:solidFill>
                              <a:srgbClr val="000000"/>
                            </a:solidFill>
                            <a:miter lim="800000"/>
                          </a:ln>
                          <a:effectLst/>
                        </wps:spPr>
                        <wps:txbx>
                          <w:txbxContent>
                            <w:p w14:paraId="5492E350">
                              <w:pPr>
                                <w:spacing w:after="0" w:line="240" w:lineRule="auto"/>
                                <w:jc w:val="center"/>
                              </w:pPr>
                              <w:r>
                                <w:rPr>
                                  <w:rFonts w:hint="eastAsia"/>
                                </w:rPr>
                                <w:t>烘干机上料</w:t>
                              </w:r>
                            </w:p>
                          </w:txbxContent>
                        </wps:txbx>
                        <wps:bodyPr rot="0" vert="horz" wrap="square" lIns="91440" tIns="45720" rIns="91440" bIns="45720" anchor="t" anchorCtr="0" upright="1">
                          <a:noAutofit/>
                        </wps:bodyPr>
                      </wps:wsp>
                      <wps:wsp>
                        <wps:cNvPr id="260665966" name="矩形 14"/>
                        <wps:cNvSpPr>
                          <a:spLocks noChangeArrowheads="1"/>
                        </wps:cNvSpPr>
                        <wps:spPr bwMode="auto">
                          <a:xfrm>
                            <a:off x="205105" y="2001764"/>
                            <a:ext cx="951865" cy="291465"/>
                          </a:xfrm>
                          <a:prstGeom prst="rect">
                            <a:avLst/>
                          </a:prstGeom>
                          <a:solidFill>
                            <a:srgbClr val="FFFFFF"/>
                          </a:solidFill>
                          <a:ln w="9525" cmpd="sng">
                            <a:solidFill>
                              <a:srgbClr val="000000"/>
                            </a:solidFill>
                            <a:miter lim="800000"/>
                          </a:ln>
                          <a:effectLst/>
                        </wps:spPr>
                        <wps:txbx>
                          <w:txbxContent>
                            <w:p w14:paraId="59BBFEE4">
                              <w:pPr>
                                <w:spacing w:after="0" w:line="240" w:lineRule="auto"/>
                                <w:jc w:val="center"/>
                              </w:pPr>
                              <w:r>
                                <w:rPr>
                                  <w:rFonts w:hint="eastAsia"/>
                                </w:rPr>
                                <w:t>烘干炉</w:t>
                              </w:r>
                            </w:p>
                          </w:txbxContent>
                        </wps:txbx>
                        <wps:bodyPr rot="0" vert="horz" wrap="square" lIns="91440" tIns="45720" rIns="91440" bIns="45720" anchor="t" anchorCtr="0" upright="1">
                          <a:noAutofit/>
                        </wps:bodyPr>
                      </wps:wsp>
                      <wps:wsp>
                        <wps:cNvPr id="1598623358" name="矩形 1598623358"/>
                        <wps:cNvSpPr>
                          <a:spLocks noChangeArrowheads="1"/>
                        </wps:cNvSpPr>
                        <wps:spPr bwMode="auto">
                          <a:xfrm>
                            <a:off x="2027555" y="39614"/>
                            <a:ext cx="951865" cy="291465"/>
                          </a:xfrm>
                          <a:prstGeom prst="rect">
                            <a:avLst/>
                          </a:prstGeom>
                          <a:solidFill>
                            <a:srgbClr val="FFFFFF"/>
                          </a:solidFill>
                          <a:ln w="9525" cmpd="sng">
                            <a:solidFill>
                              <a:srgbClr val="000000"/>
                            </a:solidFill>
                            <a:miter lim="800000"/>
                          </a:ln>
                          <a:effectLst/>
                        </wps:spPr>
                        <wps:txbx>
                          <w:txbxContent>
                            <w:p w14:paraId="368EB852">
                              <w:pPr>
                                <w:spacing w:after="0" w:line="240" w:lineRule="auto"/>
                                <w:jc w:val="center"/>
                              </w:pPr>
                              <w:r>
                                <w:rPr>
                                  <w:rFonts w:hint="eastAsia"/>
                                </w:rPr>
                                <w:t>拆箱卸料</w:t>
                              </w:r>
                            </w:p>
                          </w:txbxContent>
                        </wps:txbx>
                        <wps:bodyPr rot="0" vert="horz" wrap="square" lIns="91440" tIns="45720" rIns="91440" bIns="45720" anchor="t" anchorCtr="0" upright="1">
                          <a:noAutofit/>
                        </wps:bodyPr>
                      </wps:wsp>
                      <wps:wsp>
                        <wps:cNvPr id="1204398356" name="矩形 14"/>
                        <wps:cNvSpPr>
                          <a:spLocks noChangeArrowheads="1"/>
                        </wps:cNvSpPr>
                        <wps:spPr bwMode="auto">
                          <a:xfrm>
                            <a:off x="2027555" y="985764"/>
                            <a:ext cx="951865" cy="291465"/>
                          </a:xfrm>
                          <a:prstGeom prst="rect">
                            <a:avLst/>
                          </a:prstGeom>
                          <a:solidFill>
                            <a:srgbClr val="FFFFFF"/>
                          </a:solidFill>
                          <a:ln w="9525" cmpd="sng">
                            <a:solidFill>
                              <a:srgbClr val="000000"/>
                            </a:solidFill>
                            <a:miter lim="800000"/>
                          </a:ln>
                          <a:effectLst/>
                        </wps:spPr>
                        <wps:txbx>
                          <w:txbxContent>
                            <w:p w14:paraId="28EC51D8">
                              <w:pPr>
                                <w:spacing w:after="0" w:line="240" w:lineRule="auto"/>
                                <w:jc w:val="center"/>
                              </w:pPr>
                              <w:r>
                                <w:rPr>
                                  <w:rFonts w:hint="eastAsia"/>
                                </w:rPr>
                                <w:t>铲车转运</w:t>
                              </w:r>
                            </w:p>
                          </w:txbxContent>
                        </wps:txbx>
                        <wps:bodyPr rot="0" vert="horz" wrap="square" lIns="91440" tIns="45720" rIns="91440" bIns="45720" anchor="t" anchorCtr="0" upright="1">
                          <a:noAutofit/>
                        </wps:bodyPr>
                      </wps:wsp>
                      <wps:wsp>
                        <wps:cNvPr id="1280979667" name="直接箭头连接符 1280979667"/>
                        <wps:cNvCnPr/>
                        <wps:spPr>
                          <a:xfrm>
                            <a:off x="2503805" y="5303129"/>
                            <a:ext cx="3810" cy="24574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617949656" name="直接箭头连接符 1617949656"/>
                        <wps:cNvCnPr/>
                        <wps:spPr>
                          <a:xfrm>
                            <a:off x="2503805" y="4801479"/>
                            <a:ext cx="0" cy="21018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194540019" name="直接箭头连接符 1194540019"/>
                        <wps:cNvCnPr/>
                        <wps:spPr>
                          <a:xfrm>
                            <a:off x="2503805" y="4287129"/>
                            <a:ext cx="0" cy="22288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961189641" name="直接箭头连接符 961189641"/>
                        <wps:cNvCnPr/>
                        <wps:spPr>
                          <a:xfrm flipH="1">
                            <a:off x="2503805" y="3782939"/>
                            <a:ext cx="635" cy="21272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153647718" name="直接箭头连接符 1153647718"/>
                        <wps:cNvCnPr/>
                        <wps:spPr>
                          <a:xfrm flipH="1">
                            <a:off x="2504440" y="3321929"/>
                            <a:ext cx="5715" cy="16891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2100689743" name="直接箭头连接符 2100689743"/>
                        <wps:cNvCnPr/>
                        <wps:spPr>
                          <a:xfrm>
                            <a:off x="2510155" y="2820279"/>
                            <a:ext cx="0" cy="21018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266259848" name="直接箭头连接符 266259848"/>
                        <wps:cNvCnPr/>
                        <wps:spPr>
                          <a:xfrm>
                            <a:off x="2509520" y="2292594"/>
                            <a:ext cx="635" cy="23622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84897141" name="直接箭头连接符 184897141"/>
                        <wps:cNvCnPr/>
                        <wps:spPr>
                          <a:xfrm>
                            <a:off x="2503805" y="1785229"/>
                            <a:ext cx="5715" cy="21463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981383471" name="直接箭头连接符 981383471"/>
                        <wps:cNvCnPr/>
                        <wps:spPr>
                          <a:xfrm>
                            <a:off x="2503805" y="1277229"/>
                            <a:ext cx="0" cy="21653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701578842" name="直接箭头连接符 1701578842"/>
                        <wps:cNvCnPr/>
                        <wps:spPr>
                          <a:xfrm flipH="1">
                            <a:off x="2503805" y="783834"/>
                            <a:ext cx="5080" cy="20193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080762008" name="直接箭头连接符 1080762008"/>
                        <wps:cNvCnPr/>
                        <wps:spPr>
                          <a:xfrm>
                            <a:off x="2503805" y="331079"/>
                            <a:ext cx="5080" cy="16129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564203823" name="直接箭头连接符 1564203823"/>
                        <wps:cNvCnPr/>
                        <wps:spPr>
                          <a:xfrm flipV="1">
                            <a:off x="1156970" y="2146544"/>
                            <a:ext cx="875665" cy="1270"/>
                          </a:xfrm>
                          <a:prstGeom prst="straightConnector1">
                            <a:avLst/>
                          </a:prstGeom>
                          <a:ln>
                            <a:solidFill>
                              <a:schemeClr val="tx1"/>
                            </a:solidFill>
                            <a:prstDash val="dash"/>
                            <a:tailEnd type="arrow"/>
                          </a:ln>
                        </wps:spPr>
                        <wps:style>
                          <a:lnRef idx="2">
                            <a:schemeClr val="accent1"/>
                          </a:lnRef>
                          <a:fillRef idx="0">
                            <a:srgbClr val="FFFFFF"/>
                          </a:fillRef>
                          <a:effectRef idx="0">
                            <a:srgbClr val="FFFFFF"/>
                          </a:effectRef>
                          <a:fontRef idx="minor">
                            <a:schemeClr val="tx1"/>
                          </a:fontRef>
                        </wps:style>
                        <wps:bodyPr/>
                      </wps:wsp>
                      <wps:wsp>
                        <wps:cNvPr id="744920657" name="直接箭头连接符 744920657"/>
                        <wps:cNvCnPr/>
                        <wps:spPr>
                          <a:xfrm>
                            <a:off x="2512695" y="7839319"/>
                            <a:ext cx="635" cy="16383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308217463" name="直接箭头连接符 1308217463"/>
                        <wps:cNvCnPr/>
                        <wps:spPr>
                          <a:xfrm>
                            <a:off x="1169670" y="185664"/>
                            <a:ext cx="857885" cy="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414089961" name="矩形 14"/>
                        <wps:cNvSpPr>
                          <a:spLocks noChangeArrowheads="1"/>
                        </wps:cNvSpPr>
                        <wps:spPr bwMode="auto">
                          <a:xfrm>
                            <a:off x="217805" y="39614"/>
                            <a:ext cx="951865" cy="291465"/>
                          </a:xfrm>
                          <a:prstGeom prst="rect">
                            <a:avLst/>
                          </a:prstGeom>
                          <a:solidFill>
                            <a:srgbClr val="FFFFFF"/>
                          </a:solidFill>
                          <a:ln w="9525" cmpd="sng">
                            <a:solidFill>
                              <a:srgbClr val="000000"/>
                            </a:solidFill>
                            <a:miter lim="800000"/>
                          </a:ln>
                          <a:effectLst/>
                        </wps:spPr>
                        <wps:txbx>
                          <w:txbxContent>
                            <w:p w14:paraId="384B8397">
                              <w:pPr>
                                <w:spacing w:after="0" w:line="240" w:lineRule="auto"/>
                                <w:jc w:val="center"/>
                              </w:pPr>
                              <w:r>
                                <w:rPr>
                                  <w:rFonts w:hint="eastAsia"/>
                                </w:rPr>
                                <w:t>原料进场</w:t>
                              </w:r>
                            </w:p>
                          </w:txbxContent>
                        </wps:txbx>
                        <wps:bodyPr rot="0" vert="horz" wrap="square" lIns="91440" tIns="45720" rIns="91440" bIns="45720" anchor="t" anchorCtr="0" upright="1">
                          <a:noAutofit/>
                        </wps:bodyPr>
                      </wps:wsp>
                      <wps:wsp>
                        <wps:cNvPr id="1801051482" name="矩形 34"/>
                        <wps:cNvSpPr>
                          <a:spLocks noChangeArrowheads="1"/>
                        </wps:cNvSpPr>
                        <wps:spPr bwMode="auto">
                          <a:xfrm>
                            <a:off x="141605" y="2617714"/>
                            <a:ext cx="1068070" cy="292735"/>
                          </a:xfrm>
                          <a:prstGeom prst="rect">
                            <a:avLst/>
                          </a:prstGeom>
                          <a:noFill/>
                          <a:ln>
                            <a:noFill/>
                          </a:ln>
                          <a:effectLst/>
                        </wps:spPr>
                        <wps:txbx>
                          <w:txbxContent>
                            <w:p w14:paraId="68226E1F">
                              <w:pPr>
                                <w:spacing w:after="0" w:line="240" w:lineRule="auto"/>
                                <w:jc w:val="center"/>
                              </w:pPr>
                              <w:r>
                                <w:rPr>
                                  <w:rFonts w:hint="eastAsia"/>
                                </w:rPr>
                                <w:t>生物质燃料</w:t>
                              </w:r>
                            </w:p>
                          </w:txbxContent>
                        </wps:txbx>
                        <wps:bodyPr rot="0" vert="horz" wrap="square" lIns="91440" tIns="45720" rIns="91440" bIns="45720" anchor="t" anchorCtr="0" upright="1">
                          <a:noAutofit/>
                        </wps:bodyPr>
                      </wps:wsp>
                      <wps:wsp>
                        <wps:cNvPr id="1210789733" name="直接箭头连接符 1210789733"/>
                        <wps:cNvCnPr/>
                        <wps:spPr>
                          <a:xfrm flipV="1">
                            <a:off x="675640" y="2293229"/>
                            <a:ext cx="5715" cy="32448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374455651" name="矩形 38"/>
                        <wps:cNvSpPr>
                          <a:spLocks noChangeArrowheads="1"/>
                        </wps:cNvSpPr>
                        <wps:spPr bwMode="auto">
                          <a:xfrm>
                            <a:off x="1195705" y="1843014"/>
                            <a:ext cx="716280" cy="291465"/>
                          </a:xfrm>
                          <a:prstGeom prst="rect">
                            <a:avLst/>
                          </a:prstGeom>
                          <a:noFill/>
                          <a:ln>
                            <a:noFill/>
                          </a:ln>
                          <a:effectLst/>
                        </wps:spPr>
                        <wps:txbx>
                          <w:txbxContent>
                            <w:p w14:paraId="4E9A5D88">
                              <w:pPr>
                                <w:spacing w:after="0" w:line="240" w:lineRule="auto"/>
                                <w:jc w:val="center"/>
                              </w:pPr>
                              <w:r>
                                <w:rPr>
                                  <w:rFonts w:hint="eastAsia"/>
                                </w:rPr>
                                <w:t>干燥烟气</w:t>
                              </w:r>
                            </w:p>
                          </w:txbxContent>
                        </wps:txbx>
                        <wps:bodyPr rot="0" vert="horz" wrap="square" lIns="91440" tIns="45720" rIns="91440" bIns="45720" anchor="t" anchorCtr="0" upright="1">
                          <a:noAutofit/>
                        </wps:bodyPr>
                      </wps:wsp>
                      <wps:wsp>
                        <wps:cNvPr id="1012637223" name="矩形 51"/>
                        <wps:cNvSpPr>
                          <a:spLocks noChangeArrowheads="1"/>
                        </wps:cNvSpPr>
                        <wps:spPr bwMode="auto">
                          <a:xfrm>
                            <a:off x="3284854" y="7507214"/>
                            <a:ext cx="1496695" cy="318770"/>
                          </a:xfrm>
                          <a:prstGeom prst="rect">
                            <a:avLst/>
                          </a:prstGeom>
                          <a:noFill/>
                          <a:ln>
                            <a:noFill/>
                          </a:ln>
                          <a:effectLst/>
                        </wps:spPr>
                        <wps:txbx>
                          <w:txbxContent>
                            <w:p w14:paraId="77A6C0F5">
                              <w:pPr>
                                <w:spacing w:after="0" w:line="240" w:lineRule="auto"/>
                                <w:jc w:val="center"/>
                              </w:pPr>
                              <w:r>
                                <w:rPr>
                                  <w:rFonts w:hint="eastAsia"/>
                                </w:rPr>
                                <w:t>放射性粉尘、氡、γ</w:t>
                              </w:r>
                            </w:p>
                          </w:txbxContent>
                        </wps:txbx>
                        <wps:bodyPr rot="0" vert="horz" wrap="square" lIns="91440" tIns="45720" rIns="91440" bIns="45720" anchor="t" anchorCtr="0" upright="1">
                          <a:noAutofit/>
                        </wps:bodyPr>
                      </wps:wsp>
                      <wps:wsp>
                        <wps:cNvPr id="1683504836" name="矩形 43"/>
                        <wps:cNvSpPr>
                          <a:spLocks noChangeArrowheads="1"/>
                        </wps:cNvSpPr>
                        <wps:spPr bwMode="auto">
                          <a:xfrm>
                            <a:off x="3348355" y="5418064"/>
                            <a:ext cx="1509394" cy="388620"/>
                          </a:xfrm>
                          <a:prstGeom prst="rect">
                            <a:avLst/>
                          </a:prstGeom>
                          <a:noFill/>
                          <a:ln>
                            <a:noFill/>
                          </a:ln>
                          <a:effectLst/>
                        </wps:spPr>
                        <wps:txbx>
                          <w:txbxContent>
                            <w:p w14:paraId="2B42DAB2">
                              <w:pPr>
                                <w:spacing w:after="0" w:line="240" w:lineRule="auto"/>
                              </w:pPr>
                              <w:r>
                                <w:rPr>
                                  <w:rFonts w:hint="eastAsia"/>
                                </w:rPr>
                                <w:t>放射性粉尘、氡、γ</w:t>
                              </w:r>
                            </w:p>
                          </w:txbxContent>
                        </wps:txbx>
                        <wps:bodyPr rot="0" vert="horz" wrap="square" lIns="91440" tIns="45720" rIns="91440" bIns="45720" anchor="t" anchorCtr="0" upright="1">
                          <a:noAutofit/>
                        </wps:bodyPr>
                      </wps:wsp>
                      <wps:wsp>
                        <wps:cNvPr id="297371425" name="自选图形 42"/>
                        <wps:cNvCnPr>
                          <a:cxnSpLocks noChangeShapeType="1"/>
                        </wps:cNvCnPr>
                        <wps:spPr bwMode="auto">
                          <a:xfrm flipV="1">
                            <a:off x="2980055" y="5007219"/>
                            <a:ext cx="396240" cy="125095"/>
                          </a:xfrm>
                          <a:prstGeom prst="curvedConnector3">
                            <a:avLst>
                              <a:gd name="adj1" fmla="val 50160"/>
                            </a:avLst>
                          </a:prstGeom>
                          <a:noFill/>
                          <a:ln w="9525" cmpd="sng">
                            <a:solidFill>
                              <a:srgbClr val="000000"/>
                            </a:solidFill>
                            <a:prstDash val="dash"/>
                            <a:miter lim="800000"/>
                            <a:tailEnd type="arrow" w="med" len="med"/>
                          </a:ln>
                          <a:effectLst/>
                        </wps:spPr>
                        <wps:bodyPr/>
                      </wps:wsp>
                      <wps:wsp>
                        <wps:cNvPr id="520993247" name="矩形 43"/>
                        <wps:cNvSpPr>
                          <a:spLocks noChangeArrowheads="1"/>
                        </wps:cNvSpPr>
                        <wps:spPr bwMode="auto">
                          <a:xfrm>
                            <a:off x="3338194" y="4871964"/>
                            <a:ext cx="1500505" cy="401320"/>
                          </a:xfrm>
                          <a:prstGeom prst="rect">
                            <a:avLst/>
                          </a:prstGeom>
                          <a:noFill/>
                          <a:ln>
                            <a:noFill/>
                          </a:ln>
                          <a:effectLst/>
                        </wps:spPr>
                        <wps:txbx>
                          <w:txbxContent>
                            <w:p w14:paraId="4ACCCCB4">
                              <w:pPr>
                                <w:spacing w:after="0" w:line="240" w:lineRule="auto"/>
                              </w:pPr>
                              <w:r>
                                <w:rPr>
                                  <w:rFonts w:hint="eastAsia"/>
                                </w:rPr>
                                <w:t>放射性粉尘、氡、γ</w:t>
                              </w:r>
                            </w:p>
                          </w:txbxContent>
                        </wps:txbx>
                        <wps:bodyPr rot="0" vert="horz" wrap="square" lIns="91440" tIns="45720" rIns="91440" bIns="45720" anchor="t" anchorCtr="0" upright="1">
                          <a:noAutofit/>
                        </wps:bodyPr>
                      </wps:wsp>
                      <wps:wsp>
                        <wps:cNvPr id="771873877" name="自选图形 42"/>
                        <wps:cNvCnPr>
                          <a:cxnSpLocks noChangeShapeType="1"/>
                        </wps:cNvCnPr>
                        <wps:spPr bwMode="auto">
                          <a:xfrm flipV="1">
                            <a:off x="2999105" y="4543669"/>
                            <a:ext cx="396240" cy="125095"/>
                          </a:xfrm>
                          <a:prstGeom prst="curvedConnector3">
                            <a:avLst>
                              <a:gd name="adj1" fmla="val 50160"/>
                            </a:avLst>
                          </a:prstGeom>
                          <a:noFill/>
                          <a:ln w="9525" cmpd="sng">
                            <a:solidFill>
                              <a:srgbClr val="000000"/>
                            </a:solidFill>
                            <a:prstDash val="dash"/>
                            <a:miter lim="800000"/>
                            <a:tailEnd type="arrow" w="med" len="med"/>
                          </a:ln>
                          <a:effectLst/>
                        </wps:spPr>
                        <wps:bodyPr/>
                      </wps:wsp>
                      <wps:wsp>
                        <wps:cNvPr id="907643545" name="矩形 43"/>
                        <wps:cNvSpPr>
                          <a:spLocks noChangeArrowheads="1"/>
                        </wps:cNvSpPr>
                        <wps:spPr bwMode="auto">
                          <a:xfrm>
                            <a:off x="3357245" y="4408414"/>
                            <a:ext cx="1500504" cy="393065"/>
                          </a:xfrm>
                          <a:prstGeom prst="rect">
                            <a:avLst/>
                          </a:prstGeom>
                          <a:noFill/>
                          <a:ln>
                            <a:noFill/>
                          </a:ln>
                          <a:effectLst/>
                        </wps:spPr>
                        <wps:txbx>
                          <w:txbxContent>
                            <w:p w14:paraId="0538C5BC">
                              <w:pPr>
                                <w:spacing w:after="0" w:line="240" w:lineRule="auto"/>
                              </w:pPr>
                              <w:r>
                                <w:rPr>
                                  <w:rFonts w:hint="eastAsia"/>
                                </w:rPr>
                                <w:t>放射性粉尘、氡、γ</w:t>
                              </w:r>
                            </w:p>
                          </w:txbxContent>
                        </wps:txbx>
                        <wps:bodyPr rot="0" vert="horz" wrap="square" lIns="91440" tIns="45720" rIns="91440" bIns="45720" anchor="t" anchorCtr="0" upright="1">
                          <a:noAutofit/>
                        </wps:bodyPr>
                      </wps:wsp>
                      <wps:wsp>
                        <wps:cNvPr id="862590407" name="自选图形 42"/>
                        <wps:cNvCnPr>
                          <a:cxnSpLocks noChangeShapeType="1"/>
                        </wps:cNvCnPr>
                        <wps:spPr bwMode="auto">
                          <a:xfrm flipV="1">
                            <a:off x="2992755" y="4022969"/>
                            <a:ext cx="396240" cy="125095"/>
                          </a:xfrm>
                          <a:prstGeom prst="curvedConnector3">
                            <a:avLst>
                              <a:gd name="adj1" fmla="val 50160"/>
                            </a:avLst>
                          </a:prstGeom>
                          <a:noFill/>
                          <a:ln w="9525" cmpd="sng">
                            <a:solidFill>
                              <a:srgbClr val="000000"/>
                            </a:solidFill>
                            <a:prstDash val="dash"/>
                            <a:miter lim="800000"/>
                            <a:tailEnd type="arrow" w="med" len="med"/>
                          </a:ln>
                          <a:effectLst/>
                        </wps:spPr>
                        <wps:bodyPr/>
                      </wps:wsp>
                      <wps:wsp>
                        <wps:cNvPr id="41682601" name="矩形 41682601"/>
                        <wps:cNvSpPr>
                          <a:spLocks noChangeArrowheads="1"/>
                        </wps:cNvSpPr>
                        <wps:spPr bwMode="auto">
                          <a:xfrm>
                            <a:off x="3350895" y="3887714"/>
                            <a:ext cx="1506854" cy="399415"/>
                          </a:xfrm>
                          <a:prstGeom prst="rect">
                            <a:avLst/>
                          </a:prstGeom>
                          <a:noFill/>
                          <a:ln>
                            <a:noFill/>
                          </a:ln>
                          <a:effectLst/>
                        </wps:spPr>
                        <wps:txbx>
                          <w:txbxContent>
                            <w:p w14:paraId="0A7432D6">
                              <w:pPr>
                                <w:spacing w:after="0" w:line="240" w:lineRule="auto"/>
                              </w:pPr>
                              <w:r>
                                <w:rPr>
                                  <w:rFonts w:hint="eastAsia"/>
                                </w:rPr>
                                <w:t>放射性粉尘、氡、γ</w:t>
                              </w:r>
                            </w:p>
                          </w:txbxContent>
                        </wps:txbx>
                        <wps:bodyPr rot="0" vert="horz" wrap="square" lIns="91440" tIns="45720" rIns="91440" bIns="45720" anchor="t" anchorCtr="0" upright="1">
                          <a:noAutofit/>
                        </wps:bodyPr>
                      </wps:wsp>
                      <wps:wsp>
                        <wps:cNvPr id="992957017" name="自选图形 42"/>
                        <wps:cNvCnPr>
                          <a:cxnSpLocks noChangeShapeType="1"/>
                        </wps:cNvCnPr>
                        <wps:spPr bwMode="auto">
                          <a:xfrm flipV="1">
                            <a:off x="2999105" y="3064119"/>
                            <a:ext cx="396240" cy="125095"/>
                          </a:xfrm>
                          <a:prstGeom prst="curvedConnector3">
                            <a:avLst>
                              <a:gd name="adj1" fmla="val 50160"/>
                            </a:avLst>
                          </a:prstGeom>
                          <a:noFill/>
                          <a:ln w="9525" cmpd="sng">
                            <a:solidFill>
                              <a:srgbClr val="000000"/>
                            </a:solidFill>
                            <a:prstDash val="dash"/>
                            <a:miter lim="800000"/>
                            <a:tailEnd type="arrow" w="med" len="med"/>
                          </a:ln>
                          <a:effectLst/>
                        </wps:spPr>
                        <wps:bodyPr/>
                      </wps:wsp>
                      <wps:wsp>
                        <wps:cNvPr id="273714032" name="矩形 43"/>
                        <wps:cNvSpPr>
                          <a:spLocks noChangeArrowheads="1"/>
                        </wps:cNvSpPr>
                        <wps:spPr bwMode="auto">
                          <a:xfrm>
                            <a:off x="3357245" y="2928864"/>
                            <a:ext cx="1500504" cy="344170"/>
                          </a:xfrm>
                          <a:prstGeom prst="rect">
                            <a:avLst/>
                          </a:prstGeom>
                          <a:noFill/>
                          <a:ln>
                            <a:noFill/>
                          </a:ln>
                          <a:effectLst/>
                        </wps:spPr>
                        <wps:txbx>
                          <w:txbxContent>
                            <w:p w14:paraId="6A51D94F">
                              <w:pPr>
                                <w:spacing w:after="0" w:line="240" w:lineRule="auto"/>
                              </w:pPr>
                              <w:r>
                                <w:rPr>
                                  <w:rFonts w:hint="eastAsia"/>
                                </w:rPr>
                                <w:t>放射性粉尘、氡、γ</w:t>
                              </w:r>
                            </w:p>
                          </w:txbxContent>
                        </wps:txbx>
                        <wps:bodyPr rot="0" vert="horz" wrap="square" lIns="91440" tIns="45720" rIns="91440" bIns="45720" anchor="t" anchorCtr="0" upright="1">
                          <a:noAutofit/>
                        </wps:bodyPr>
                      </wps:wsp>
                      <wps:wsp>
                        <wps:cNvPr id="764850484" name="自选图形 42"/>
                        <wps:cNvCnPr>
                          <a:cxnSpLocks noChangeShapeType="1"/>
                        </wps:cNvCnPr>
                        <wps:spPr bwMode="auto">
                          <a:xfrm flipV="1">
                            <a:off x="2992755" y="2549769"/>
                            <a:ext cx="396240" cy="125095"/>
                          </a:xfrm>
                          <a:prstGeom prst="curvedConnector3">
                            <a:avLst>
                              <a:gd name="adj1" fmla="val 50160"/>
                            </a:avLst>
                          </a:prstGeom>
                          <a:noFill/>
                          <a:ln w="9525" cmpd="sng">
                            <a:solidFill>
                              <a:srgbClr val="000000"/>
                            </a:solidFill>
                            <a:prstDash val="dash"/>
                            <a:miter lim="800000"/>
                            <a:tailEnd type="arrow" w="med" len="med"/>
                          </a:ln>
                          <a:effectLst/>
                        </wps:spPr>
                        <wps:bodyPr/>
                      </wps:wsp>
                      <wps:wsp>
                        <wps:cNvPr id="1641173509" name="矩形 43"/>
                        <wps:cNvSpPr>
                          <a:spLocks noChangeArrowheads="1"/>
                        </wps:cNvSpPr>
                        <wps:spPr bwMode="auto">
                          <a:xfrm>
                            <a:off x="3350895" y="2414514"/>
                            <a:ext cx="1506854" cy="405765"/>
                          </a:xfrm>
                          <a:prstGeom prst="rect">
                            <a:avLst/>
                          </a:prstGeom>
                          <a:noFill/>
                          <a:ln>
                            <a:noFill/>
                          </a:ln>
                          <a:effectLst/>
                        </wps:spPr>
                        <wps:txbx>
                          <w:txbxContent>
                            <w:p w14:paraId="6EB42E25">
                              <w:pPr>
                                <w:spacing w:after="0" w:line="240" w:lineRule="auto"/>
                              </w:pPr>
                              <w:r>
                                <w:rPr>
                                  <w:rFonts w:hint="eastAsia"/>
                                </w:rPr>
                                <w:t>放射性粉尘、氡、γ</w:t>
                              </w:r>
                            </w:p>
                          </w:txbxContent>
                        </wps:txbx>
                        <wps:bodyPr rot="0" vert="horz" wrap="square" lIns="91440" tIns="45720" rIns="91440" bIns="45720" anchor="t" anchorCtr="0" upright="1">
                          <a:noAutofit/>
                        </wps:bodyPr>
                      </wps:wsp>
                      <wps:wsp>
                        <wps:cNvPr id="32302741" name="自选图形 42"/>
                        <wps:cNvCnPr>
                          <a:cxnSpLocks noChangeShapeType="1"/>
                        </wps:cNvCnPr>
                        <wps:spPr bwMode="auto">
                          <a:xfrm flipV="1">
                            <a:off x="2986405" y="2035419"/>
                            <a:ext cx="396240" cy="125095"/>
                          </a:xfrm>
                          <a:prstGeom prst="curvedConnector3">
                            <a:avLst>
                              <a:gd name="adj1" fmla="val 50160"/>
                            </a:avLst>
                          </a:prstGeom>
                          <a:noFill/>
                          <a:ln w="9525" cmpd="sng">
                            <a:solidFill>
                              <a:srgbClr val="000000"/>
                            </a:solidFill>
                            <a:prstDash val="dash"/>
                            <a:miter lim="800000"/>
                            <a:tailEnd type="arrow" w="med" len="med"/>
                          </a:ln>
                          <a:effectLst/>
                        </wps:spPr>
                        <wps:bodyPr/>
                      </wps:wsp>
                      <wps:wsp>
                        <wps:cNvPr id="91731286" name="矩形 43"/>
                        <wps:cNvSpPr>
                          <a:spLocks noChangeArrowheads="1"/>
                        </wps:cNvSpPr>
                        <wps:spPr bwMode="auto">
                          <a:xfrm>
                            <a:off x="3344544" y="1900164"/>
                            <a:ext cx="1532255" cy="410845"/>
                          </a:xfrm>
                          <a:prstGeom prst="rect">
                            <a:avLst/>
                          </a:prstGeom>
                          <a:noFill/>
                          <a:ln>
                            <a:noFill/>
                          </a:ln>
                          <a:effectLst/>
                        </wps:spPr>
                        <wps:txbx>
                          <w:txbxContent>
                            <w:p w14:paraId="70579DB6">
                              <w:pPr>
                                <w:spacing w:after="0" w:line="240" w:lineRule="auto"/>
                              </w:pPr>
                              <w:r>
                                <w:rPr>
                                  <w:rFonts w:hint="eastAsia"/>
                                </w:rPr>
                                <w:t>放射性粉尘、氡、γ</w:t>
                              </w:r>
                            </w:p>
                          </w:txbxContent>
                        </wps:txbx>
                        <wps:bodyPr rot="0" vert="horz" wrap="square" lIns="91440" tIns="45720" rIns="91440" bIns="45720" anchor="t" anchorCtr="0" upright="1">
                          <a:noAutofit/>
                        </wps:bodyPr>
                      </wps:wsp>
                      <wps:wsp>
                        <wps:cNvPr id="714855782" name="自选图形 42"/>
                        <wps:cNvCnPr>
                          <a:cxnSpLocks noChangeShapeType="1"/>
                        </wps:cNvCnPr>
                        <wps:spPr bwMode="auto">
                          <a:xfrm flipV="1">
                            <a:off x="2986405" y="1533769"/>
                            <a:ext cx="396240" cy="125095"/>
                          </a:xfrm>
                          <a:prstGeom prst="curvedConnector3">
                            <a:avLst>
                              <a:gd name="adj1" fmla="val 50160"/>
                            </a:avLst>
                          </a:prstGeom>
                          <a:noFill/>
                          <a:ln w="9525" cmpd="sng">
                            <a:solidFill>
                              <a:srgbClr val="000000"/>
                            </a:solidFill>
                            <a:prstDash val="dash"/>
                            <a:miter lim="800000"/>
                            <a:tailEnd type="arrow" w="med" len="med"/>
                          </a:ln>
                          <a:effectLst/>
                        </wps:spPr>
                        <wps:bodyPr/>
                      </wps:wsp>
                      <wps:wsp>
                        <wps:cNvPr id="1888210881" name="矩形 43"/>
                        <wps:cNvSpPr>
                          <a:spLocks noChangeArrowheads="1"/>
                        </wps:cNvSpPr>
                        <wps:spPr bwMode="auto">
                          <a:xfrm>
                            <a:off x="3344545" y="1398514"/>
                            <a:ext cx="1494154" cy="398145"/>
                          </a:xfrm>
                          <a:prstGeom prst="rect">
                            <a:avLst/>
                          </a:prstGeom>
                          <a:noFill/>
                          <a:ln>
                            <a:noFill/>
                          </a:ln>
                          <a:effectLst/>
                        </wps:spPr>
                        <wps:txbx>
                          <w:txbxContent>
                            <w:p w14:paraId="754B6294">
                              <w:pPr>
                                <w:spacing w:after="0" w:line="240" w:lineRule="auto"/>
                              </w:pPr>
                              <w:r>
                                <w:rPr>
                                  <w:rFonts w:hint="eastAsia"/>
                                </w:rPr>
                                <w:t>放射性粉尘、氡、γ</w:t>
                              </w:r>
                            </w:p>
                          </w:txbxContent>
                        </wps:txbx>
                        <wps:bodyPr rot="0" vert="horz" wrap="square" lIns="91440" tIns="45720" rIns="91440" bIns="45720" anchor="t" anchorCtr="0" upright="1">
                          <a:noAutofit/>
                        </wps:bodyPr>
                      </wps:wsp>
                      <wps:wsp>
                        <wps:cNvPr id="829192959" name="自选图形 42"/>
                        <wps:cNvCnPr>
                          <a:cxnSpLocks noChangeShapeType="1"/>
                        </wps:cNvCnPr>
                        <wps:spPr bwMode="auto">
                          <a:xfrm flipV="1">
                            <a:off x="2986405" y="1038469"/>
                            <a:ext cx="396240" cy="125095"/>
                          </a:xfrm>
                          <a:prstGeom prst="curvedConnector3">
                            <a:avLst>
                              <a:gd name="adj1" fmla="val 50160"/>
                            </a:avLst>
                          </a:prstGeom>
                          <a:noFill/>
                          <a:ln w="9525" cmpd="sng">
                            <a:solidFill>
                              <a:srgbClr val="000000"/>
                            </a:solidFill>
                            <a:prstDash val="dash"/>
                            <a:miter lim="800000"/>
                            <a:tailEnd type="arrow" w="med" len="med"/>
                          </a:ln>
                          <a:effectLst/>
                        </wps:spPr>
                        <wps:bodyPr/>
                      </wps:wsp>
                      <wps:wsp>
                        <wps:cNvPr id="99765742" name="矩形 43"/>
                        <wps:cNvSpPr>
                          <a:spLocks noChangeArrowheads="1"/>
                        </wps:cNvSpPr>
                        <wps:spPr bwMode="auto">
                          <a:xfrm>
                            <a:off x="3344544" y="903214"/>
                            <a:ext cx="1513205" cy="374015"/>
                          </a:xfrm>
                          <a:prstGeom prst="rect">
                            <a:avLst/>
                          </a:prstGeom>
                          <a:noFill/>
                          <a:ln>
                            <a:noFill/>
                          </a:ln>
                          <a:effectLst/>
                        </wps:spPr>
                        <wps:txbx>
                          <w:txbxContent>
                            <w:p w14:paraId="090F7670">
                              <w:pPr>
                                <w:spacing w:after="0" w:line="240" w:lineRule="auto"/>
                              </w:pPr>
                              <w:r>
                                <w:rPr>
                                  <w:rFonts w:hint="eastAsia"/>
                                </w:rPr>
                                <w:t>放射性粉尘、氡、γ</w:t>
                              </w:r>
                            </w:p>
                          </w:txbxContent>
                        </wps:txbx>
                        <wps:bodyPr rot="0" vert="horz" wrap="square" lIns="91440" tIns="45720" rIns="91440" bIns="45720" anchor="t" anchorCtr="0" upright="1">
                          <a:noAutofit/>
                        </wps:bodyPr>
                      </wps:wsp>
                      <wps:wsp>
                        <wps:cNvPr id="170563068" name="自选图形 42"/>
                        <wps:cNvCnPr>
                          <a:cxnSpLocks noChangeShapeType="1"/>
                        </wps:cNvCnPr>
                        <wps:spPr bwMode="auto">
                          <a:xfrm flipV="1">
                            <a:off x="2999105" y="85969"/>
                            <a:ext cx="396240" cy="125095"/>
                          </a:xfrm>
                          <a:prstGeom prst="curvedConnector3">
                            <a:avLst>
                              <a:gd name="adj1" fmla="val 50160"/>
                            </a:avLst>
                          </a:prstGeom>
                          <a:noFill/>
                          <a:ln w="9525" cmpd="sng">
                            <a:solidFill>
                              <a:srgbClr val="000000"/>
                            </a:solidFill>
                            <a:prstDash val="dash"/>
                            <a:miter lim="800000"/>
                            <a:tailEnd type="arrow" w="med" len="med"/>
                          </a:ln>
                          <a:effectLst/>
                        </wps:spPr>
                        <wps:bodyPr/>
                      </wps:wsp>
                      <wps:wsp>
                        <wps:cNvPr id="274502790" name="矩形 43"/>
                        <wps:cNvSpPr>
                          <a:spLocks noChangeArrowheads="1"/>
                        </wps:cNvSpPr>
                        <wps:spPr bwMode="auto">
                          <a:xfrm>
                            <a:off x="3357245" y="36439"/>
                            <a:ext cx="1404620" cy="340995"/>
                          </a:xfrm>
                          <a:prstGeom prst="rect">
                            <a:avLst/>
                          </a:prstGeom>
                          <a:noFill/>
                          <a:ln>
                            <a:noFill/>
                          </a:ln>
                          <a:effectLst/>
                        </wps:spPr>
                        <wps:txbx>
                          <w:txbxContent>
                            <w:p w14:paraId="64BB02B7">
                              <w:pPr>
                                <w:spacing w:after="0" w:line="240" w:lineRule="auto"/>
                              </w:pPr>
                              <w:r>
                                <w:rPr>
                                  <w:rFonts w:hint="eastAsia"/>
                                </w:rPr>
                                <w:t>放射性粉尘、氡、γ</w:t>
                              </w:r>
                            </w:p>
                          </w:txbxContent>
                        </wps:txbx>
                        <wps:bodyPr rot="0" vert="horz" wrap="square" lIns="91440" tIns="45720" rIns="91440" bIns="45720" anchor="t" anchorCtr="0" upright="1">
                          <a:noAutofit/>
                        </wps:bodyPr>
                      </wps:wsp>
                      <wps:wsp>
                        <wps:cNvPr id="311946803" name="自选图形 42"/>
                        <wps:cNvCnPr>
                          <a:cxnSpLocks noChangeShapeType="1"/>
                        </wps:cNvCnPr>
                        <wps:spPr bwMode="auto">
                          <a:xfrm>
                            <a:off x="909955" y="359019"/>
                            <a:ext cx="333375" cy="309245"/>
                          </a:xfrm>
                          <a:prstGeom prst="curvedConnector2">
                            <a:avLst/>
                          </a:prstGeom>
                          <a:noFill/>
                          <a:ln w="9525" cmpd="sng">
                            <a:solidFill>
                              <a:srgbClr val="000000"/>
                            </a:solidFill>
                            <a:prstDash val="dash"/>
                            <a:miter lim="800000"/>
                            <a:tailEnd type="arrow" w="med" len="med"/>
                          </a:ln>
                          <a:effectLst/>
                        </wps:spPr>
                        <wps:bodyPr/>
                      </wps:wsp>
                      <wps:wsp>
                        <wps:cNvPr id="283631051" name="矩形 43"/>
                        <wps:cNvSpPr>
                          <a:spLocks noChangeArrowheads="1"/>
                        </wps:cNvSpPr>
                        <wps:spPr bwMode="auto">
                          <a:xfrm>
                            <a:off x="428625" y="668264"/>
                            <a:ext cx="1504950" cy="317500"/>
                          </a:xfrm>
                          <a:prstGeom prst="rect">
                            <a:avLst/>
                          </a:prstGeom>
                          <a:noFill/>
                          <a:ln>
                            <a:noFill/>
                          </a:ln>
                          <a:effectLst/>
                        </wps:spPr>
                        <wps:txbx>
                          <w:txbxContent>
                            <w:p w14:paraId="1ADCDF66">
                              <w:pPr>
                                <w:spacing w:after="0" w:line="240" w:lineRule="auto"/>
                              </w:pPr>
                              <w:r>
                                <w:rPr>
                                  <w:rFonts w:hint="eastAsia"/>
                                </w:rPr>
                                <w:t>放射性粉尘、氡、γ</w:t>
                              </w:r>
                            </w:p>
                          </w:txbxContent>
                        </wps:txbx>
                        <wps:bodyPr rot="0" vert="horz" wrap="square" lIns="91440" tIns="45720" rIns="91440" bIns="45720" anchor="t" anchorCtr="0" upright="1">
                          <a:noAutofit/>
                        </wps:bodyPr>
                      </wps:wsp>
                      <wps:wsp>
                        <wps:cNvPr id="2142893405" name="自选图形 42"/>
                        <wps:cNvCnPr>
                          <a:cxnSpLocks noChangeShapeType="1"/>
                        </wps:cNvCnPr>
                        <wps:spPr bwMode="auto">
                          <a:xfrm rot="10800000">
                            <a:off x="567055" y="6269599"/>
                            <a:ext cx="476250" cy="201930"/>
                          </a:xfrm>
                          <a:prstGeom prst="curvedConnector3">
                            <a:avLst>
                              <a:gd name="adj1" fmla="val 49867"/>
                            </a:avLst>
                          </a:prstGeom>
                          <a:noFill/>
                          <a:ln w="9525" cmpd="sng">
                            <a:solidFill>
                              <a:srgbClr val="000000"/>
                            </a:solidFill>
                            <a:prstDash val="dash"/>
                            <a:miter lim="800000"/>
                            <a:tailEnd type="arrow" w="med" len="med"/>
                          </a:ln>
                          <a:effectLst/>
                        </wps:spPr>
                        <wps:bodyPr/>
                      </wps:wsp>
                      <wps:wsp>
                        <wps:cNvPr id="573549865" name="矩形 43"/>
                        <wps:cNvSpPr>
                          <a:spLocks noChangeArrowheads="1"/>
                        </wps:cNvSpPr>
                        <wps:spPr bwMode="auto">
                          <a:xfrm>
                            <a:off x="74930" y="5940034"/>
                            <a:ext cx="1477645" cy="343535"/>
                          </a:xfrm>
                          <a:prstGeom prst="rect">
                            <a:avLst/>
                          </a:prstGeom>
                          <a:noFill/>
                          <a:ln>
                            <a:noFill/>
                          </a:ln>
                          <a:effectLst/>
                        </wps:spPr>
                        <wps:txbx>
                          <w:txbxContent>
                            <w:p w14:paraId="28AA2913">
                              <w:pPr>
                                <w:spacing w:after="0" w:line="240" w:lineRule="auto"/>
                              </w:pPr>
                              <w:r>
                                <w:rPr>
                                  <w:rFonts w:hint="eastAsia"/>
                                </w:rPr>
                                <w:t>放射性粉尘、氡、γ</w:t>
                              </w:r>
                            </w:p>
                          </w:txbxContent>
                        </wps:txbx>
                        <wps:bodyPr rot="0" vert="horz" wrap="square" lIns="91440" tIns="45720" rIns="91440" bIns="45720" anchor="t" anchorCtr="0" upright="1">
                          <a:noAutofit/>
                        </wps:bodyPr>
                      </wps:wsp>
                      <wps:wsp>
                        <wps:cNvPr id="44800907" name="自选图形 50"/>
                        <wps:cNvCnPr>
                          <a:cxnSpLocks noChangeShapeType="1"/>
                        </wps:cNvCnPr>
                        <wps:spPr bwMode="auto">
                          <a:xfrm flipV="1">
                            <a:off x="2992755" y="7634214"/>
                            <a:ext cx="337820" cy="87630"/>
                          </a:xfrm>
                          <a:prstGeom prst="curvedConnector3">
                            <a:avLst>
                              <a:gd name="adj1" fmla="val 50188"/>
                            </a:avLst>
                          </a:prstGeom>
                          <a:noFill/>
                          <a:ln w="9525" cmpd="sng">
                            <a:solidFill>
                              <a:srgbClr val="000000"/>
                            </a:solidFill>
                            <a:prstDash val="dash"/>
                            <a:miter lim="800000"/>
                            <a:tailEnd type="arrow" w="med" len="med"/>
                          </a:ln>
                          <a:effectLst/>
                        </wps:spPr>
                        <wps:bodyPr/>
                      </wps:wsp>
                    </wpc:wpc>
                  </a:graphicData>
                </a:graphic>
              </wp:inline>
            </w:drawing>
          </mc:Choice>
          <mc:Fallback>
            <w:pict>
              <v:group id="画布 16" o:spid="_x0000_s1026" o:spt="203" style="height:652.15pt;width:423.65pt;" coordsize="5380355,8282744" editas="canvas" o:gfxdata="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">
                <o:lock v:ext="edit" aspectratio="f"/>
                <v:shape id="画布 16" o:spid="_x0000_s1026" style="position:absolute;left:0;top:0;height:8282744;width:5380355;" filled="f" stroked="f" coordsize="21600,21600" o:gfxdata="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">
                  <v:fill on="f" focussize="0,0"/>
                  <v:stroke on="f"/>
                  <v:imagedata o:title=""/>
                  <o:lock v:ext="edit" aspectratio="t"/>
                </v:shape>
                <v:rect id="矩形 11" o:spid="_x0000_s1026" o:spt="1" style="position:absolute;left:2029460;top:492369;height:291465;width:958215;" fillcolor="#FFFFFF" filled="t" stroked="t" coordsize="21600,21600" o:gfxdata="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enTL61QAAAAYBAAAP&#10;AAAAAAAAAAEAIAAAACIAAABkcnMvZG93bnJldi54bWxQSwECFAAUAAAACACHTuJA3wPlAlQCAACm&#10;BAAADgAAAAAAAAABACAAAAAkAQAAZHJzL2Uyb0RvYy54bWxQSwUGAAAAAAYABgBZAQAA6gUAAAAA&#10;">
                  <v:fill on="t" focussize="0,0"/>
                  <v:stroke color="#000000" miterlimit="8" joinstyle="miter"/>
                  <v:imagedata o:title=""/>
                  <o:lock v:ext="edit" aspectratio="f"/>
                  <v:textbox>
                    <w:txbxContent>
                      <w:p w14:paraId="21093389">
                        <w:pPr>
                          <w:spacing w:after="0" w:line="240" w:lineRule="auto"/>
                          <w:jc w:val="center"/>
                        </w:pPr>
                        <w:r>
                          <w:rPr>
                            <w:rFonts w:hint="eastAsia"/>
                          </w:rPr>
                          <w:t>湿毛矿堆场</w:t>
                        </w:r>
                      </w:p>
                    </w:txbxContent>
                  </v:textbox>
                </v:rect>
                <v:rect id="矩形 12" o:spid="_x0000_s1026" o:spt="1" style="position:absolute;left:2032635;top:1999859;height:292735;width:953135;" fillcolor="#FFFFFF" filled="t" stroked="t" coordsize="21600,21600" o:gfxdata="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Px9z3fWAAAABgEA&#10;AA8AAAAAAAAAAQAgAAAAIgAAAGRycy9kb3ducmV2LnhtbFBLAQIUABQAAAAIAIdO4kAVgTBnVQIA&#10;AKkEAAAOAAAAAAAAAAEAIAAAACUBAABkcnMvZTJvRG9jLnhtbFBLBQYAAAAABgAGAFkBAADsBQAA&#10;AAA=&#10;">
                  <v:fill on="t" focussize="0,0"/>
                  <v:stroke weight="2pt" color="#000000" miterlimit="8" joinstyle="miter"/>
                  <v:imagedata o:title=""/>
                  <o:lock v:ext="edit" aspectratio="f"/>
                  <v:textbox>
                    <w:txbxContent>
                      <w:p w14:paraId="2E79E929">
                        <w:pPr>
                          <w:spacing w:after="0" w:line="240" w:lineRule="auto"/>
                          <w:jc w:val="center"/>
                        </w:pPr>
                        <w:r>
                          <w:rPr>
                            <w:rFonts w:hint="eastAsia"/>
                          </w:rPr>
                          <w:t>烘干机</w:t>
                        </w:r>
                      </w:p>
                    </w:txbxContent>
                  </v:textbox>
                </v:rect>
                <v:rect id="矩形 13" o:spid="_x0000_s1026" o:spt="1" style="position:absolute;left:2028190;top:3490839;height:292100;width:952500;" fillcolor="#FFFFFF" filled="t" stroked="t" coordsize="21600,21600" o:gfxdata="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3p0y+tUAAAAGAQAA&#10;DwAAAAAAAAABACAAAAAiAAAAZHJzL2Rvd25yZXYueG1sUEsBAhQAFAAAAAgAh07iQIYHS4lVAgAA&#10;qAQAAA4AAAAAAAAAAQAgAAAAJAEAAGRycy9lMm9Eb2MueG1sUEsFBgAAAAAGAAYAWQEAAOsFAAAA&#10;AA==&#10;">
                  <v:fill on="t" focussize="0,0"/>
                  <v:stroke color="#000000" miterlimit="8" joinstyle="miter"/>
                  <v:imagedata o:title=""/>
                  <o:lock v:ext="edit" aspectratio="f"/>
                  <v:textbox>
                    <w:txbxContent>
                      <w:p w14:paraId="17C83D40">
                        <w:pPr>
                          <w:spacing w:after="0" w:line="240" w:lineRule="auto"/>
                          <w:jc w:val="center"/>
                        </w:pPr>
                        <w:r>
                          <w:rPr>
                            <w:rFonts w:hint="eastAsia"/>
                          </w:rPr>
                          <w:t>干毛矿堆场</w:t>
                        </w:r>
                      </w:p>
                    </w:txbxContent>
                  </v:textbox>
                </v:rect>
                <v:rect id="矩形 14" o:spid="_x0000_s1026" o:spt="1" style="position:absolute;left:2031365;top:5548874;height:291465;width:951865;" fillcolor="#FFFFFF" filled="t" stroked="t" coordsize="21600,21600" o:gfxdata="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3p0y+tUAAAAGAQAA&#10;DwAAAAAAAAABACAAAAAiAAAAZHJzL2Rvd25yZXYueG1sUEsBAhQAFAAAAAgAh07iQLR/VAZVAgAA&#10;qAQAAA4AAAAAAAAAAQAgAAAAJAEAAGRycy9lMm9Eb2MueG1sUEsFBgAAAAAGAAYAWQEAAOsFAAAA&#10;AA==&#10;">
                  <v:fill on="t" focussize="0,0"/>
                  <v:stroke color="#000000" miterlimit="8" joinstyle="miter"/>
                  <v:imagedata o:title=""/>
                  <o:lock v:ext="edit" aspectratio="f"/>
                  <v:textbox>
                    <w:txbxContent>
                      <w:p w14:paraId="44B5414C">
                        <w:pPr>
                          <w:spacing w:after="0" w:line="240" w:lineRule="auto"/>
                          <w:jc w:val="center"/>
                        </w:pPr>
                        <w:r>
                          <w:rPr>
                            <w:rFonts w:hint="eastAsia"/>
                          </w:rPr>
                          <w:t>磁选机出料</w:t>
                        </w:r>
                      </w:p>
                    </w:txbxContent>
                  </v:textbox>
                </v:rect>
                <v:rect id="矩形 15" o:spid="_x0000_s1026" o:spt="1" style="position:absolute;left:1038225;top:6862689;height:290830;width:950595;" fillcolor="#FFFFFF" filled="t" stroked="t" coordsize="21600,21600" o:gfxdata="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N6dMvrVAAAABgEA&#10;AA8AAAAAAAAAAQAgAAAAIgAAAGRycy9kb3ducmV2LnhtbFBLAQIUABQAAAAIAIdO4kCI9YI9VgIA&#10;AKcEAAAOAAAAAAAAAAEAIAAAACQBAABkcnMvZTJvRG9jLnhtbFBLBQYAAAAABgAGAFkBAADsBQAA&#10;AAA=&#10;">
                  <v:fill on="t" focussize="0,0"/>
                  <v:stroke color="#000000" miterlimit="8" joinstyle="miter"/>
                  <v:imagedata o:title=""/>
                  <o:lock v:ext="edit" aspectratio="f"/>
                  <v:textbox>
                    <w:txbxContent>
                      <w:p w14:paraId="4B72E00A">
                        <w:pPr>
                          <w:spacing w:after="0" w:line="240" w:lineRule="auto"/>
                          <w:jc w:val="center"/>
                        </w:pPr>
                        <w:r>
                          <w:rPr>
                            <w:rFonts w:hint="eastAsia"/>
                          </w:rPr>
                          <w:t>精矿堆场</w:t>
                        </w:r>
                      </w:p>
                    </w:txbxContent>
                  </v:textbox>
                </v:rect>
                <v:rect id="矩形 16" o:spid="_x0000_s1026" o:spt="1" style="position:absolute;left:2957830;top:6863959;height:292100;width:952500;" fillcolor="#FFFFFF" filled="t" stroked="t" coordsize="21600,21600" o:gfxdata="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3p0y+tUAAAAGAQAA&#10;DwAAAAAAAAABACAAAAAiAAAAZHJzL2Rvd25yZXYueG1sUEsBAhQAFAAAAAgAh07iQKWjXXNVAgAA&#10;qAQAAA4AAAAAAAAAAQAgAAAAJAEAAGRycy9lMm9Eb2MueG1sUEsFBgAAAAAGAAYAWQEAAOsFAAAA&#10;AA==&#10;">
                  <v:fill on="t" focussize="0,0"/>
                  <v:stroke color="#000000" miterlimit="8" joinstyle="miter"/>
                  <v:imagedata o:title=""/>
                  <o:lock v:ext="edit" aspectratio="f"/>
                  <v:textbox>
                    <w:txbxContent>
                      <w:p w14:paraId="3D79247E">
                        <w:pPr>
                          <w:spacing w:after="0" w:line="240" w:lineRule="auto"/>
                          <w:jc w:val="center"/>
                        </w:pPr>
                        <w:r>
                          <w:rPr>
                            <w:rFonts w:hint="eastAsia"/>
                          </w:rPr>
                          <w:t>锆中矿堆场</w:t>
                        </w:r>
                      </w:p>
                    </w:txbxContent>
                  </v:textbox>
                </v:rect>
                <v:rect id="矩形 17" o:spid="_x0000_s1026" o:spt="1" style="position:absolute;left:2042795;top:8003149;height:280035;width:941070;" fillcolor="#FFFFFF" filled="t" stroked="t" coordsize="21600,21600" o:gfxdata="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enTL61QAAAAYB&#10;AAAPAAAAAAAAAAEAIAAAACIAAABkcnMvZG93bnJldi54bWxQSwECFAAUAAAACACHTuJAj3e2sFcC&#10;AACoBAAADgAAAAAAAAABACAAAAAkAQAAZHJzL2Uyb0RvYy54bWxQSwUGAAAAAAYABgBZAQAA7QUA&#10;AAAA&#10;">
                  <v:fill on="t" focussize="0,0"/>
                  <v:stroke color="#000000" miterlimit="8" joinstyle="miter"/>
                  <v:imagedata o:title=""/>
                  <o:lock v:ext="edit" aspectratio="f"/>
                  <v:textbox>
                    <w:txbxContent>
                      <w:p w14:paraId="38896974">
                        <w:pPr>
                          <w:spacing w:after="0" w:line="240" w:lineRule="auto"/>
                          <w:jc w:val="center"/>
                        </w:pPr>
                        <w:r>
                          <w:rPr>
                            <w:rFonts w:hint="eastAsia"/>
                          </w:rPr>
                          <w:t>产品外运</w:t>
                        </w:r>
                      </w:p>
                    </w:txbxContent>
                  </v:textbox>
                </v:rect>
                <v:shape id="自选图形 25" o:spid="_x0000_s1026" o:spt="34" type="#_x0000_t34" style="position:absolute;left:1770380;top:5588879;height:988695;width:485775;rotation:5898240f;" filled="f" stroked="t" coordsize="21600,21600" o:gfxdata="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r6ksc1QAAAAYBAAAPAAAAAAAA&#10;AAEAIAAAACIAAABkcnMvZG93bnJldi54bWxQSwECFAAUAAAACACHTuJA6wyZXU4CAABWBAAADgAA&#10;AAAAAAABACAAAAAkAQAAZHJzL2Uyb0RvYy54bWxQSwUGAAAAAAYABgBZAQAA5AUAAAAA&#10;" adj="10814">
                  <v:fill on="f" focussize="0,0"/>
                  <v:stroke color="#000000" miterlimit="8" joinstyle="miter" endarrow="open"/>
                  <v:imagedata o:title=""/>
                  <o:lock v:ext="edit" aspectratio="f"/>
                </v:shape>
                <v:shape id="自选图形 26" o:spid="_x0000_s1026" o:spt="34" type="#_x0000_t34" style="position:absolute;left:2726055;top:5621899;flip:y;height:922655;width:485775;rotation:-5898240f;" filled="f" stroked="t" coordsize="21600,21600" o:gfxdata="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4SuOR1gAAAAYBAAAP&#10;AAAAAAAAAAEAIAAAACIAAABkcnMvZG93bnJldi54bWxQSwECFAAUAAAACACHTuJA4CsdT1MCAABg&#10;BAAADgAAAAAAAAABACAAAAAlAQAAZHJzL2Uyb0RvYy54bWxQSwUGAAAAAAYABgBZAQAA6gUAAAAA&#10;" adj="10814">
                  <v:fill on="f" focussize="0,0"/>
                  <v:stroke color="#000000" miterlimit="8" joinstyle="miter" endarrow="open"/>
                  <v:imagedata o:title=""/>
                  <o:lock v:ext="edit" aspectratio="f"/>
                </v:shape>
                <v:shape id="自选图形 28" o:spid="_x0000_s1026" o:spt="34" type="#_x0000_t34" style="position:absolute;left:1815465;top:6851576;flip:x;height:998855;width:394970;rotation:5898240f;" filled="f" stroked="t" coordsize="21600,21600" o:gfxdata="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vj8TLdIAAAAGAQAADwAA&#10;AAAAAAABACAAAAAiAAAAZHJzL2Rvd25yZXYueG1sUEsBAhQAFAAAAAgAh07iQKSByaFVAgAAYQQA&#10;AA4AAAAAAAAAAQAgAAAAIQEAAGRycy9lMm9Eb2MueG1sUEsFBgAAAAAGAAYAWQEAAOgFAAAAAA==&#10;" adj="10800">
                  <v:fill on="f" focussize="0,0"/>
                  <v:stroke color="#000000" miterlimit="8" joinstyle="miter" endarrow="open"/>
                  <v:imagedata o:title=""/>
                  <o:lock v:ext="edit" aspectratio="f"/>
                </v:shape>
                <v:shape id="自选图形 29" o:spid="_x0000_s1026" o:spt="34" type="#_x0000_t34" style="position:absolute;left:2777173;top:6891582;height:921385;width:392430;rotation:5898240f;" filled="f" stroked="t" coordsize="21600,21600" o:gfxdata="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sA2x+1QAAAAYBAAAPAAAA&#10;AAAAAAEAIAAAACIAAABkcnMvZG93bnJldi54bWxQSwECFAAUAAAACACHTuJAudz6yVECAABXBAAA&#10;DgAAAAAAAAABACAAAAAkAQAAZHJzL2Uyb0RvYy54bWxQSwUGAAAAAAYABgBZAQAA5wUAAAAA&#10;" adj="10783">
                  <v:fill on="f" focussize="0,0"/>
                  <v:stroke color="#000000" miterlimit="8" joinstyle="miter" endarrow="open"/>
                  <v:imagedata o:title=""/>
                  <o:lock v:ext="edit" aspectratio="f"/>
                </v:shape>
                <v:rect id="矩形 33" o:spid="_x0000_s1026" o:spt="1" style="position:absolute;left:1001395;top:5821924;height:292735;width:1071880;" filled="f" stroked="f" coordsize="21600,21600" o:gfxdata="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B&#10;sekR1wAAAAYBAAAPAAAAAAAAAAEAIAAAACIAAABkcnMvZG93bnJldi54bWxQSwECFAAUAAAACACH&#10;TuJAzeE4MCUCAAArBAAADgAAAAAAAAABACAAAAAmAQAAZHJzL2Uyb0RvYy54bWxQSwUGAAAAAAYA&#10;BgBZAQAAvQUAAAAA&#10;">
                  <v:fill on="f" focussize="0,0"/>
                  <v:stroke on="f"/>
                  <v:imagedata o:title=""/>
                  <o:lock v:ext="edit" aspectratio="f"/>
                  <v:textbox>
                    <w:txbxContent>
                      <w:p w14:paraId="1D97E308">
                        <w:pPr>
                          <w:spacing w:after="0" w:line="240" w:lineRule="auto"/>
                          <w:jc w:val="center"/>
                        </w:pPr>
                        <w:r>
                          <w:rPr>
                            <w:rFonts w:hint="eastAsia"/>
                          </w:rPr>
                          <w:t>钛铁精矿</w:t>
                        </w:r>
                      </w:p>
                    </w:txbxContent>
                  </v:textbox>
                </v:rect>
                <v:rect id="矩形 34" o:spid="_x0000_s1026" o:spt="1" style="position:absolute;left:2895600;top:5816844;height:292735;width:1068070;" filled="f" stroked="f" coordsize="21600,21600" o:gfxdata="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gbHpEdcAAAAGAQAADwAAAAAAAAABACAAAAAiAAAAZHJzL2Rvd25yZXYueG1sUEsBAhQAFAAAAAgA&#10;h07iQF2+FEcmAgAALAQAAA4AAAAAAAAAAQAgAAAAJgEAAGRycy9lMm9Eb2MueG1sUEsFBgAAAAAG&#10;AAYAWQEAAL4FAAAAAA==&#10;">
                  <v:fill on="f" focussize="0,0"/>
                  <v:stroke on="f"/>
                  <v:imagedata o:title=""/>
                  <o:lock v:ext="edit" aspectratio="f"/>
                  <v:textbox>
                    <w:txbxContent>
                      <w:p w14:paraId="3F6E58DF">
                        <w:pPr>
                          <w:spacing w:after="0" w:line="240" w:lineRule="auto"/>
                          <w:jc w:val="center"/>
                        </w:pPr>
                        <w:r>
                          <w:rPr>
                            <w:rFonts w:hint="eastAsia"/>
                          </w:rPr>
                          <w:t>锆中矿</w:t>
                        </w:r>
                      </w:p>
                    </w:txbxContent>
                  </v:textbox>
                </v:rect>
                <v:shape id="自选图形 40" o:spid="_x0000_s1026" o:spt="38" type="#_x0000_t38" style="position:absolute;left:3783965;top:6123549;flip:y;height:212090;width:345440;" filled="f" stroked="t" coordsize="21600,21600" o:gfxdata="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INMpv0gAA&#10;AAYBAAAPAAAAAAAAAAEAIAAAACIAAABkcnMvZG93bnJldi54bWxQSwECFAAUAAAACACHTuJAZlv/&#10;Sl0CAABtBAAADgAAAAAAAAABACAAAAAhAQAAZHJzL2Uyb0RvYy54bWxQSwUGAAAAAAYABgBZAQAA&#10;8AUAAAAA&#10;" adj="10840">
                  <v:fill on="f" focussize="0,0"/>
                  <v:stroke color="#000000" miterlimit="8" joinstyle="miter" dashstyle="dash" endarrow="open"/>
                  <v:imagedata o:title=""/>
                  <o:lock v:ext="edit" aspectratio="f"/>
                </v:shape>
                <v:shape id="自选图形 42" o:spid="_x0000_s1026" o:spt="38" type="#_x0000_t38" style="position:absolute;left:2990215;top:5553319;flip:y;height:125095;width:396240;" filled="f" stroked="t" coordsize="21600,21600" o:gfxdata="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sk&#10;3nTYAAAABgEAAA8AAAAAAAAAAQAgAAAAIgAAAGRycy9kb3ducmV2LnhtbFBLAQIUABQAAAAIAIdO&#10;4kBcGfbnXAIAAGwEAAAOAAAAAAAAAAEAIAAAACcBAABkcnMvZTJvRG9jLnhtbFBLBQYAAAAABgAG&#10;AFkBAAD1BQAAAAA=&#10;" adj="10835">
                  <v:fill on="f" focussize="0,0"/>
                  <v:stroke color="#000000" miterlimit="8" joinstyle="miter" dashstyle="dash" endarrow="open"/>
                  <v:imagedata o:title=""/>
                  <o:lock v:ext="edit" aspectratio="f"/>
                </v:shape>
                <v:rect id="矩形 43" o:spid="_x0000_s1026" o:spt="1" style="position:absolute;left:3733800;top:5879709;height:346075;width:1549400;" filled="f" stroked="f" coordsize="21600,21600" o:gfxdata="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gbHpEdcAAAAGAQAADwAAAAAAAAABACAAAAAiAAAAZHJzL2Rvd25yZXYueG1sUEsBAhQAFAAAAAgA&#10;h07iQGfBtMMmAgAALAQAAA4AAAAAAAAAAQAgAAAAJgEAAGRycy9lMm9Eb2MueG1sUEsFBgAAAAAG&#10;AAYAWQEAAL4FAAAAAA==&#10;">
                  <v:fill on="f" focussize="0,0"/>
                  <v:stroke on="f"/>
                  <v:imagedata o:title=""/>
                  <o:lock v:ext="edit" aspectratio="f"/>
                  <v:textbox>
                    <w:txbxContent>
                      <w:p w14:paraId="456A4BF9">
                        <w:pPr>
                          <w:spacing w:after="0" w:line="240" w:lineRule="auto"/>
                          <w:jc w:val="center"/>
                        </w:pPr>
                        <w:r>
                          <w:rPr>
                            <w:rFonts w:hint="eastAsia"/>
                          </w:rPr>
                          <w:t>放射性粉尘、氡、γ</w:t>
                        </w:r>
                      </w:p>
                    </w:txbxContent>
                  </v:textbox>
                </v:rect>
                <v:shape id="自选图形 50" o:spid="_x0000_s1026" o:spt="38" type="#_x0000_t38" style="position:absolute;left:2991485;top:8041249;flip:y;height:87630;width:337820;" filled="f" stroked="t" coordsize="21600,21600" o:gfxdata="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PaHW&#10;htcAAAAGAQAADwAAAAAAAAABACAAAAAiAAAAZHJzL2Rvd25yZXYueG1sUEsBAhQAFAAAAAgAh07i&#10;QNg8Y6BcAgAAbAQAAA4AAAAAAAAAAQAgAAAAJgEAAGRycy9lMm9Eb2MueG1sUEsFBgAAAAAGAAYA&#10;WQEAAPQFAAAAAA==&#10;" adj="10841">
                  <v:fill on="f" focussize="0,0"/>
                  <v:stroke color="#000000" miterlimit="8" joinstyle="miter" dashstyle="dash" endarrow="open"/>
                  <v:imagedata o:title=""/>
                  <o:lock v:ext="edit" aspectratio="f"/>
                </v:shape>
                <v:rect id="矩形 51" o:spid="_x0000_s1026" o:spt="1" style="position:absolute;left:3319145;top:7932029;height:322580;width:1462404;" filled="f" stroked="f" coordsize="21600,21600" o:gfxdata="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Gx6RHXAAAABgEAAA8AAAAAAAAAAQAgAAAAIgAAAGRycy9kb3ducmV2LnhtbFBLAQIUABQAAAAI&#10;AIdO4kAUzCkFJwIAACwEAAAOAAAAAAAAAAEAIAAAACYBAABkcnMvZTJvRG9jLnhtbFBLBQYAAAAA&#10;BgAGAFkBAAC/BQAAAAA=&#10;">
                  <v:fill on="f" focussize="0,0"/>
                  <v:stroke on="f"/>
                  <v:imagedata o:title=""/>
                  <o:lock v:ext="edit" aspectratio="f"/>
                  <v:textbox>
                    <w:txbxContent>
                      <w:p w14:paraId="5AE336FE">
                        <w:pPr>
                          <w:spacing w:after="0" w:line="240" w:lineRule="auto"/>
                          <w:jc w:val="center"/>
                        </w:pPr>
                        <w:r>
                          <w:rPr>
                            <w:rFonts w:hint="eastAsia"/>
                          </w:rPr>
                          <w:t>放射性粉尘、氡、γ尘</w:t>
                        </w:r>
                      </w:p>
                    </w:txbxContent>
                  </v:textbox>
                </v:rect>
                <v:rect id="矩形 15" o:spid="_x0000_s1026" o:spt="1" style="position:absolute;left:2037080;top:7548489;height:290830;width:950595;" fillcolor="#FFFFFF" filled="t" stroked="t" coordsize="21600,21600" o:gfxdata="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enTL61QAAAAYB&#10;AAAPAAAAAAAAAAEAIAAAACIAAABkcnMvZG93bnJldi54bWxQSwECFAAUAAAACACHTuJAH5Q541cC&#10;AACmBAAADgAAAAAAAAABACAAAAAkAQAAZHJzL2Uyb0RvYy54bWxQSwUGAAAAAAYABgBZAQAA7QUA&#10;AAAA&#10;">
                  <v:fill on="t" focussize="0,0"/>
                  <v:stroke color="#000000" miterlimit="8" joinstyle="miter"/>
                  <v:imagedata o:title=""/>
                  <o:lock v:ext="edit" aspectratio="f"/>
                  <v:textbox>
                    <w:txbxContent>
                      <w:p w14:paraId="6F9E1D11">
                        <w:pPr>
                          <w:spacing w:after="0" w:line="240" w:lineRule="auto"/>
                          <w:jc w:val="center"/>
                        </w:pPr>
                        <w:r>
                          <w:rPr>
                            <w:rFonts w:hint="eastAsia"/>
                          </w:rPr>
                          <w:t>产品装车</w:t>
                        </w:r>
                      </w:p>
                    </w:txbxContent>
                  </v:textbox>
                </v:rect>
                <v:rect id="矩形 15" o:spid="_x0000_s1026" o:spt="1" style="position:absolute;left:1043305;top:6326114;height:290830;width:950595;" fillcolor="#FFFFFF" filled="t" stroked="t" coordsize="21600,21600" o:gfxdata="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enTL61QAAAAYB&#10;AAAPAAAAAAAAAAEAIAAAACIAAABkcnMvZG93bnJldi54bWxQSwECFAAUAAAACACHTuJA4qZYYVcC&#10;AACoBAAADgAAAAAAAAABACAAAAAkAQAAZHJzL2Uyb0RvYy54bWxQSwUGAAAAAAYABgBZAQAA7QUA&#10;AAAA&#10;">
                  <v:fill on="t" focussize="0,0"/>
                  <v:stroke color="#000000" miterlimit="8" joinstyle="miter"/>
                  <v:imagedata o:title=""/>
                  <o:lock v:ext="edit" aspectratio="f"/>
                  <v:textbox>
                    <w:txbxContent>
                      <w:p w14:paraId="40283B36">
                        <w:pPr>
                          <w:spacing w:after="0" w:line="240" w:lineRule="auto"/>
                          <w:jc w:val="center"/>
                        </w:pPr>
                        <w:r>
                          <w:rPr>
                            <w:rFonts w:hint="eastAsia"/>
                          </w:rPr>
                          <w:t>精矿移堆</w:t>
                        </w:r>
                      </w:p>
                    </w:txbxContent>
                  </v:textbox>
                </v:rect>
                <v:rect id="矩形 15" o:spid="_x0000_s1026" o:spt="1" style="position:absolute;left:2954655;top:6326114;height:290830;width:950595;" fillcolor="#FFFFFF" filled="t" stroked="t" coordsize="21600,21600" o:gfxdata="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N6dMvrVAAAABgEA&#10;AA8AAAAAAAAAAQAgAAAAIgAAAGRycy9kb3ducmV2LnhtbFBLAQIUABQAAAAIAIdO4kClOQlUVgIA&#10;AKcEAAAOAAAAAAAAAAEAIAAAACQBAABkcnMvZTJvRG9jLnhtbFBLBQYAAAAABgAGAFkBAADsBQAA&#10;AAA=&#10;">
                  <v:fill on="t" focussize="0,0"/>
                  <v:stroke color="#000000" miterlimit="8" joinstyle="miter"/>
                  <v:imagedata o:title=""/>
                  <o:lock v:ext="edit" aspectratio="f"/>
                  <v:textbox>
                    <w:txbxContent>
                      <w:p w14:paraId="22EAB99B">
                        <w:pPr>
                          <w:spacing w:after="0" w:line="240" w:lineRule="auto"/>
                          <w:jc w:val="center"/>
                        </w:pPr>
                        <w:r>
                          <w:rPr>
                            <w:rFonts w:hint="eastAsia"/>
                          </w:rPr>
                          <w:t>中矿移堆</w:t>
                        </w:r>
                      </w:p>
                    </w:txbxContent>
                  </v:textbox>
                </v:rect>
                <v:shape id="_x0000_s1026" o:spid="_x0000_s1026" o:spt="32" type="#_x0000_t32" style="position:absolute;left:1513840;top:6616944;flip:x;height:245745;width:5080;" filled="f" stroked="t" coordsize="21600,21600" o:gfxdata="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te40&#10;MNgAAAAGAQAADwAAAAAAAAABACAAAAAiAAAAZHJzL2Rvd25yZXYueG1sUEsBAhQAFAAAAAgAh07i&#10;QKdG/ZoiAgAABwQAAA4AAAAAAAAAAQAgAAAAJwEAAGRycy9lMm9Eb2MueG1sUEsFBgAAAAAGAAYA&#10;WQEAALsFAAAAAA==&#10;">
                  <v:fill on="f" focussize="0,0"/>
                  <v:stroke weight="1pt" color="#000000 [3213]" miterlimit="8" joinstyle="miter" endarrow="open"/>
                  <v:imagedata o:title=""/>
                  <o:lock v:ext="edit" aspectratio="f"/>
                </v:shape>
                <v:shape id="_x0000_s1026" o:spid="_x0000_s1026" o:spt="32" type="#_x0000_t32" style="position:absolute;left:3430270;top:6616944;height:247015;width:3810;" filled="f" stroked="t" coordsize="21600,21600" o:gfxdata="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flPel9QAAAAGAQAADwAA&#10;AAAAAAABACAAAAAiAAAAZHJzL2Rvd25yZXYueG1sUEsBAhQAFAAAAAgAh07iQNTjqdwaAgAA/wMA&#10;AA4AAAAAAAAAAQAgAAAAIwEAAGRycy9lMm9Eb2MueG1sUEsFBgAAAAAGAAYAWQEAAK8FAAAAAA==&#10;">
                  <v:fill on="f" focussize="0,0"/>
                  <v:stroke weight="1pt" color="#000000 [3213]" miterlimit="8" joinstyle="miter" endarrow="open"/>
                  <v:imagedata o:title=""/>
                  <o:lock v:ext="edit" aspectratio="f"/>
                </v:shape>
                <v:rect id="矩形 14" o:spid="_x0000_s1026" o:spt="1" style="position:absolute;left:2027555;top:5011664;height:291465;width:951865;" fillcolor="#FFFFFF" filled="t" stroked="t" coordsize="21600,21600" o:gfxdata="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8fc931gAAAAYB&#10;AAAPAAAAAAAAAAEAIAAAACIAAABkcnMvZG93bnJldi54bWxQSwECFAAUAAAACACHTuJAEY4QZlYC&#10;AACpBAAADgAAAAAAAAABACAAAAAlAQAAZHJzL2Uyb0RvYy54bWxQSwUGAAAAAAYABgBZAQAA7QUA&#10;AAAA&#10;">
                  <v:fill on="t" focussize="0,0"/>
                  <v:stroke weight="2pt" color="#000000" miterlimit="8" joinstyle="miter"/>
                  <v:imagedata o:title=""/>
                  <o:lock v:ext="edit" aspectratio="f"/>
                  <v:textbox>
                    <w:txbxContent>
                      <w:p w14:paraId="08CD649E">
                        <w:pPr>
                          <w:spacing w:after="0" w:line="240" w:lineRule="auto"/>
                          <w:jc w:val="center"/>
                        </w:pPr>
                        <w:r>
                          <w:rPr>
                            <w:rFonts w:hint="eastAsia"/>
                          </w:rPr>
                          <w:t>磁选</w:t>
                        </w:r>
                      </w:p>
                    </w:txbxContent>
                  </v:textbox>
                </v:rect>
                <v:rect id="矩形 14" o:spid="_x0000_s1026" o:spt="1" style="position:absolute;left:2027555;top:4510014;height:291465;width:951865;" fillcolor="#FFFFFF" filled="t" stroked="t" coordsize="21600,21600" o:gfxdata="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3p0y+tUAAAAGAQAADwAA&#10;AAAAAAABACAAAAAiAAAAZHJzL2Rvd25yZXYueG1sUEsBAhQAFAAAAAgAh07iQDplkzVSAgAApgQA&#10;AA4AAAAAAAAAAQAgAAAAJAEAAGRycy9lMm9Eb2MueG1sUEsFBgAAAAAGAAYAWQEAAOgFAAAAAA==&#10;">
                  <v:fill on="t" focussize="0,0"/>
                  <v:stroke color="#000000" miterlimit="8" joinstyle="miter"/>
                  <v:imagedata o:title=""/>
                  <o:lock v:ext="edit" aspectratio="f"/>
                  <v:textbox>
                    <w:txbxContent>
                      <w:p w14:paraId="0563AB0F">
                        <w:pPr>
                          <w:spacing w:after="0" w:line="240" w:lineRule="auto"/>
                          <w:jc w:val="center"/>
                        </w:pPr>
                        <w:r>
                          <w:rPr>
                            <w:rFonts w:hint="eastAsia"/>
                          </w:rPr>
                          <w:t>磁选机上料</w:t>
                        </w:r>
                      </w:p>
                    </w:txbxContent>
                  </v:textbox>
                </v:rect>
                <v:rect id="矩形 14" o:spid="_x0000_s1026" o:spt="1" style="position:absolute;left:2027555;top:3995664;height:291465;width:951865;" fillcolor="#FFFFFF" filled="t" stroked="t" coordsize="21600,21600" o:gfxdata="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enTL61QAAAAYBAAAP&#10;AAAAAAAAAAEAIAAAACIAAABkcnMvZG93bnJldi54bWxQSwECFAAUAAAACACHTuJAxGaWr1QCAACn&#10;BAAADgAAAAAAAAABACAAAAAkAQAAZHJzL2Uyb0RvYy54bWxQSwUGAAAAAAYABgBZAQAA6gUAAAAA&#10;">
                  <v:fill on="t" focussize="0,0"/>
                  <v:stroke color="#000000" miterlimit="8" joinstyle="miter"/>
                  <v:imagedata o:title=""/>
                  <o:lock v:ext="edit" aspectratio="f"/>
                  <v:textbox>
                    <w:txbxContent>
                      <w:p w14:paraId="0EDF0DB1">
                        <w:pPr>
                          <w:spacing w:after="0" w:line="240" w:lineRule="auto"/>
                          <w:jc w:val="center"/>
                        </w:pPr>
                        <w:r>
                          <w:rPr>
                            <w:rFonts w:hint="eastAsia"/>
                          </w:rPr>
                          <w:t>铲车转运</w:t>
                        </w:r>
                      </w:p>
                    </w:txbxContent>
                  </v:textbox>
                </v:rect>
                <v:rect id="矩形 14" o:spid="_x0000_s1026" o:spt="1" style="position:absolute;left:2033905;top:3030464;height:291465;width:951865;" fillcolor="#FFFFFF" filled="t" stroked="t" coordsize="21600,21600" o:gfxdata="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enTL61QAAAAYBAAAP&#10;AAAAAAAAAAEAIAAAACIAAABkcnMvZG93bnJldi54bWxQSwECFAAUAAAACACHTuJA8rGRTVQCAACn&#10;BAAADgAAAAAAAAABACAAAAAkAQAAZHJzL2Uyb0RvYy54bWxQSwUGAAAAAAYABgBZAQAA6gUAAAAA&#10;">
                  <v:fill on="t" focussize="0,0"/>
                  <v:stroke color="#000000" miterlimit="8" joinstyle="miter"/>
                  <v:imagedata o:title=""/>
                  <o:lock v:ext="edit" aspectratio="f"/>
                  <v:textbox>
                    <w:txbxContent>
                      <w:p w14:paraId="5A5ACE47">
                        <w:pPr>
                          <w:spacing w:after="0" w:line="240" w:lineRule="auto"/>
                          <w:jc w:val="center"/>
                        </w:pPr>
                        <w:r>
                          <w:rPr>
                            <w:rFonts w:hint="eastAsia"/>
                          </w:rPr>
                          <w:t>干毛矿移堆</w:t>
                        </w:r>
                      </w:p>
                    </w:txbxContent>
                  </v:textbox>
                </v:rect>
                <v:rect id="矩形 14" o:spid="_x0000_s1026" o:spt="1" style="position:absolute;left:2033905;top:2528814;height:291465;width:951865;" fillcolor="#FFFFFF" filled="t" stroked="t" coordsize="21600,21600" o:gfxdata="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3p0y+tUAAAAGAQAADwAA&#10;AAAAAAABACAAAAAiAAAAZHJzL2Rvd25yZXYueG1sUEsBAhQAFAAAAAgAh07iQMJV72BSAgAApwQA&#10;AA4AAAAAAAAAAQAgAAAAJAEAAGRycy9lMm9Eb2MueG1sUEsFBgAAAAAGAAYAWQEAAOgFAAAAAA==&#10;">
                  <v:fill on="t" focussize="0,0"/>
                  <v:stroke color="#000000" miterlimit="8" joinstyle="miter"/>
                  <v:imagedata o:title=""/>
                  <o:lock v:ext="edit" aspectratio="f"/>
                  <v:textbox>
                    <w:txbxContent>
                      <w:p w14:paraId="2077332B">
                        <w:pPr>
                          <w:spacing w:after="0" w:line="240" w:lineRule="auto"/>
                          <w:jc w:val="center"/>
                        </w:pPr>
                        <w:r>
                          <w:rPr>
                            <w:rFonts w:hint="eastAsia"/>
                          </w:rPr>
                          <w:t>烘干机出料</w:t>
                        </w:r>
                      </w:p>
                    </w:txbxContent>
                  </v:textbox>
                </v:rect>
                <v:rect id="_x0000_s1026" o:spid="_x0000_s1026" o:spt="1" style="position:absolute;left:2027555;top:1493764;height:291465;width:951865;" fillcolor="#FFFFFF" filled="t" stroked="t" coordsize="21600,21600" o:gfxdata="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N6dMvrVAAAABgEAAA8A&#10;AAAAAAAAAQAgAAAAIgAAAGRycy9kb3ducmV2LnhtbFBLAQIUABQAAAAIAIdO4kD0B6jjUwIAALAE&#10;AAAOAAAAAAAAAAEAIAAAACQBAABkcnMvZTJvRG9jLnhtbFBLBQYAAAAABgAGAFkBAADpBQAAAAA=&#10;">
                  <v:fill on="t" focussize="0,0"/>
                  <v:stroke color="#000000" miterlimit="8" joinstyle="miter"/>
                  <v:imagedata o:title=""/>
                  <o:lock v:ext="edit" aspectratio="f"/>
                  <v:textbox>
                    <w:txbxContent>
                      <w:p w14:paraId="5492E350">
                        <w:pPr>
                          <w:spacing w:after="0" w:line="240" w:lineRule="auto"/>
                          <w:jc w:val="center"/>
                        </w:pPr>
                        <w:r>
                          <w:rPr>
                            <w:rFonts w:hint="eastAsia"/>
                          </w:rPr>
                          <w:t>烘干机上料</w:t>
                        </w:r>
                      </w:p>
                    </w:txbxContent>
                  </v:textbox>
                </v:rect>
                <v:rect id="矩形 14" o:spid="_x0000_s1026" o:spt="1" style="position:absolute;left:205105;top:2001764;height:291465;width:951865;" fillcolor="#FFFFFF" filled="t" stroked="t" coordsize="21600,21600" o:gfxdata="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3p0y+tUAAAAGAQAADwAAAAAA&#10;AAABACAAAAAiAAAAZHJzL2Rvd25yZXYueG1sUEsBAhQAFAAAAAgAh07iQIQSQ+FPAgAApgQAAA4A&#10;AAAAAAAAAQAgAAAAJAEAAGRycy9lMm9Eb2MueG1sUEsFBgAAAAAGAAYAWQEAAOUFAAAAAA==&#10;">
                  <v:fill on="t" focussize="0,0"/>
                  <v:stroke color="#000000" miterlimit="8" joinstyle="miter"/>
                  <v:imagedata o:title=""/>
                  <o:lock v:ext="edit" aspectratio="f"/>
                  <v:textbox>
                    <w:txbxContent>
                      <w:p w14:paraId="59BBFEE4">
                        <w:pPr>
                          <w:spacing w:after="0" w:line="240" w:lineRule="auto"/>
                          <w:jc w:val="center"/>
                        </w:pPr>
                        <w:r>
                          <w:rPr>
                            <w:rFonts w:hint="eastAsia"/>
                          </w:rPr>
                          <w:t>烘干炉</w:t>
                        </w:r>
                      </w:p>
                    </w:txbxContent>
                  </v:textbox>
                </v:rect>
                <v:rect id="_x0000_s1026" o:spid="_x0000_s1026" o:spt="1" style="position:absolute;left:2027555;top:39614;height:291465;width:951865;" fillcolor="#FFFFFF" filled="t" stroked="t" coordsize="21600,21600" o:gfxdata="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N6dMvrVAAAABgEAAA8A&#10;AAAAAAAAAQAgAAAAIgAAAGRycy9kb3ducmV2LnhtbFBLAQIUABQAAAAIAIdO4kBeBL7eUwIAAK4E&#10;AAAOAAAAAAAAAAEAIAAAACQBAABkcnMvZTJvRG9jLnhtbFBLBQYAAAAABgAGAFkBAADpBQAAAAA=&#10;">
                  <v:fill on="t" focussize="0,0"/>
                  <v:stroke color="#000000" miterlimit="8" joinstyle="miter"/>
                  <v:imagedata o:title=""/>
                  <o:lock v:ext="edit" aspectratio="f"/>
                  <v:textbox>
                    <w:txbxContent>
                      <w:p w14:paraId="368EB852">
                        <w:pPr>
                          <w:spacing w:after="0" w:line="240" w:lineRule="auto"/>
                          <w:jc w:val="center"/>
                        </w:pPr>
                        <w:r>
                          <w:rPr>
                            <w:rFonts w:hint="eastAsia"/>
                          </w:rPr>
                          <w:t>拆箱卸料</w:t>
                        </w:r>
                      </w:p>
                    </w:txbxContent>
                  </v:textbox>
                </v:rect>
                <v:rect id="矩形 14" o:spid="_x0000_s1026" o:spt="1" style="position:absolute;left:2027555;top:985764;height:291465;width:951865;" fillcolor="#FFFFFF" filled="t" stroked="t" coordsize="21600,21600" o:gfxdata="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enTL61QAAAAYBAAAP&#10;AAAAAAAAAAEAIAAAACIAAABkcnMvZG93bnJldi54bWxQSwECFAAUAAAACACHTuJA7s9k0FQCAACn&#10;BAAADgAAAAAAAAABACAAAAAkAQAAZHJzL2Uyb0RvYy54bWxQSwUGAAAAAAYABgBZAQAA6gUAAAAA&#10;">
                  <v:fill on="t" focussize="0,0"/>
                  <v:stroke color="#000000" miterlimit="8" joinstyle="miter"/>
                  <v:imagedata o:title=""/>
                  <o:lock v:ext="edit" aspectratio="f"/>
                  <v:textbox>
                    <w:txbxContent>
                      <w:p w14:paraId="28EC51D8">
                        <w:pPr>
                          <w:spacing w:after="0" w:line="240" w:lineRule="auto"/>
                          <w:jc w:val="center"/>
                        </w:pPr>
                        <w:r>
                          <w:rPr>
                            <w:rFonts w:hint="eastAsia"/>
                          </w:rPr>
                          <w:t>铲车转运</w:t>
                        </w:r>
                      </w:p>
                    </w:txbxContent>
                  </v:textbox>
                </v:rect>
                <v:shape id="_x0000_s1026" o:spid="_x0000_s1026" o:spt="32" type="#_x0000_t32" style="position:absolute;left:2503805;top:5303129;height:245745;width:3810;" filled="f" stroked="t" coordsize="21600,21600" o:gfxdata="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U96X1AAAAAYBAAAP&#10;AAAAAAAAAAEAIAAAACIAAABkcnMvZG93bnJldi54bWxQSwECFAAUAAAACACHTuJAjGanYhwCAAD/&#10;AwAADgAAAAAAAAABACAAAAAjAQAAZHJzL2Uyb0RvYy54bWxQSwUGAAAAAAYABgBZAQAAsQUAAAAA&#10;">
                  <v:fill on="f" focussize="0,0"/>
                  <v:stroke weight="1pt" color="#000000 [3213]" miterlimit="8" joinstyle="miter" endarrow="open"/>
                  <v:imagedata o:title=""/>
                  <o:lock v:ext="edit" aspectratio="f"/>
                </v:shape>
                <v:shape id="_x0000_s1026" o:spid="_x0000_s1026" o:spt="32" type="#_x0000_t32" style="position:absolute;left:2503805;top:4801479;height:210185;width:0;" filled="f" stroked="t" coordsize="21600,21600" o:gfxdata="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U96X1AAAAAYBAAAPAAAA&#10;AAAAAAEAIAAAACIAAABkcnMvZG93bnJldi54bWxQSwECFAAUAAAACACHTuJAm1lCuxkCAAD8AwAA&#10;DgAAAAAAAAABACAAAAAjAQAAZHJzL2Uyb0RvYy54bWxQSwUGAAAAAAYABgBZAQAArgUAAAAA&#10;">
                  <v:fill on="f" focussize="0,0"/>
                  <v:stroke weight="1pt" color="#000000 [3213]" miterlimit="8" joinstyle="miter" endarrow="open"/>
                  <v:imagedata o:title=""/>
                  <o:lock v:ext="edit" aspectratio="f"/>
                </v:shape>
                <v:shape id="_x0000_s1026" o:spid="_x0000_s1026" o:spt="32" type="#_x0000_t32" style="position:absolute;left:2503805;top:4287129;height:222885;width:0;" filled="f" stroked="t" coordsize="21600,21600" o:gfxdata="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U96X1AAAAAYBAAAPAAAA&#10;AAAAAAEAIAAAACIAAABkcnMvZG93bnJldi54bWxQSwECFAAUAAAACACHTuJAu6pR/xkCAAD8AwAA&#10;DgAAAAAAAAABACAAAAAjAQAAZHJzL2Uyb0RvYy54bWxQSwUGAAAAAAYABgBZAQAArgUAAAAA&#10;">
                  <v:fill on="f" focussize="0,0"/>
                  <v:stroke weight="1pt" color="#000000 [3213]" miterlimit="8" joinstyle="miter" endarrow="open"/>
                  <v:imagedata o:title=""/>
                  <o:lock v:ext="edit" aspectratio="f"/>
                </v:shape>
                <v:shape id="_x0000_s1026" o:spid="_x0000_s1026" o:spt="32" type="#_x0000_t32" style="position:absolute;left:2503805;top:3782939;flip:x;height:212725;width:635;" filled="f" stroked="t" coordsize="21600,21600" o:gfxdata="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te40&#10;MNgAAAAGAQAADwAAAAAAAAABACAAAAAiAAAAZHJzL2Rvd25yZXYueG1sUEsBAhQAFAAAAAgAh07i&#10;QGwwoK8iAgAABgQAAA4AAAAAAAAAAQAgAAAAJwEAAGRycy9lMm9Eb2MueG1sUEsFBgAAAAAGAAYA&#10;WQEAALsFAAAAAA==&#10;">
                  <v:fill on="f" focussize="0,0"/>
                  <v:stroke weight="1pt" color="#000000 [3213]" miterlimit="8" joinstyle="miter" endarrow="open"/>
                  <v:imagedata o:title=""/>
                  <o:lock v:ext="edit" aspectratio="f"/>
                </v:shape>
                <v:shape id="_x0000_s1026" o:spid="_x0000_s1026" o:spt="32" type="#_x0000_t32" style="position:absolute;left:2504440;top:3321929;flip:x;height:168910;width:5715;" filled="f" stroked="t" coordsize="21600,21600" o:gfxdata="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te40MNgAAAAGAQAADwAAAAAAAAABACAAAAAiAAAAZHJzL2Rvd25yZXYueG1sUEsBAhQAFAAAAAgA&#10;h07iQIpkFjUlAgAACQQAAA4AAAAAAAAAAQAgAAAAJwEAAGRycy9lMm9Eb2MueG1sUEsFBgAAAAAG&#10;AAYAWQEAAL4FAAAAAA==&#10;">
                  <v:fill on="f" focussize="0,0"/>
                  <v:stroke weight="1pt" color="#000000 [3213]" miterlimit="8" joinstyle="miter" endarrow="open"/>
                  <v:imagedata o:title=""/>
                  <o:lock v:ext="edit" aspectratio="f"/>
                </v:shape>
                <v:shape id="_x0000_s1026" o:spid="_x0000_s1026" o:spt="32" type="#_x0000_t32" style="position:absolute;left:2510155;top:2820279;height:210185;width:0;" filled="f" stroked="t" coordsize="21600,21600" o:gfxdata="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U96X1AAAAAYBAAAPAAAAAAAA&#10;AAEAIAAAACIAAABkcnMvZG93bnJldi54bWxQSwECFAAUAAAACACHTuJA1KlZGxYCAAD8AwAADgAA&#10;AAAAAAABACAAAAAjAQAAZHJzL2Uyb0RvYy54bWxQSwUGAAAAAAYABgBZAQAAqwUAAAAA&#10;">
                  <v:fill on="f" focussize="0,0"/>
                  <v:stroke weight="1pt" color="#000000 [3213]" miterlimit="8" joinstyle="miter" endarrow="open"/>
                  <v:imagedata o:title=""/>
                  <o:lock v:ext="edit" aspectratio="f"/>
                </v:shape>
                <v:shape id="_x0000_s1026" o:spid="_x0000_s1026" o:spt="32" type="#_x0000_t32" style="position:absolute;left:2509520;top:2292594;height:236220;width:635;" filled="f" stroked="t" coordsize="21600,21600" o:gfxdata="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5T3pfUAAAABgEAAA8AAAAA&#10;AAAAAQAgAAAAIgAAAGRycy9kb3ducmV2LnhtbFBLAQIUABQAAAAIAIdO4kD2iXLhGAIAAPwDAAAO&#10;AAAAAAAAAAEAIAAAACMBAABkcnMvZTJvRG9jLnhtbFBLBQYAAAAABgAGAFkBAACtBQAAAAA=&#10;">
                  <v:fill on="f" focussize="0,0"/>
                  <v:stroke weight="1pt" color="#000000 [3213]" miterlimit="8" joinstyle="miter" endarrow="open"/>
                  <v:imagedata o:title=""/>
                  <o:lock v:ext="edit" aspectratio="f"/>
                </v:shape>
                <v:shape id="_x0000_s1026" o:spid="_x0000_s1026" o:spt="32" type="#_x0000_t32" style="position:absolute;left:2503805;top:1785229;height:214630;width:5715;" filled="f" stroked="t" coordsize="21600,21600" o:gfxdata="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lPel9QAAAAGAQAA&#10;DwAAAAAAAAABACAAAAAiAAAAZHJzL2Rvd25yZXYueG1sUEsBAhQAFAAAAAgAh07iQCJphWIdAgAA&#10;/QMAAA4AAAAAAAAAAQAgAAAAIwEAAGRycy9lMm9Eb2MueG1sUEsFBgAAAAAGAAYAWQEAALIFAAAA&#10;AA==&#10;">
                  <v:fill on="f" focussize="0,0"/>
                  <v:stroke weight="1pt" color="#000000 [3213]" miterlimit="8" joinstyle="miter" endarrow="open"/>
                  <v:imagedata o:title=""/>
                  <o:lock v:ext="edit" aspectratio="f"/>
                </v:shape>
                <v:shape id="_x0000_s1026" o:spid="_x0000_s1026" o:spt="32" type="#_x0000_t32" style="position:absolute;left:2503805;top:1277229;height:216535;width:0;" filled="f" stroked="t" coordsize="21600,21600" o:gfxdata="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flPel9QAAAAGAQAADwAAAAAA&#10;AAABACAAAAAiAAAAZHJzL2Rvd25yZXYueG1sUEsBAhQAFAAAAAgAh07iQDr3ZRkXAgAA+gMAAA4A&#10;AAAAAAAAAQAgAAAAIwEAAGRycy9lMm9Eb2MueG1sUEsFBgAAAAAGAAYAWQEAAKwFAAAAAA==&#10;">
                  <v:fill on="f" focussize="0,0"/>
                  <v:stroke weight="1pt" color="#000000 [3213]" miterlimit="8" joinstyle="miter" endarrow="open"/>
                  <v:imagedata o:title=""/>
                  <o:lock v:ext="edit" aspectratio="f"/>
                </v:shape>
                <v:shape id="_x0000_s1026" o:spid="_x0000_s1026" o:spt="32" type="#_x0000_t32" style="position:absolute;left:2503805;top:783834;flip:x;height:201930;width:5080;" filled="f" stroked="t" coordsize="21600,21600" o:gfxdata="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Xu&#10;NDDYAAAABgEAAA8AAAAAAAAAAQAgAAAAIgAAAGRycy9kb3ducmV2LnhtbFBLAQIUABQAAAAIAIdO&#10;4kDHevJxIwIAAAgEAAAOAAAAAAAAAAEAIAAAACcBAABkcnMvZTJvRG9jLnhtbFBLBQYAAAAABgAG&#10;AFkBAAC8BQAAAAA=&#10;">
                  <v:fill on="f" focussize="0,0"/>
                  <v:stroke weight="1pt" color="#000000 [3213]" miterlimit="8" joinstyle="miter" endarrow="open"/>
                  <v:imagedata o:title=""/>
                  <o:lock v:ext="edit" aspectratio="f"/>
                </v:shape>
                <v:shape id="_x0000_s1026" o:spid="_x0000_s1026" o:spt="32" type="#_x0000_t32" style="position:absolute;left:2503805;top:331079;height:161290;width:5080;" filled="f" stroked="t" coordsize="21600,21600" o:gfxdata="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5T3pfUAAAABgEAAA8A&#10;AAAAAAAAAQAgAAAAIgAAAGRycy9kb3ducmV2LnhtbFBLAQIUABQAAAAIAIdO4kD9Z76qGwIAAP4D&#10;AAAOAAAAAAAAAAEAIAAAACMBAABkcnMvZTJvRG9jLnhtbFBLBQYAAAAABgAGAFkBAACwBQAAAAA=&#10;">
                  <v:fill on="f" focussize="0,0"/>
                  <v:stroke weight="1pt" color="#000000 [3213]" miterlimit="8" joinstyle="miter" endarrow="open"/>
                  <v:imagedata o:title=""/>
                  <o:lock v:ext="edit" aspectratio="f"/>
                </v:shape>
                <v:shape id="_x0000_s1026" o:spid="_x0000_s1026" o:spt="32" type="#_x0000_t32" style="position:absolute;left:1156970;top:2146544;flip:y;height:1270;width:875665;" filled="f" stroked="t" coordsize="21600,21600" o:gfxdata="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wOmgvWAAAA&#10;BgEAAA8AAAAAAAAAAQAgAAAAIgAAAGRycy9kb3ducmV2LnhtbFBLAQIUABQAAAAIAIdO4kC3McVR&#10;HwIAAAgEAAAOAAAAAAAAAAEAIAAAACUBAABkcnMvZTJvRG9jLnhtbFBLBQYAAAAABgAGAFkBAAC2&#10;BQAAAAA=&#10;">
                  <v:fill on="f" focussize="0,0"/>
                  <v:stroke weight="1pt" color="#000000 [3213]" miterlimit="8" joinstyle="miter" dashstyle="dash" endarrow="open"/>
                  <v:imagedata o:title=""/>
                  <o:lock v:ext="edit" aspectratio="f"/>
                </v:shape>
                <v:shape id="_x0000_s1026" o:spid="_x0000_s1026" o:spt="32" type="#_x0000_t32" style="position:absolute;left:2512695;top:7839319;height:163830;width:635;" filled="f" stroked="t" coordsize="21600,21600" o:gfxdata="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5T3pfUAAAABgEAAA8A&#10;AAAAAAAAAQAgAAAAIgAAAGRycy9kb3ducmV2LnhtbFBLAQIUABQAAAAIAIdO4kDcU/jCGwIAAPwD&#10;AAAOAAAAAAAAAAEAIAAAACMBAABkcnMvZTJvRG9jLnhtbFBLBQYAAAAABgAGAFkBAACwBQAAAAA=&#10;">
                  <v:fill on="f" focussize="0,0"/>
                  <v:stroke weight="1pt" color="#000000 [3213]" miterlimit="8" joinstyle="miter" endarrow="open"/>
                  <v:imagedata o:title=""/>
                  <o:lock v:ext="edit" aspectratio="f"/>
                </v:shape>
                <v:shape id="_x0000_s1026" o:spid="_x0000_s1026" o:spt="32" type="#_x0000_t32" style="position:absolute;left:1169670;top:185664;height:0;width:857885;" filled="f" stroked="t" coordsize="21600,21600" o:gfxdata="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5T3pfUAAAABgEAAA8AAAAA&#10;AAAAAQAgAAAAIgAAAGRycy9kb3ducmV2LnhtbFBLAQIUABQAAAAIAIdO4kAn0CJTGAIAAPsDAAAO&#10;AAAAAAAAAAEAIAAAACMBAABkcnMvZTJvRG9jLnhtbFBLBQYAAAAABgAGAFkBAACtBQAAAAA=&#10;">
                  <v:fill on="f" focussize="0,0"/>
                  <v:stroke weight="1pt" color="#000000 [3213]" miterlimit="8" joinstyle="miter" endarrow="open"/>
                  <v:imagedata o:title=""/>
                  <o:lock v:ext="edit" aspectratio="f"/>
                </v:shape>
                <v:rect id="矩形 14" o:spid="_x0000_s1026" o:spt="1" style="position:absolute;left:217805;top:39614;height:291465;width:951865;" fillcolor="#FFFFFF" filled="t" stroked="t" coordsize="21600,21600" o:gfxdata="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enTL61QAAAAYBAAAPAAAA&#10;AAAAAAEAIAAAACIAAABkcnMvZG93bnJldi54bWxQSwECFAAUAAAACACHTuJAx6OlLVECAAClBAAA&#10;DgAAAAAAAAABACAAAAAkAQAAZHJzL2Uyb0RvYy54bWxQSwUGAAAAAAYABgBZAQAA5wUAAAAA&#10;">
                  <v:fill on="t" focussize="0,0"/>
                  <v:stroke color="#000000" miterlimit="8" joinstyle="miter"/>
                  <v:imagedata o:title=""/>
                  <o:lock v:ext="edit" aspectratio="f"/>
                  <v:textbox>
                    <w:txbxContent>
                      <w:p w14:paraId="384B8397">
                        <w:pPr>
                          <w:spacing w:after="0" w:line="240" w:lineRule="auto"/>
                          <w:jc w:val="center"/>
                        </w:pPr>
                        <w:r>
                          <w:rPr>
                            <w:rFonts w:hint="eastAsia"/>
                          </w:rPr>
                          <w:t>原料进场</w:t>
                        </w:r>
                      </w:p>
                    </w:txbxContent>
                  </v:textbox>
                </v:rect>
                <v:rect id="矩形 34" o:spid="_x0000_s1026" o:spt="1" style="position:absolute;left:141605;top:2617714;height:292735;width:1068070;" filled="f" stroked="f" coordsize="21600,21600" o:gfxdata="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Gx&#10;6RHXAAAABgEAAA8AAAAAAAAAAQAgAAAAIgAAAGRycy9kb3ducmV2LnhtbFBLAQIUABQAAAAIAIdO&#10;4kDuFRvXJAIAACsEAAAOAAAAAAAAAAEAIAAAACYBAABkcnMvZTJvRG9jLnhtbFBLBQYAAAAABgAG&#10;AFkBAAC8BQAAAAA=&#10;">
                  <v:fill on="f" focussize="0,0"/>
                  <v:stroke on="f"/>
                  <v:imagedata o:title=""/>
                  <o:lock v:ext="edit" aspectratio="f"/>
                  <v:textbox>
                    <w:txbxContent>
                      <w:p w14:paraId="68226E1F">
                        <w:pPr>
                          <w:spacing w:after="0" w:line="240" w:lineRule="auto"/>
                          <w:jc w:val="center"/>
                        </w:pPr>
                        <w:r>
                          <w:rPr>
                            <w:rFonts w:hint="eastAsia"/>
                          </w:rPr>
                          <w:t>生物质燃料</w:t>
                        </w:r>
                      </w:p>
                    </w:txbxContent>
                  </v:textbox>
                </v:rect>
                <v:shape id="_x0000_s1026" o:spid="_x0000_s1026" o:spt="32" type="#_x0000_t32" style="position:absolute;left:675640;top:2293229;flip:y;height:324485;width:5715;" filled="f" stroked="t" coordsize="21600,21600" o:gfxdata="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17jQw&#10;2AAAAAYBAAAPAAAAAAAAAAEAIAAAACIAAABkcnMvZG93bnJldi54bWxQSwECFAAUAAAACACHTuJA&#10;JJhayCECAAAIBAAADgAAAAAAAAABACAAAAAnAQAAZHJzL2Uyb0RvYy54bWxQSwUGAAAAAAYABgBZ&#10;AQAAugUAAAAA&#10;">
                  <v:fill on="f" focussize="0,0"/>
                  <v:stroke weight="1pt" color="#000000 [3213]" miterlimit="8" joinstyle="miter" endarrow="open"/>
                  <v:imagedata o:title=""/>
                  <o:lock v:ext="edit" aspectratio="f"/>
                </v:shape>
                <v:rect id="矩形 38" o:spid="_x0000_s1026" o:spt="1" style="position:absolute;left:1195705;top:1843014;height:291465;width:716280;" filled="f" stroked="f" coordsize="21600,21600" o:gfxdata="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Gx&#10;6RHXAAAABgEAAA8AAAAAAAAAAQAgAAAAIgAAAGRycy9kb3ducmV2LnhtbFBLAQIUABQAAAAIAIdO&#10;4kBjC3OjJAIAACsEAAAOAAAAAAAAAAEAIAAAACYBAABkcnMvZTJvRG9jLnhtbFBLBQYAAAAABgAG&#10;AFkBAAC8BQAAAAA=&#10;">
                  <v:fill on="f" focussize="0,0"/>
                  <v:stroke on="f"/>
                  <v:imagedata o:title=""/>
                  <o:lock v:ext="edit" aspectratio="f"/>
                  <v:textbox>
                    <w:txbxContent>
                      <w:p w14:paraId="4E9A5D88">
                        <w:pPr>
                          <w:spacing w:after="0" w:line="240" w:lineRule="auto"/>
                          <w:jc w:val="center"/>
                        </w:pPr>
                        <w:r>
                          <w:rPr>
                            <w:rFonts w:hint="eastAsia"/>
                          </w:rPr>
                          <w:t>干燥烟气</w:t>
                        </w:r>
                      </w:p>
                    </w:txbxContent>
                  </v:textbox>
                </v:rect>
                <v:rect id="矩形 51" o:spid="_x0000_s1026" o:spt="1" style="position:absolute;left:3284854;top:7507214;height:318770;width:1496695;" filled="f" stroked="f" coordsize="21600,21600" o:gfxdata="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BsekR1wAAAAYBAAAPAAAAAAAAAAEAIAAAACIAAABkcnMvZG93bnJldi54bWxQSwECFAAUAAAA&#10;CACHTuJArAvelygCAAAsBAAADgAAAAAAAAABACAAAAAmAQAAZHJzL2Uyb0RvYy54bWxQSwUGAAAA&#10;AAYABgBZAQAAwAUAAAAA&#10;">
                  <v:fill on="f" focussize="0,0"/>
                  <v:stroke on="f"/>
                  <v:imagedata o:title=""/>
                  <o:lock v:ext="edit" aspectratio="f"/>
                  <v:textbox>
                    <w:txbxContent>
                      <w:p w14:paraId="77A6C0F5">
                        <w:pPr>
                          <w:spacing w:after="0" w:line="240" w:lineRule="auto"/>
                          <w:jc w:val="center"/>
                        </w:pPr>
                        <w:r>
                          <w:rPr>
                            <w:rFonts w:hint="eastAsia"/>
                          </w:rPr>
                          <w:t>放射性粉尘、氡、γ</w:t>
                        </w:r>
                      </w:p>
                    </w:txbxContent>
                  </v:textbox>
                </v:rect>
                <v:rect id="矩形 43" o:spid="_x0000_s1026" o:spt="1" style="position:absolute;left:3348355;top:5418064;height:388620;width:1509394;" filled="f" stroked="f" coordsize="21600,21600" o:gfxdata="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Gx6RHXAAAABgEAAA8AAAAAAAAAAQAgAAAAIgAAAGRycy9kb3ducmV2LnhtbFBLAQIUABQAAAAI&#10;AIdO4kA0psFaJwIAACwEAAAOAAAAAAAAAAEAIAAAACYBAABkcnMvZTJvRG9jLnhtbFBLBQYAAAAA&#10;BgAGAFkBAAC/BQAAAAA=&#10;">
                  <v:fill on="f" focussize="0,0"/>
                  <v:stroke on="f"/>
                  <v:imagedata o:title=""/>
                  <o:lock v:ext="edit" aspectratio="f"/>
                  <v:textbox>
                    <w:txbxContent>
                      <w:p w14:paraId="2B42DAB2">
                        <w:pPr>
                          <w:spacing w:after="0" w:line="240" w:lineRule="auto"/>
                        </w:pPr>
                        <w:r>
                          <w:rPr>
                            <w:rFonts w:hint="eastAsia"/>
                          </w:rPr>
                          <w:t>放射性粉尘、氡、γ</w:t>
                        </w:r>
                      </w:p>
                    </w:txbxContent>
                  </v:textbox>
                </v:rect>
                <v:shape id="自选图形 42" o:spid="_x0000_s1026" o:spt="38" type="#_x0000_t38" style="position:absolute;left:2980055;top:5007219;flip:y;height:125095;width:396240;" filled="f" stroked="t" coordsize="21600,21600" o:gfxdata="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yTe&#10;dNgAAAAGAQAADwAAAAAAAAABACAAAAAiAAAAZHJzL2Rvd25yZXYueG1sUEsBAhQAFAAAAAgAh07i&#10;QHpB6TZbAgAAbAQAAA4AAAAAAAAAAQAgAAAAJwEAAGRycy9lMm9Eb2MueG1sUEsFBgAAAAAGAAYA&#10;WQEAAPQFAAAAAA==&#10;" adj="10835">
                  <v:fill on="f" focussize="0,0"/>
                  <v:stroke color="#000000" miterlimit="8" joinstyle="miter" dashstyle="dash" endarrow="open"/>
                  <v:imagedata o:title=""/>
                  <o:lock v:ext="edit" aspectratio="f"/>
                </v:shape>
                <v:rect id="矩形 43" o:spid="_x0000_s1026" o:spt="1" style="position:absolute;left:3338194;top:4871964;height:401320;width:1500505;" filled="f" stroked="f" coordsize="21600,21600" o:gfxdata="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Gx6RHXAAAABgEAAA8AAAAAAAAAAQAgAAAAIgAAAGRycy9kb3ducmV2LnhtbFBLAQIUABQAAAAI&#10;AIdO4kA2MqlyJwIAACsEAAAOAAAAAAAAAAEAIAAAACYBAABkcnMvZTJvRG9jLnhtbFBLBQYAAAAA&#10;BgAGAFkBAAC/BQAAAAA=&#10;">
                  <v:fill on="f" focussize="0,0"/>
                  <v:stroke on="f"/>
                  <v:imagedata o:title=""/>
                  <o:lock v:ext="edit" aspectratio="f"/>
                  <v:textbox>
                    <w:txbxContent>
                      <w:p w14:paraId="4ACCCCB4">
                        <w:pPr>
                          <w:spacing w:after="0" w:line="240" w:lineRule="auto"/>
                        </w:pPr>
                        <w:r>
                          <w:rPr>
                            <w:rFonts w:hint="eastAsia"/>
                          </w:rPr>
                          <w:t>放射性粉尘、氡、γ</w:t>
                        </w:r>
                      </w:p>
                    </w:txbxContent>
                  </v:textbox>
                </v:rect>
                <v:shape id="自选图形 42" o:spid="_x0000_s1026" o:spt="38" type="#_x0000_t38" style="position:absolute;left:2999105;top:4543669;flip:y;height:125095;width:396240;" filled="f" stroked="t" coordsize="21600,21600" o:gfxdata="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sk&#10;3nTYAAAABgEAAA8AAAAAAAAAAQAgAAAAIgAAAGRycy9kb3ducmV2LnhtbFBLAQIUABQAAAAIAIdO&#10;4kCasQzKXAIAAGwEAAAOAAAAAAAAAAEAIAAAACcBAABkcnMvZTJvRG9jLnhtbFBLBQYAAAAABgAG&#10;AFkBAAD1BQAAAAA=&#10;" adj="10835">
                  <v:fill on="f" focussize="0,0"/>
                  <v:stroke color="#000000" miterlimit="8" joinstyle="miter" dashstyle="dash" endarrow="open"/>
                  <v:imagedata o:title=""/>
                  <o:lock v:ext="edit" aspectratio="f"/>
                </v:shape>
                <v:rect id="矩形 43" o:spid="_x0000_s1026" o:spt="1" style="position:absolute;left:3357245;top:4408414;height:393065;width:1500504;" filled="f" stroked="f" coordsize="21600,21600" o:gfxdata="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B&#10;sekR1wAAAAYBAAAPAAAAAAAAAAEAIAAAACIAAABkcnMvZG93bnJldi54bWxQSwECFAAUAAAACACH&#10;TuJA0a66OCUCAAArBAAADgAAAAAAAAABACAAAAAmAQAAZHJzL2Uyb0RvYy54bWxQSwUGAAAAAAYA&#10;BgBZAQAAvQUAAAAA&#10;">
                  <v:fill on="f" focussize="0,0"/>
                  <v:stroke on="f"/>
                  <v:imagedata o:title=""/>
                  <o:lock v:ext="edit" aspectratio="f"/>
                  <v:textbox>
                    <w:txbxContent>
                      <w:p w14:paraId="0538C5BC">
                        <w:pPr>
                          <w:spacing w:after="0" w:line="240" w:lineRule="auto"/>
                        </w:pPr>
                        <w:r>
                          <w:rPr>
                            <w:rFonts w:hint="eastAsia"/>
                          </w:rPr>
                          <w:t>放射性粉尘、氡、γ</w:t>
                        </w:r>
                      </w:p>
                    </w:txbxContent>
                  </v:textbox>
                </v:rect>
                <v:shape id="自选图形 42" o:spid="_x0000_s1026" o:spt="38" type="#_x0000_t38" style="position:absolute;left:2992755;top:4022969;flip:y;height:125095;width:396240;" filled="f" stroked="t" coordsize="21600,21600" o:gfxdata="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sk&#10;3nTYAAAABgEAAA8AAAAAAAAAAQAgAAAAIgAAAGRycy9kb3ducmV2LnhtbFBLAQIUABQAAAAIAIdO&#10;4kCa7iHiXAIAAGwEAAAOAAAAAAAAAAEAIAAAACcBAABkcnMvZTJvRG9jLnhtbFBLBQYAAAAABgAG&#10;AFkBAAD1BQAAAAA=&#10;" adj="10835">
                  <v:fill on="f" focussize="0,0"/>
                  <v:stroke color="#000000" miterlimit="8" joinstyle="miter" dashstyle="dash" endarrow="open"/>
                  <v:imagedata o:title=""/>
                  <o:lock v:ext="edit" aspectratio="f"/>
                </v:shape>
                <v:rect id="_x0000_s1026" o:spid="_x0000_s1026" o:spt="1" style="position:absolute;left:3350895;top:3887714;height:399415;width:1506854;" filled="f" stroked="f" coordsize="21600,21600" o:gfxdata="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B&#10;sekR1wAAAAYBAAAPAAAAAAAAAAEAIAAAACIAAABkcnMvZG93bnJldi54bWxQSwECFAAUAAAACACH&#10;TuJA8pTkfyUCAAAwBAAADgAAAAAAAAABACAAAAAmAQAAZHJzL2Uyb0RvYy54bWxQSwUGAAAAAAYA&#10;BgBZAQAAvQUAAAAA&#10;">
                  <v:fill on="f" focussize="0,0"/>
                  <v:stroke on="f"/>
                  <v:imagedata o:title=""/>
                  <o:lock v:ext="edit" aspectratio="f"/>
                  <v:textbox>
                    <w:txbxContent>
                      <w:p w14:paraId="0A7432D6">
                        <w:pPr>
                          <w:spacing w:after="0" w:line="240" w:lineRule="auto"/>
                        </w:pPr>
                        <w:r>
                          <w:rPr>
                            <w:rFonts w:hint="eastAsia"/>
                          </w:rPr>
                          <w:t>放射性粉尘、氡、γ</w:t>
                        </w:r>
                      </w:p>
                    </w:txbxContent>
                  </v:textbox>
                </v:rect>
                <v:shape id="自选图形 42" o:spid="_x0000_s1026" o:spt="38" type="#_x0000_t38" style="position:absolute;left:2999105;top:3064119;flip:y;height:125095;width:396240;" filled="f" stroked="t" coordsize="21600,21600" o:gfxdata="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sk&#10;3nTYAAAABgEAAA8AAAAAAAAAAQAgAAAAIgAAAGRycy9kb3ducmV2LnhtbFBLAQIUABQAAAAIAIdO&#10;4kBIXOP5XAIAAGwEAAAOAAAAAAAAAAEAIAAAACcBAABkcnMvZTJvRG9jLnhtbFBLBQYAAAAABgAG&#10;AFkBAAD1BQAAAAA=&#10;" adj="10835">
                  <v:fill on="f" focussize="0,0"/>
                  <v:stroke color="#000000" miterlimit="8" joinstyle="miter" dashstyle="dash" endarrow="open"/>
                  <v:imagedata o:title=""/>
                  <o:lock v:ext="edit" aspectratio="f"/>
                </v:shape>
                <v:rect id="矩形 43" o:spid="_x0000_s1026" o:spt="1" style="position:absolute;left:3357245;top:2928864;height:344170;width:1500504;" filled="f" stroked="f" coordsize="21600,21600" o:gfxdata="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B&#10;sekR1wAAAAYBAAAPAAAAAAAAAAEAIAAAACIAAABkcnMvZG93bnJldi54bWxQSwECFAAUAAAACACH&#10;TuJAgmJf1SUCAAArBAAADgAAAAAAAAABACAAAAAmAQAAZHJzL2Uyb0RvYy54bWxQSwUGAAAAAAYA&#10;BgBZAQAAvQUAAAAA&#10;">
                  <v:fill on="f" focussize="0,0"/>
                  <v:stroke on="f"/>
                  <v:imagedata o:title=""/>
                  <o:lock v:ext="edit" aspectratio="f"/>
                  <v:textbox>
                    <w:txbxContent>
                      <w:p w14:paraId="6A51D94F">
                        <w:pPr>
                          <w:spacing w:after="0" w:line="240" w:lineRule="auto"/>
                        </w:pPr>
                        <w:r>
                          <w:rPr>
                            <w:rFonts w:hint="eastAsia"/>
                          </w:rPr>
                          <w:t>放射性粉尘、氡、γ</w:t>
                        </w:r>
                      </w:p>
                    </w:txbxContent>
                  </v:textbox>
                </v:rect>
                <v:shape id="自选图形 42" o:spid="_x0000_s1026" o:spt="38" type="#_x0000_t38" style="position:absolute;left:2992755;top:2549769;flip:y;height:125095;width:396240;" filled="f" stroked="t" coordsize="21600,21600" o:gfxdata="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sk&#10;3nTYAAAABgEAAA8AAAAAAAAAAQAgAAAAIgAAAGRycy9kb3ducmV2LnhtbFBLAQIUABQAAAAIAIdO&#10;4kBJPdQVXAIAAGwEAAAOAAAAAAAAAAEAIAAAACcBAABkcnMvZTJvRG9jLnhtbFBLBQYAAAAABgAG&#10;AFkBAAD1BQAAAAA=&#10;" adj="10835">
                  <v:fill on="f" focussize="0,0"/>
                  <v:stroke color="#000000" miterlimit="8" joinstyle="miter" dashstyle="dash" endarrow="open"/>
                  <v:imagedata o:title=""/>
                  <o:lock v:ext="edit" aspectratio="f"/>
                </v:shape>
                <v:rect id="矩形 43" o:spid="_x0000_s1026" o:spt="1" style="position:absolute;left:3350895;top:2414514;height:405765;width:1506854;" filled="f" stroked="f" coordsize="21600,21600" o:gfxdata="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gbHpEdcAAAAGAQAADwAAAAAAAAABACAAAAAiAAAAZHJzL2Rvd25yZXYueG1sUEsBAhQAFAAAAAgA&#10;h07iQLL3/f0mAgAALAQAAA4AAAAAAAAAAQAgAAAAJgEAAGRycy9lMm9Eb2MueG1sUEsFBgAAAAAG&#10;AAYAWQEAAL4FAAAAAA==&#10;">
                  <v:fill on="f" focussize="0,0"/>
                  <v:stroke on="f"/>
                  <v:imagedata o:title=""/>
                  <o:lock v:ext="edit" aspectratio="f"/>
                  <v:textbox>
                    <w:txbxContent>
                      <w:p w14:paraId="6EB42E25">
                        <w:pPr>
                          <w:spacing w:after="0" w:line="240" w:lineRule="auto"/>
                        </w:pPr>
                        <w:r>
                          <w:rPr>
                            <w:rFonts w:hint="eastAsia"/>
                          </w:rPr>
                          <w:t>放射性粉尘、氡、γ</w:t>
                        </w:r>
                      </w:p>
                    </w:txbxContent>
                  </v:textbox>
                </v:rect>
                <v:shape id="自选图形 42" o:spid="_x0000_s1026" o:spt="38" type="#_x0000_t38" style="position:absolute;left:2986405;top:2035419;flip:y;height:125095;width:396240;" filled="f" stroked="t" coordsize="21600,21600" o:gfxdata="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7JN50&#10;2AAAAAYBAAAPAAAAAAAAAAEAIAAAACIAAABkcnMvZG93bnJldi54bWxQSwECFAAUAAAACACHTuJA&#10;XMzMrVoCAABrBAAADgAAAAAAAAABACAAAAAnAQAAZHJzL2Uyb0RvYy54bWxQSwUGAAAAAAYABgBZ&#10;AQAA8wUAAAAA&#10;" adj="10835">
                  <v:fill on="f" focussize="0,0"/>
                  <v:stroke color="#000000" miterlimit="8" joinstyle="miter" dashstyle="dash" endarrow="open"/>
                  <v:imagedata o:title=""/>
                  <o:lock v:ext="edit" aspectratio="f"/>
                </v:shape>
                <v:rect id="矩形 43" o:spid="_x0000_s1026" o:spt="1" style="position:absolute;left:3344544;top:1900164;height:410845;width:1532255;" filled="f" stroked="f" coordsize="21600,21600" o:gfxdata="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B&#10;sekR1wAAAAYBAAAPAAAAAAAAAAEAIAAAACIAAABkcnMvZG93bnJldi54bWxQSwECFAAUAAAACACH&#10;TuJA8stQjCUCAAAqBAAADgAAAAAAAAABACAAAAAmAQAAZHJzL2Uyb0RvYy54bWxQSwUGAAAAAAYA&#10;BgBZAQAAvQUAAAAA&#10;">
                  <v:fill on="f" focussize="0,0"/>
                  <v:stroke on="f"/>
                  <v:imagedata o:title=""/>
                  <o:lock v:ext="edit" aspectratio="f"/>
                  <v:textbox>
                    <w:txbxContent>
                      <w:p w14:paraId="70579DB6">
                        <w:pPr>
                          <w:spacing w:after="0" w:line="240" w:lineRule="auto"/>
                        </w:pPr>
                        <w:r>
                          <w:rPr>
                            <w:rFonts w:hint="eastAsia"/>
                          </w:rPr>
                          <w:t>放射性粉尘、氡、γ</w:t>
                        </w:r>
                      </w:p>
                    </w:txbxContent>
                  </v:textbox>
                </v:rect>
                <v:shape id="自选图形 42" o:spid="_x0000_s1026" o:spt="38" type="#_x0000_t38" style="position:absolute;left:2986405;top:1533769;flip:y;height:125095;width:396240;" filled="f" stroked="t" coordsize="21600,21600" o:gfxdata="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sk&#10;3nTYAAAABgEAAA8AAAAAAAAAAQAgAAAAIgAAAGRycy9kb3ducmV2LnhtbFBLAQIUABQAAAAIAIdO&#10;4kDeq66WXAIAAGwEAAAOAAAAAAAAAAEAIAAAACcBAABkcnMvZTJvRG9jLnhtbFBLBQYAAAAABgAG&#10;AFkBAAD1BQAAAAA=&#10;" adj="10835">
                  <v:fill on="f" focussize="0,0"/>
                  <v:stroke color="#000000" miterlimit="8" joinstyle="miter" dashstyle="dash" endarrow="open"/>
                  <v:imagedata o:title=""/>
                  <o:lock v:ext="edit" aspectratio="f"/>
                </v:shape>
                <v:rect id="矩形 43" o:spid="_x0000_s1026" o:spt="1" style="position:absolute;left:3344545;top:1398514;height:398145;width:1494154;" filled="f" stroked="f" coordsize="21600,21600" o:gfxdata="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bHp&#10;EdcAAAAGAQAADwAAAAAAAAABACAAAAAiAAAAZHJzL2Rvd25yZXYueG1sUEsBAhQAFAAAAAgAh07i&#10;QM/AWUEjAgAALAQAAA4AAAAAAAAAAQAgAAAAJgEAAGRycy9lMm9Eb2MueG1sUEsFBgAAAAAGAAYA&#10;WQEAALsFAAAAAA==&#10;">
                  <v:fill on="f" focussize="0,0"/>
                  <v:stroke on="f"/>
                  <v:imagedata o:title=""/>
                  <o:lock v:ext="edit" aspectratio="f"/>
                  <v:textbox>
                    <w:txbxContent>
                      <w:p w14:paraId="754B6294">
                        <w:pPr>
                          <w:spacing w:after="0" w:line="240" w:lineRule="auto"/>
                        </w:pPr>
                        <w:r>
                          <w:rPr>
                            <w:rFonts w:hint="eastAsia"/>
                          </w:rPr>
                          <w:t>放射性粉尘、氡、γ</w:t>
                        </w:r>
                      </w:p>
                    </w:txbxContent>
                  </v:textbox>
                </v:rect>
                <v:shape id="自选图形 42" o:spid="_x0000_s1026" o:spt="38" type="#_x0000_t38" style="position:absolute;left:2986405;top:1038469;flip:y;height:125095;width:396240;" filled="f" stroked="t" coordsize="21600,21600" o:gfxdata="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7JN50&#10;2AAAAAYBAAAPAAAAAAAAAAEAIAAAACIAAABkcnMvZG93bnJldi54bWxQSwECFAAUAAAACACHTuJA&#10;girODVoCAABsBAAADgAAAAAAAAABACAAAAAnAQAAZHJzL2Uyb0RvYy54bWxQSwUGAAAAAAYABgBZ&#10;AQAA8wUAAAAA&#10;" adj="10835">
                  <v:fill on="f" focussize="0,0"/>
                  <v:stroke color="#000000" miterlimit="8" joinstyle="miter" dashstyle="dash" endarrow="open"/>
                  <v:imagedata o:title=""/>
                  <o:lock v:ext="edit" aspectratio="f"/>
                </v:shape>
                <v:rect id="矩形 43" o:spid="_x0000_s1026" o:spt="1" style="position:absolute;left:3344544;top:903214;height:374015;width:1513205;" filled="f" stroked="f" coordsize="21600,21600" o:gfxdata="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Gx&#10;6RHXAAAABgEAAA8AAAAAAAAAAQAgAAAAIgAAAGRycy9kb3ducmV2LnhtbFBLAQIUABQAAAAIAIdO&#10;4kC4NyWqJAIAACkEAAAOAAAAAAAAAAEAIAAAACYBAABkcnMvZTJvRG9jLnhtbFBLBQYAAAAABgAG&#10;AFkBAAC8BQAAAAA=&#10;">
                  <v:fill on="f" focussize="0,0"/>
                  <v:stroke on="f"/>
                  <v:imagedata o:title=""/>
                  <o:lock v:ext="edit" aspectratio="f"/>
                  <v:textbox>
                    <w:txbxContent>
                      <w:p w14:paraId="090F7670">
                        <w:pPr>
                          <w:spacing w:after="0" w:line="240" w:lineRule="auto"/>
                        </w:pPr>
                        <w:r>
                          <w:rPr>
                            <w:rFonts w:hint="eastAsia"/>
                          </w:rPr>
                          <w:t>放射性粉尘、氡、γ</w:t>
                        </w:r>
                      </w:p>
                    </w:txbxContent>
                  </v:textbox>
                </v:rect>
                <v:shape id="自选图形 42" o:spid="_x0000_s1026" o:spt="38" type="#_x0000_t38" style="position:absolute;left:2999105;top:85969;flip:y;height:125095;width:396240;" filled="f" stroked="t" coordsize="21600,21600" o:gfxdata="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Psk3nTY&#10;AAAABgEAAA8AAAAAAAAAAQAgAAAAIgAAAGRycy9kb3ducmV2LnhtbFBLAQIUABQAAAAIAIdO4kCD&#10;8BM+WQIAAGoEAAAOAAAAAAAAAAEAIAAAACcBAABkcnMvZTJvRG9jLnhtbFBLBQYAAAAABgAGAFkB&#10;AADyBQAAAAA=&#10;" adj="10835">
                  <v:fill on="f" focussize="0,0"/>
                  <v:stroke color="#000000" miterlimit="8" joinstyle="miter" dashstyle="dash" endarrow="open"/>
                  <v:imagedata o:title=""/>
                  <o:lock v:ext="edit" aspectratio="f"/>
                </v:shape>
                <v:rect id="矩形 43" o:spid="_x0000_s1026" o:spt="1" style="position:absolute;left:3357245;top:36439;height:340995;width:1404620;" filled="f" stroked="f" coordsize="21600,21600" o:gfxdata="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BsekR&#10;1wAAAAYBAAAPAAAAAAAAAAEAIAAAACIAAABkcnMvZG93bnJldi54bWxQSwECFAAUAAAACACHTuJA&#10;M7wW/iICAAApBAAADgAAAAAAAAABACAAAAAmAQAAZHJzL2Uyb0RvYy54bWxQSwUGAAAAAAYABgBZ&#10;AQAAugUAAAAA&#10;">
                  <v:fill on="f" focussize="0,0"/>
                  <v:stroke on="f"/>
                  <v:imagedata o:title=""/>
                  <o:lock v:ext="edit" aspectratio="f"/>
                  <v:textbox>
                    <w:txbxContent>
                      <w:p w14:paraId="64BB02B7">
                        <w:pPr>
                          <w:spacing w:after="0" w:line="240" w:lineRule="auto"/>
                        </w:pPr>
                        <w:r>
                          <w:rPr>
                            <w:rFonts w:hint="eastAsia"/>
                          </w:rPr>
                          <w:t>放射性粉尘、氡、γ</w:t>
                        </w:r>
                      </w:p>
                    </w:txbxContent>
                  </v:textbox>
                </v:rect>
                <v:shape id="自选图形 42" o:spid="_x0000_s1026" o:spt="37" type="#_x0000_t37" style="position:absolute;left:909955;top:359019;height:309245;width:333375;" filled="f" stroked="t" coordsize="21600,21600" o:gfxdata="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OTvinvWAAAABgEAAA8AAAAAAAAAAQAgAAAAIgAAAGRycy9kb3ducmV2Lnht&#10;bFBLAQIUABQAAAAIAIdO4kD5hTw+NAIAADMEAAAOAAAAAAAAAAEAIAAAACUBAABkcnMvZTJvRG9j&#10;LnhtbFBLBQYAAAAABgAGAFkBAADLBQAAAAA=&#10;">
                  <v:fill on="f" focussize="0,0"/>
                  <v:stroke color="#000000" miterlimit="8" joinstyle="miter" dashstyle="dash" endarrow="open"/>
                  <v:imagedata o:title=""/>
                  <o:lock v:ext="edit" aspectratio="f"/>
                </v:shape>
                <v:rect id="矩形 43" o:spid="_x0000_s1026" o:spt="1" style="position:absolute;left:428625;top:668264;height:317500;width:1504950;" filled="f" stroked="f" coordsize="21600,21600" o:gfxdata="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gbHpEdcAAAAGAQAADwAAAAAAAAABACAAAAAiAAAAZHJzL2Rvd25yZXYueG1sUEsBAhQAFAAAAAgA&#10;h07iQNOxbRwmAgAAKQQAAA4AAAAAAAAAAQAgAAAAJgEAAGRycy9lMm9Eb2MueG1sUEsFBgAAAAAG&#10;AAYAWQEAAL4FAAAAAA==&#10;">
                  <v:fill on="f" focussize="0,0"/>
                  <v:stroke on="f"/>
                  <v:imagedata o:title=""/>
                  <o:lock v:ext="edit" aspectratio="f"/>
                  <v:textbox>
                    <w:txbxContent>
                      <w:p w14:paraId="1ADCDF66">
                        <w:pPr>
                          <w:spacing w:after="0" w:line="240" w:lineRule="auto"/>
                        </w:pPr>
                        <w:r>
                          <w:rPr>
                            <w:rFonts w:hint="eastAsia"/>
                          </w:rPr>
                          <w:t>放射性粉尘、氡、γ</w:t>
                        </w:r>
                      </w:p>
                    </w:txbxContent>
                  </v:textbox>
                </v:rect>
                <v:shape id="自选图形 42" o:spid="_x0000_s1026" o:spt="38" type="#_x0000_t38" style="position:absolute;left:567055;top:6269599;height:201930;width:476250;rotation:11796480f;" filled="f" stroked="t" coordsize="21600,21600" o:gfxdata="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Nuym&#10;ItUAAAAGAQAADwAAAAAAAAABACAAAAAiAAAAZHJzL2Rvd25yZXYueG1sUEsBAhQAFAAAAAgAh07i&#10;QHW84jNeAgAAcQQAAA4AAAAAAAAAAQAgAAAAJAEAAGRycy9lMm9Eb2MueG1sUEsFBgAAAAAGAAYA&#10;WQEAAPQFAAAAAA==&#10;" adj="10771">
                  <v:fill on="f" focussize="0,0"/>
                  <v:stroke color="#000000" miterlimit="8" joinstyle="miter" dashstyle="dash" endarrow="open"/>
                  <v:imagedata o:title=""/>
                  <o:lock v:ext="edit" aspectratio="f"/>
                </v:shape>
                <v:rect id="矩形 43" o:spid="_x0000_s1026" o:spt="1" style="position:absolute;left:74930;top:5940034;height:343535;width:1477645;" filled="f" stroked="f" coordsize="21600,21600" o:gfxdata="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Gx&#10;6RHXAAAABgEAAA8AAAAAAAAAAQAgAAAAIgAAAGRycy9kb3ducmV2LnhtbFBLAQIUABQAAAAIAIdO&#10;4kDQOC9LJAIAACkEAAAOAAAAAAAAAAEAIAAAACYBAABkcnMvZTJvRG9jLnhtbFBLBQYAAAAABgAG&#10;AFkBAAC8BQAAAAA=&#10;">
                  <v:fill on="f" focussize="0,0"/>
                  <v:stroke on="f"/>
                  <v:imagedata o:title=""/>
                  <o:lock v:ext="edit" aspectratio="f"/>
                  <v:textbox>
                    <w:txbxContent>
                      <w:p w14:paraId="28AA2913">
                        <w:pPr>
                          <w:spacing w:after="0" w:line="240" w:lineRule="auto"/>
                        </w:pPr>
                        <w:r>
                          <w:rPr>
                            <w:rFonts w:hint="eastAsia"/>
                          </w:rPr>
                          <w:t>放射性粉尘、氡、γ</w:t>
                        </w:r>
                      </w:p>
                    </w:txbxContent>
                  </v:textbox>
                </v:rect>
                <v:shape id="自选图形 50" o:spid="_x0000_s1026" o:spt="38" type="#_x0000_t38" style="position:absolute;left:2992755;top:7634214;flip:y;height:87630;width:337820;" filled="f" stroked="t" coordsize="21600,21600" o:gfxdata="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D2h1obX&#10;AAAABgEAAA8AAAAAAAAAAQAgAAAAIgAAAGRycy9kb3ducmV2LnhtbFBLAQIUABQAAAAIAIdO4kC0&#10;YYKgWgIAAGoEAAAOAAAAAAAAAAEAIAAAACYBAABkcnMvZTJvRG9jLnhtbFBLBQYAAAAABgAGAFkB&#10;AADyBQAAAAA=&#10;" adj="10841">
                  <v:fill on="f" focussize="0,0"/>
                  <v:stroke color="#000000" miterlimit="8" joinstyle="miter" dashstyle="dash" endarrow="open"/>
                  <v:imagedata o:title=""/>
                  <o:lock v:ext="edit" aspectratio="f"/>
                </v:shape>
                <w10:wrap type="none"/>
                <w10:anchorlock/>
              </v:group>
            </w:pict>
          </mc:Fallback>
        </mc:AlternateContent>
      </w:r>
      <w:r>
        <w:rPr>
          <w:rFonts w:hint="eastAsia" w:ascii="Times New Roman" w:hAnsi="Times New Roman" w:cs="Times New Roman"/>
          <w:b/>
          <w:color w:val="000000" w:themeColor="text1"/>
          <w:spacing w:val="-2"/>
          <w:sz w:val="24"/>
          <w:szCs w:val="24"/>
          <w14:textFill>
            <w14:solidFill>
              <w14:schemeClr w14:val="tx1"/>
            </w14:solidFill>
          </w14:textFill>
        </w:rPr>
        <w:t>图2.1-2  放射性核素在工艺流程的走向图</w:t>
      </w:r>
    </w:p>
    <w:p w14:paraId="7BA2A38F">
      <w:pPr>
        <w:pStyle w:val="5"/>
        <w:widowControl w:val="0"/>
        <w:numPr>
          <w:ilvl w:val="2"/>
          <w:numId w:val="1"/>
        </w:numPr>
        <w:spacing w:before="0" w:line="360" w:lineRule="auto"/>
        <w:jc w:val="both"/>
        <w:rPr>
          <w:rFonts w:ascii="Times New Roman" w:hAnsi="Times New Roman" w:eastAsia="黑体" w:cs="Times New Roman"/>
          <w:b/>
          <w:bCs/>
          <w:caps w:val="0"/>
          <w:color w:val="000000" w:themeColor="text1"/>
          <w:kern w:val="2"/>
          <w:sz w:val="24"/>
          <w:szCs w:val="32"/>
          <w14:textFill>
            <w14:solidFill>
              <w14:schemeClr w14:val="tx1"/>
            </w14:solidFill>
          </w14:textFill>
        </w:rPr>
      </w:pPr>
      <w:r>
        <w:rPr>
          <w:rFonts w:hint="eastAsia" w:ascii="Times New Roman" w:hAnsi="Times New Roman" w:eastAsia="黑体" w:cs="Times New Roman"/>
          <w:b/>
          <w:bCs/>
          <w:caps w:val="0"/>
          <w:color w:val="000000" w:themeColor="text1"/>
          <w:kern w:val="2"/>
          <w:sz w:val="24"/>
          <w:szCs w:val="32"/>
          <w14:textFill>
            <w14:solidFill>
              <w14:schemeClr w14:val="tx1"/>
            </w14:solidFill>
          </w14:textFill>
        </w:rPr>
        <w:t>项目用排水情况</w:t>
      </w:r>
    </w:p>
    <w:p w14:paraId="2969AD78">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（1）污水</w:t>
      </w:r>
    </w:p>
    <w:p w14:paraId="5630ACA2">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项目生产过程中无需用水，毛矿含水率不高，并且原料均存放于厂房内，在堆存过程中也不产生渗滤液。项目运营期的用水主要是工作人员工作期间的生活用水。项目劳动定员10人，员工均不在厂内住宿，厂内不设置食堂宿舍等，生活用水参照《室外排水设计规范》（GB50014-2006），办公额定用水量按每人每天用水50L计算，年工作300天，生活用水量为150m</w:t>
      </w:r>
      <w:r>
        <w:rPr>
          <w:rFonts w:hint="eastAsia" w:ascii="Times New Roman" w:hAnsi="Times New Roman" w:eastAsia="宋体" w:cs="Times New Roman"/>
          <w:color w:val="000000" w:themeColor="text1"/>
          <w:spacing w:val="-2"/>
          <w:sz w:val="24"/>
          <w:szCs w:val="20"/>
          <w:vertAlign w:val="superscript"/>
          <w14:textFill>
            <w14:solidFill>
              <w14:schemeClr w14:val="tx1"/>
            </w14:solidFill>
          </w14:textFill>
        </w:rPr>
        <w:t>3</w:t>
      </w:r>
      <w:r>
        <w:rPr>
          <w:rFonts w:hint="eastAsia" w:ascii="Times New Roman" w:hAnsi="Times New Roman" w:eastAsia="宋体" w:cs="Times New Roman"/>
          <w:color w:val="000000" w:themeColor="text1"/>
          <w:spacing w:val="-2"/>
          <w:sz w:val="24"/>
          <w:szCs w:val="20"/>
          <w14:textFill>
            <w14:solidFill>
              <w14:schemeClr w14:val="tx1"/>
            </w14:solidFill>
          </w14:textFill>
        </w:rPr>
        <w:t>/a。生活污水量按用水量的80%计，则员工生活污水量为120m</w:t>
      </w:r>
      <w:r>
        <w:rPr>
          <w:rFonts w:hint="eastAsia" w:ascii="Times New Roman" w:hAnsi="Times New Roman" w:eastAsia="宋体" w:cs="Times New Roman"/>
          <w:color w:val="000000" w:themeColor="text1"/>
          <w:spacing w:val="-2"/>
          <w:sz w:val="24"/>
          <w:szCs w:val="20"/>
          <w:vertAlign w:val="superscript"/>
          <w14:textFill>
            <w14:solidFill>
              <w14:schemeClr w14:val="tx1"/>
            </w14:solidFill>
          </w14:textFill>
        </w:rPr>
        <w:t>3</w:t>
      </w:r>
      <w:r>
        <w:rPr>
          <w:rFonts w:hint="eastAsia" w:ascii="Times New Roman" w:hAnsi="Times New Roman" w:eastAsia="宋体" w:cs="Times New Roman"/>
          <w:color w:val="000000" w:themeColor="text1"/>
          <w:spacing w:val="-2"/>
          <w:sz w:val="24"/>
          <w:szCs w:val="20"/>
          <w14:textFill>
            <w14:solidFill>
              <w14:schemeClr w14:val="tx1"/>
            </w14:solidFill>
          </w14:textFill>
        </w:rPr>
        <w:t>/a，主要污染物为COD、BOD</w:t>
      </w:r>
      <w:r>
        <w:rPr>
          <w:rFonts w:hint="eastAsia" w:ascii="Times New Roman" w:hAnsi="Times New Roman" w:eastAsia="宋体" w:cs="Times New Roman"/>
          <w:color w:val="000000" w:themeColor="text1"/>
          <w:spacing w:val="-2"/>
          <w:sz w:val="24"/>
          <w:szCs w:val="20"/>
          <w:vertAlign w:val="subscript"/>
          <w14:textFill>
            <w14:solidFill>
              <w14:schemeClr w14:val="tx1"/>
            </w14:solidFill>
          </w14:textFill>
        </w:rPr>
        <w:t>5</w:t>
      </w:r>
      <w:r>
        <w:rPr>
          <w:rFonts w:hint="eastAsia" w:ascii="Times New Roman" w:hAnsi="Times New Roman" w:eastAsia="宋体" w:cs="Times New Roman"/>
          <w:color w:val="000000" w:themeColor="text1"/>
          <w:spacing w:val="-2"/>
          <w:sz w:val="24"/>
          <w:szCs w:val="20"/>
          <w14:textFill>
            <w14:solidFill>
              <w14:schemeClr w14:val="tx1"/>
            </w14:solidFill>
          </w14:textFill>
        </w:rPr>
        <w:t>、SS、NH</w:t>
      </w:r>
      <w:r>
        <w:rPr>
          <w:rFonts w:hint="eastAsia" w:ascii="Times New Roman" w:hAnsi="Times New Roman" w:eastAsia="宋体" w:cs="Times New Roman"/>
          <w:color w:val="000000" w:themeColor="text1"/>
          <w:spacing w:val="-2"/>
          <w:sz w:val="24"/>
          <w:szCs w:val="20"/>
          <w:vertAlign w:val="subscript"/>
          <w14:textFill>
            <w14:solidFill>
              <w14:schemeClr w14:val="tx1"/>
            </w14:solidFill>
          </w14:textFill>
        </w:rPr>
        <w:t>3</w:t>
      </w:r>
      <w:r>
        <w:rPr>
          <w:rFonts w:hint="eastAsia" w:ascii="Times New Roman" w:hAnsi="Times New Roman" w:eastAsia="宋体" w:cs="Times New Roman"/>
          <w:color w:val="000000" w:themeColor="text1"/>
          <w:spacing w:val="-2"/>
          <w:sz w:val="24"/>
          <w:szCs w:val="20"/>
          <w14:textFill>
            <w14:solidFill>
              <w14:schemeClr w14:val="tx1"/>
            </w14:solidFill>
          </w14:textFill>
        </w:rPr>
        <w:t>-N等。生活污水采用化粪池处理达到《污水综合排放标准》（GB8978-1996）三级标准后排入市政污水管网送钦州港大榄坪污水处理厂进一步处理。</w:t>
      </w:r>
      <w:bookmarkStart w:id="45" w:name="_Toc78822649"/>
    </w:p>
    <w:p w14:paraId="245BAD1A">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（2）雨水</w:t>
      </w:r>
    </w:p>
    <w:p w14:paraId="6C0C87A6">
      <w:pPr>
        <w:widowControl w:val="0"/>
        <w:spacing w:after="0" w:line="360" w:lineRule="auto"/>
        <w:ind w:firstLine="480"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color w:val="000000" w:themeColor="text1"/>
          <w:sz w:val="24"/>
          <w:szCs w:val="24"/>
          <w:u w:val="single"/>
          <w14:textFill>
            <w14:solidFill>
              <w14:schemeClr w14:val="tx1"/>
            </w14:solidFill>
          </w14:textFill>
        </w:rPr>
        <w:t>项目生产线及物料堆放用地均布置在车间内，无新增室外建筑物。项目用地内的雨水主要为车间顶棚雨水，车间顶棚雨水依托广西钦州保税区创大冷链物流公司的3号仓库屋面雨水系统收集，项目用地范围附近属于园区内的路面，项目进出厂物料运输均严格进行篷布覆盖，杜绝物料洒落地面，</w:t>
      </w:r>
      <w:r>
        <w:rPr>
          <w:rFonts w:hint="eastAsia" w:ascii="Times New Roman" w:hAnsi="Times New Roman"/>
          <w:color w:val="000000" w:themeColor="text1"/>
          <w:sz w:val="24"/>
          <w:szCs w:val="24"/>
          <w:u w:val="single"/>
          <w14:textFill>
            <w14:solidFill>
              <w14:schemeClr w14:val="tx1"/>
            </w14:solidFill>
          </w14:textFill>
        </w:rPr>
        <w:t>项目进出厂物料的影响区域主要在靠近车间出入口附近的地面。项目初期雨水收集范围以项目顶棚雨水、项目车间出入口附近的路面，收集面积约4400m</w:t>
      </w:r>
      <w:r>
        <w:rPr>
          <w:rFonts w:hint="eastAsia" w:ascii="Times New Roman" w:hAnsi="Times New Roman"/>
          <w:color w:val="000000" w:themeColor="text1"/>
          <w:sz w:val="24"/>
          <w:szCs w:val="24"/>
          <w:u w:val="single"/>
          <w:vertAlign w:val="superscript"/>
          <w14:textFill>
            <w14:solidFill>
              <w14:schemeClr w14:val="tx1"/>
            </w14:solidFill>
          </w14:textFill>
        </w:rPr>
        <w:t>2</w:t>
      </w:r>
      <w:r>
        <w:rPr>
          <w:rFonts w:hint="eastAsia" w:ascii="Times New Roman" w:hAnsi="Times New Roman"/>
          <w:color w:val="000000" w:themeColor="text1"/>
          <w:sz w:val="24"/>
          <w:szCs w:val="24"/>
          <w:u w:val="single"/>
          <w14:textFill>
            <w14:solidFill>
              <w14:schemeClr w14:val="tx1"/>
            </w14:solidFill>
          </w14:textFill>
        </w:rPr>
        <w:t>。经计算初期雨水量为121.95m</w:t>
      </w:r>
      <w:r>
        <w:rPr>
          <w:rFonts w:hint="eastAsia" w:ascii="Times New Roman" w:hAnsi="Times New Roman"/>
          <w:color w:val="000000" w:themeColor="text1"/>
          <w:sz w:val="24"/>
          <w:szCs w:val="24"/>
          <w:u w:val="single"/>
          <w:vertAlign w:val="superscript"/>
          <w14:textFill>
            <w14:solidFill>
              <w14:schemeClr w14:val="tx1"/>
            </w14:solidFill>
          </w14:textFill>
        </w:rPr>
        <w:t>3</w:t>
      </w:r>
      <w:r>
        <w:rPr>
          <w:rFonts w:hint="eastAsia" w:ascii="Times New Roman" w:hAnsi="Times New Roman"/>
          <w:color w:val="000000" w:themeColor="text1"/>
          <w:sz w:val="24"/>
          <w:szCs w:val="24"/>
          <w:u w:val="single"/>
          <w14:textFill>
            <w14:solidFill>
              <w14:schemeClr w14:val="tx1"/>
            </w14:solidFill>
          </w14:textFill>
        </w:rPr>
        <w:t>，在创大进口汽车仓储物流园东大门附近设置一个150m</w:t>
      </w:r>
      <w:r>
        <w:rPr>
          <w:rFonts w:hint="eastAsia" w:ascii="Times New Roman" w:hAnsi="Times New Roman"/>
          <w:color w:val="000000" w:themeColor="text1"/>
          <w:sz w:val="24"/>
          <w:szCs w:val="24"/>
          <w:u w:val="single"/>
          <w:vertAlign w:val="superscript"/>
          <w14:textFill>
            <w14:solidFill>
              <w14:schemeClr w14:val="tx1"/>
            </w14:solidFill>
          </w14:textFill>
        </w:rPr>
        <w:t>3</w:t>
      </w:r>
      <w:r>
        <w:rPr>
          <w:rFonts w:hint="eastAsia" w:ascii="Times New Roman" w:hAnsi="Times New Roman"/>
          <w:color w:val="000000" w:themeColor="text1"/>
          <w:sz w:val="24"/>
          <w:szCs w:val="24"/>
          <w:u w:val="single"/>
          <w14:textFill>
            <w14:solidFill>
              <w14:schemeClr w14:val="tx1"/>
            </w14:solidFill>
          </w14:textFill>
        </w:rPr>
        <w:t>的初期雨水池进行收集，收集后的初期雨水经沉淀后回用于项目水雾喷淋降尘系统使用。</w:t>
      </w:r>
    </w:p>
    <w:p w14:paraId="37BCD6E7">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u w:val="single"/>
          <w14:textFill>
            <w14:solidFill>
              <w14:schemeClr w14:val="tx1"/>
            </w14:solidFill>
          </w14:textFill>
        </w:rPr>
      </w:pPr>
      <w:r>
        <w:rPr>
          <w:rFonts w:hint="eastAsia" w:ascii="Times New Roman" w:hAnsi="Times New Roman" w:eastAsia="宋体" w:cs="Times New Roman"/>
          <w:color w:val="000000" w:themeColor="text1"/>
          <w:spacing w:val="-2"/>
          <w:sz w:val="24"/>
          <w:szCs w:val="20"/>
          <w:u w:val="single"/>
          <w14:textFill>
            <w14:solidFill>
              <w14:schemeClr w14:val="tx1"/>
            </w14:solidFill>
          </w14:textFill>
        </w:rPr>
        <w:t>项目无生产废水排放，生活污水、基本不含放射性物质；初期雨水经收集处理后回用，不外排。因此项目无需进行液态流出物放射性分析。</w:t>
      </w:r>
    </w:p>
    <w:p w14:paraId="628D2F76">
      <w:pPr>
        <w:pStyle w:val="5"/>
        <w:widowControl w:val="0"/>
        <w:numPr>
          <w:ilvl w:val="2"/>
          <w:numId w:val="1"/>
        </w:numPr>
        <w:spacing w:before="0" w:line="360" w:lineRule="auto"/>
        <w:jc w:val="both"/>
        <w:rPr>
          <w:rFonts w:ascii="Times New Roman" w:hAnsi="Times New Roman" w:eastAsia="黑体" w:cs="Times New Roman"/>
          <w:b/>
          <w:bCs/>
          <w:caps w:val="0"/>
          <w:color w:val="000000" w:themeColor="text1"/>
          <w:kern w:val="2"/>
          <w:sz w:val="24"/>
          <w:szCs w:val="32"/>
          <w14:textFill>
            <w14:solidFill>
              <w14:schemeClr w14:val="tx1"/>
            </w14:solidFill>
          </w14:textFill>
        </w:rPr>
      </w:pPr>
      <w:r>
        <w:rPr>
          <w:rFonts w:ascii="Times New Roman" w:hAnsi="Times New Roman" w:eastAsia="黑体" w:cs="Times New Roman"/>
          <w:b/>
          <w:bCs/>
          <w:caps w:val="0"/>
          <w:color w:val="000000" w:themeColor="text1"/>
          <w:kern w:val="2"/>
          <w:sz w:val="24"/>
          <w:szCs w:val="32"/>
          <w14:textFill>
            <w14:solidFill>
              <w14:schemeClr w14:val="tx1"/>
            </w14:solidFill>
          </w14:textFill>
        </w:rPr>
        <w:t>主要核素平衡</w:t>
      </w:r>
      <w:bookmarkEnd w:id="45"/>
    </w:p>
    <w:p w14:paraId="5D62B003">
      <w:pPr>
        <w:pStyle w:val="6"/>
        <w:widowControl w:val="0"/>
        <w:numPr>
          <w:ilvl w:val="3"/>
          <w:numId w:val="1"/>
        </w:numPr>
        <w:spacing w:before="0" w:line="360" w:lineRule="auto"/>
        <w:ind w:left="0" w:firstLine="0"/>
        <w:jc w:val="both"/>
        <w:rPr>
          <w:rFonts w:ascii="Times New Roman" w:hAnsi="Times New Roman" w:eastAsia="黑体" w:cs="Times New Roman"/>
          <w:bCs/>
          <w:i w:val="0"/>
          <w:iCs w:val="0"/>
          <w:color w:val="000000" w:themeColor="text1"/>
          <w:kern w:val="2"/>
          <w:sz w:val="24"/>
          <w14:textFill>
            <w14:solidFill>
              <w14:schemeClr w14:val="tx1"/>
            </w14:solidFill>
          </w14:textFill>
        </w:rPr>
      </w:pPr>
      <w:r>
        <w:rPr>
          <w:rFonts w:ascii="Times New Roman" w:hAnsi="Times New Roman" w:eastAsia="黑体" w:cs="Times New Roman"/>
          <w:bCs/>
          <w:i w:val="0"/>
          <w:iCs w:val="0"/>
          <w:color w:val="000000" w:themeColor="text1"/>
          <w:kern w:val="2"/>
          <w:sz w:val="24"/>
          <w14:textFill>
            <w14:solidFill>
              <w14:schemeClr w14:val="tx1"/>
            </w14:solidFill>
          </w14:textFill>
        </w:rPr>
        <w:t>原料与产品的放射性核素含量</w:t>
      </w:r>
    </w:p>
    <w:p w14:paraId="2E073D61">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项目原料主要来自非洲，项目原料来源地根据市场情况有波动，项目目前尚未建成，尚未有原料及产品产出，</w:t>
      </w:r>
      <w:r>
        <w:rPr>
          <w:rFonts w:ascii="Times New Roman" w:hAnsi="Times New Roman" w:cs="Times New Roman"/>
          <w:color w:val="000000" w:themeColor="text1"/>
          <w:sz w:val="24"/>
          <w:szCs w:val="24"/>
          <w14:textFill>
            <w14:solidFill>
              <w14:schemeClr w14:val="tx1"/>
            </w14:solidFill>
          </w14:textFill>
        </w:rPr>
        <w:t>故本项目通过类比的形式分析原料和产品中的放射性。鉴于原料核素活度存在一定的波动性，产品会随原料核素活度的变化而变化，为了充分了解原料及产品中的核素比活度，本专篇综合引用了已经广西壮族自治区生态环境厅批复的《金联达钛新材料项目辐射环境影响评价专篇》（桂环审</w:t>
      </w: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2021</w:t>
      </w: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87号）的相关数据进行分析。</w:t>
      </w:r>
    </w:p>
    <w:p w14:paraId="66CA875B">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金联达钛新材料项目辐射环境影响评价专篇》引用的数据为海南海拓矿业有限公司、广西源丰达科技资源科技有限公司、广西道丰新材料有限公司等三家公司的原料、产品及副产品核素分析结果。上述三家企业的原料与本项目原料来源基本相同，均</w:t>
      </w:r>
      <w:r>
        <w:rPr>
          <w:rFonts w:hint="eastAsia" w:ascii="Times New Roman" w:hAnsi="Times New Roman" w:cs="Times New Roman"/>
          <w:color w:val="000000" w:themeColor="text1"/>
          <w:sz w:val="24"/>
          <w:szCs w:val="24"/>
          <w14:textFill>
            <w14:solidFill>
              <w14:schemeClr w14:val="tx1"/>
            </w14:solidFill>
          </w14:textFill>
        </w:rPr>
        <w:t>主要</w:t>
      </w:r>
      <w:r>
        <w:rPr>
          <w:rFonts w:ascii="Times New Roman" w:hAnsi="Times New Roman" w:cs="Times New Roman"/>
          <w:color w:val="000000" w:themeColor="text1"/>
          <w:sz w:val="24"/>
          <w:szCs w:val="24"/>
          <w14:textFill>
            <w14:solidFill>
              <w14:schemeClr w14:val="tx1"/>
            </w14:solidFill>
          </w14:textFill>
        </w:rPr>
        <w:t>来自非洲等地，生产工艺也与本项目相同，均采用物理选矿，</w:t>
      </w:r>
      <w:r>
        <w:rPr>
          <w:rFonts w:hint="eastAsia" w:ascii="Times New Roman" w:hAnsi="Times New Roman" w:cs="Times New Roman"/>
          <w:color w:val="000000" w:themeColor="text1"/>
          <w:sz w:val="24"/>
          <w:szCs w:val="24"/>
          <w14:textFill>
            <w14:solidFill>
              <w14:schemeClr w14:val="tx1"/>
            </w14:solidFill>
          </w14:textFill>
        </w:rPr>
        <w:t>生产过程中涉及</w:t>
      </w:r>
      <w:r>
        <w:rPr>
          <w:rFonts w:ascii="Times New Roman" w:hAnsi="Times New Roman" w:cs="Times New Roman"/>
          <w:color w:val="000000" w:themeColor="text1"/>
          <w:sz w:val="24"/>
          <w:szCs w:val="24"/>
          <w14:textFill>
            <w14:solidFill>
              <w14:schemeClr w14:val="tx1"/>
            </w14:solidFill>
          </w14:textFill>
        </w:rPr>
        <w:t>钛</w:t>
      </w:r>
      <w:r>
        <w:rPr>
          <w:rFonts w:hint="eastAsia" w:ascii="Times New Roman" w:hAnsi="Times New Roman" w:cs="Times New Roman"/>
          <w:color w:val="000000" w:themeColor="text1"/>
          <w:sz w:val="24"/>
          <w:szCs w:val="24"/>
          <w14:textFill>
            <w14:solidFill>
              <w14:schemeClr w14:val="tx1"/>
            </w14:solidFill>
          </w14:textFill>
        </w:rPr>
        <w:t>铁矿、锆中矿</w:t>
      </w:r>
      <w:r>
        <w:rPr>
          <w:rFonts w:ascii="Times New Roman" w:hAnsi="Times New Roman" w:cs="Times New Roman"/>
          <w:color w:val="000000" w:themeColor="text1"/>
          <w:sz w:val="24"/>
          <w:szCs w:val="24"/>
          <w14:textFill>
            <w14:solidFill>
              <w14:schemeClr w14:val="tx1"/>
            </w14:solidFill>
          </w14:textFill>
        </w:rPr>
        <w:t>等。三家企业的原料及产品中放射性核素含量见表2.1</w:t>
      </w:r>
      <w:r>
        <w:rPr>
          <w:rFonts w:ascii="Times New Roman" w:hAnsi="Times New Roman" w:cs="Times New Roman"/>
          <w:color w:val="000000" w:themeColor="text1"/>
          <w:sz w:val="24"/>
          <w:szCs w:val="24"/>
          <w14:textFill>
            <w14:solidFill>
              <w14:schemeClr w14:val="tx1"/>
            </w14:solidFill>
          </w14:textFill>
        </w:rPr>
        <w:noBreakHyphen/>
      </w:r>
      <w:r>
        <w:rPr>
          <w:rFonts w:hint="eastAsia" w:ascii="Times New Roman" w:hAnsi="Times New Roman" w:cs="Times New Roman"/>
          <w:color w:val="000000" w:themeColor="text1"/>
          <w:sz w:val="24"/>
          <w:szCs w:val="24"/>
          <w14:textFill>
            <w14:solidFill>
              <w14:schemeClr w14:val="tx1"/>
            </w14:solidFill>
          </w14:textFill>
        </w:rPr>
        <w:t>2</w:t>
      </w:r>
      <w:r>
        <w:rPr>
          <w:rFonts w:ascii="Times New Roman" w:hAnsi="Times New Roman" w:cs="Times New Roman"/>
          <w:color w:val="000000" w:themeColor="text1"/>
          <w:sz w:val="24"/>
          <w:szCs w:val="24"/>
          <w14:textFill>
            <w14:solidFill>
              <w14:schemeClr w14:val="tx1"/>
            </w14:solidFill>
          </w14:textFill>
        </w:rPr>
        <w:t>。</w:t>
      </w:r>
    </w:p>
    <w:p w14:paraId="02B79517">
      <w:pPr>
        <w:widowControl w:val="0"/>
        <w:spacing w:after="0" w:line="360" w:lineRule="auto"/>
        <w:jc w:val="center"/>
        <w:rPr>
          <w:rFonts w:ascii="Times New Roman" w:hAnsi="Times New Roman" w:eastAsia="宋体" w:cs="Times New Roman"/>
          <w:b/>
          <w:bCs/>
          <w:color w:val="000000" w:themeColor="text1"/>
          <w:spacing w:val="-2"/>
          <w:sz w:val="24"/>
          <w:szCs w:val="20"/>
          <w14:textFill>
            <w14:solidFill>
              <w14:schemeClr w14:val="tx1"/>
            </w14:solidFill>
          </w14:textFill>
        </w:rPr>
      </w:pPr>
      <w:r>
        <w:rPr>
          <w:rFonts w:ascii="Times New Roman" w:hAnsi="Times New Roman" w:eastAsia="宋体" w:cs="Times New Roman"/>
          <w:b/>
          <w:bCs/>
          <w:color w:val="000000" w:themeColor="text1"/>
          <w:spacing w:val="-2"/>
          <w:sz w:val="24"/>
          <w:szCs w:val="20"/>
          <w14:textFill>
            <w14:solidFill>
              <w14:schemeClr w14:val="tx1"/>
            </w14:solidFill>
          </w14:textFill>
        </w:rPr>
        <w:t>表2.1</w:t>
      </w:r>
      <w:r>
        <w:rPr>
          <w:rFonts w:ascii="Times New Roman" w:hAnsi="Times New Roman" w:eastAsia="宋体" w:cs="Times New Roman"/>
          <w:b/>
          <w:bCs/>
          <w:color w:val="000000" w:themeColor="text1"/>
          <w:spacing w:val="-2"/>
          <w:sz w:val="24"/>
          <w:szCs w:val="20"/>
          <w14:textFill>
            <w14:solidFill>
              <w14:schemeClr w14:val="tx1"/>
            </w14:solidFill>
          </w14:textFill>
        </w:rPr>
        <w:noBreakHyphen/>
      </w:r>
      <w:r>
        <w:rPr>
          <w:rFonts w:hint="eastAsia" w:ascii="Times New Roman" w:hAnsi="Times New Roman" w:eastAsia="宋体" w:cs="Times New Roman"/>
          <w:b/>
          <w:bCs/>
          <w:color w:val="000000" w:themeColor="text1"/>
          <w:spacing w:val="-2"/>
          <w:sz w:val="24"/>
          <w:szCs w:val="20"/>
          <w14:textFill>
            <w14:solidFill>
              <w14:schemeClr w14:val="tx1"/>
            </w14:solidFill>
          </w14:textFill>
        </w:rPr>
        <w:t>2</w:t>
      </w:r>
      <w:r>
        <w:rPr>
          <w:rFonts w:ascii="Times New Roman" w:hAnsi="Times New Roman" w:eastAsia="宋体" w:cs="Times New Roman"/>
          <w:b/>
          <w:bCs/>
          <w:color w:val="000000" w:themeColor="text1"/>
          <w:spacing w:val="-2"/>
          <w:sz w:val="24"/>
          <w:szCs w:val="20"/>
          <w14:textFill>
            <w14:solidFill>
              <w14:schemeClr w14:val="tx1"/>
            </w14:solidFill>
          </w14:textFill>
        </w:rPr>
        <w:t xml:space="preserve"> </w:t>
      </w:r>
      <w:r>
        <w:rPr>
          <w:rFonts w:hint="eastAsia" w:ascii="Times New Roman" w:hAnsi="Times New Roman" w:eastAsia="宋体" w:cs="Times New Roman"/>
          <w:b/>
          <w:bCs/>
          <w:color w:val="000000" w:themeColor="text1"/>
          <w:spacing w:val="-2"/>
          <w:sz w:val="24"/>
          <w:szCs w:val="20"/>
          <w14:textFill>
            <w14:solidFill>
              <w14:schemeClr w14:val="tx1"/>
            </w14:solidFill>
          </w14:textFill>
        </w:rPr>
        <w:t xml:space="preserve"> </w:t>
      </w:r>
      <w:r>
        <w:rPr>
          <w:rFonts w:ascii="Times New Roman" w:hAnsi="Times New Roman" w:eastAsia="宋体" w:cs="Times New Roman"/>
          <w:b/>
          <w:bCs/>
          <w:color w:val="000000" w:themeColor="text1"/>
          <w:spacing w:val="-2"/>
          <w:sz w:val="24"/>
          <w:szCs w:val="20"/>
          <w14:textFill>
            <w14:solidFill>
              <w14:schemeClr w14:val="tx1"/>
            </w14:solidFill>
          </w14:textFill>
        </w:rPr>
        <w:t>原料及产品核素分析结果（单位: Bq/kg）</w:t>
      </w:r>
    </w:p>
    <w:tbl>
      <w:tblPr>
        <w:tblStyle w:val="46"/>
        <w:tblW w:w="526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71"/>
        <w:gridCol w:w="2043"/>
        <w:gridCol w:w="1753"/>
        <w:gridCol w:w="1896"/>
        <w:gridCol w:w="2115"/>
      </w:tblGrid>
      <w:tr w14:paraId="037077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52" w:type="pct"/>
            <w:noWrap/>
            <w:vAlign w:val="center"/>
          </w:tcPr>
          <w:p w14:paraId="57DF3D77">
            <w:pPr>
              <w:pStyle w:val="246"/>
              <w:rPr>
                <w:rFonts w:ascii="Times New Roman" w:hAnsi="Times New Roman"/>
                <w:b/>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样品名称</w:t>
            </w:r>
          </w:p>
        </w:tc>
        <w:tc>
          <w:tcPr>
            <w:tcW w:w="1138" w:type="pct"/>
            <w:vAlign w:val="center"/>
          </w:tcPr>
          <w:p w14:paraId="2A45DB38">
            <w:pPr>
              <w:pStyle w:val="246"/>
              <w:rPr>
                <w:rFonts w:ascii="Times New Roman" w:hAnsi="Times New Roman"/>
                <w:b/>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类比企业</w:t>
            </w:r>
          </w:p>
        </w:tc>
        <w:tc>
          <w:tcPr>
            <w:tcW w:w="976" w:type="pct"/>
            <w:noWrap/>
            <w:vAlign w:val="center"/>
          </w:tcPr>
          <w:p w14:paraId="54F7CDC8">
            <w:pPr>
              <w:pStyle w:val="246"/>
              <w:rPr>
                <w:rFonts w:ascii="Times New Roman" w:hAnsi="Times New Roman"/>
                <w:b/>
                <w:color w:val="000000" w:themeColor="text1"/>
                <w14:textFill>
                  <w14:solidFill>
                    <w14:schemeClr w14:val="tx1"/>
                  </w14:solidFill>
                </w14:textFill>
              </w:rPr>
            </w:pPr>
            <w:r>
              <w:rPr>
                <w:rFonts w:ascii="Times New Roman" w:hAnsi="Times New Roman"/>
                <w:b/>
                <w:color w:val="000000" w:themeColor="text1"/>
                <w:vertAlign w:val="superscript"/>
                <w14:textFill>
                  <w14:solidFill>
                    <w14:schemeClr w14:val="tx1"/>
                  </w14:solidFill>
                </w14:textFill>
              </w:rPr>
              <w:t>238</w:t>
            </w:r>
            <w:r>
              <w:rPr>
                <w:rFonts w:ascii="Times New Roman" w:hAnsi="Times New Roman"/>
                <w:b/>
                <w:color w:val="000000" w:themeColor="text1"/>
                <w14:textFill>
                  <w14:solidFill>
                    <w14:schemeClr w14:val="tx1"/>
                  </w14:solidFill>
                </w14:textFill>
              </w:rPr>
              <w:t>U</w:t>
            </w:r>
          </w:p>
        </w:tc>
        <w:tc>
          <w:tcPr>
            <w:tcW w:w="1056" w:type="pct"/>
            <w:noWrap/>
            <w:vAlign w:val="center"/>
          </w:tcPr>
          <w:p w14:paraId="419E54B6">
            <w:pPr>
              <w:pStyle w:val="246"/>
              <w:rPr>
                <w:rFonts w:ascii="Times New Roman" w:hAnsi="Times New Roman"/>
                <w:b/>
                <w:color w:val="000000" w:themeColor="text1"/>
                <w14:textFill>
                  <w14:solidFill>
                    <w14:schemeClr w14:val="tx1"/>
                  </w14:solidFill>
                </w14:textFill>
              </w:rPr>
            </w:pPr>
            <w:r>
              <w:rPr>
                <w:rFonts w:ascii="Times New Roman" w:hAnsi="Times New Roman"/>
                <w:b/>
                <w:color w:val="000000" w:themeColor="text1"/>
                <w:vertAlign w:val="superscript"/>
                <w14:textFill>
                  <w14:solidFill>
                    <w14:schemeClr w14:val="tx1"/>
                  </w14:solidFill>
                </w14:textFill>
              </w:rPr>
              <w:t>226</w:t>
            </w:r>
            <w:r>
              <w:rPr>
                <w:rFonts w:ascii="Times New Roman" w:hAnsi="Times New Roman"/>
                <w:b/>
                <w:color w:val="000000" w:themeColor="text1"/>
                <w14:textFill>
                  <w14:solidFill>
                    <w14:schemeClr w14:val="tx1"/>
                  </w14:solidFill>
                </w14:textFill>
              </w:rPr>
              <w:t>Ra</w:t>
            </w:r>
          </w:p>
        </w:tc>
        <w:tc>
          <w:tcPr>
            <w:tcW w:w="1178" w:type="pct"/>
            <w:noWrap/>
            <w:vAlign w:val="center"/>
          </w:tcPr>
          <w:p w14:paraId="7224A8E6">
            <w:pPr>
              <w:pStyle w:val="246"/>
              <w:rPr>
                <w:rFonts w:ascii="Times New Roman" w:hAnsi="Times New Roman"/>
                <w:b/>
                <w:color w:val="000000" w:themeColor="text1"/>
                <w14:textFill>
                  <w14:solidFill>
                    <w14:schemeClr w14:val="tx1"/>
                  </w14:solidFill>
                </w14:textFill>
              </w:rPr>
            </w:pPr>
            <w:r>
              <w:rPr>
                <w:rFonts w:ascii="Times New Roman" w:hAnsi="Times New Roman"/>
                <w:b/>
                <w:color w:val="000000" w:themeColor="text1"/>
                <w:vertAlign w:val="superscript"/>
                <w14:textFill>
                  <w14:solidFill>
                    <w14:schemeClr w14:val="tx1"/>
                  </w14:solidFill>
                </w14:textFill>
              </w:rPr>
              <w:t>232</w:t>
            </w:r>
            <w:r>
              <w:rPr>
                <w:rFonts w:ascii="Times New Roman" w:hAnsi="Times New Roman"/>
                <w:b/>
                <w:color w:val="000000" w:themeColor="text1"/>
                <w14:textFill>
                  <w14:solidFill>
                    <w14:schemeClr w14:val="tx1"/>
                  </w14:solidFill>
                </w14:textFill>
              </w:rPr>
              <w:t>Th</w:t>
            </w:r>
          </w:p>
        </w:tc>
      </w:tr>
      <w:tr w14:paraId="1714D0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2" w:type="pct"/>
            <w:vMerge w:val="restart"/>
            <w:noWrap/>
            <w:vAlign w:val="center"/>
          </w:tcPr>
          <w:p w14:paraId="0C977606">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毛矿-原料</w:t>
            </w:r>
          </w:p>
        </w:tc>
        <w:tc>
          <w:tcPr>
            <w:tcW w:w="1138" w:type="pct"/>
            <w:vAlign w:val="center"/>
          </w:tcPr>
          <w:p w14:paraId="299784C5">
            <w:pPr>
              <w:pStyle w:val="246"/>
              <w:rPr>
                <w:rFonts w:ascii="Times New Roman" w:hAnsi="Times New Roman"/>
                <w:color w:val="000000" w:themeColor="text1"/>
                <w:lang w:bidi="ar"/>
                <w14:textFill>
                  <w14:solidFill>
                    <w14:schemeClr w14:val="tx1"/>
                  </w14:solidFill>
                </w14:textFill>
              </w:rPr>
            </w:pPr>
            <w:r>
              <w:rPr>
                <w:rFonts w:ascii="Times New Roman" w:hAnsi="Times New Roman"/>
                <w:color w:val="000000" w:themeColor="text1"/>
                <w:lang w:bidi="ar"/>
                <w14:textFill>
                  <w14:solidFill>
                    <w14:schemeClr w14:val="tx1"/>
                  </w14:solidFill>
                </w14:textFill>
              </w:rPr>
              <w:t>海南海拓</w:t>
            </w:r>
          </w:p>
        </w:tc>
        <w:tc>
          <w:tcPr>
            <w:tcW w:w="976" w:type="pct"/>
            <w:noWrap/>
            <w:vAlign w:val="center"/>
          </w:tcPr>
          <w:p w14:paraId="34CD4312">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773.1</w:t>
            </w:r>
          </w:p>
        </w:tc>
        <w:tc>
          <w:tcPr>
            <w:tcW w:w="1056" w:type="pct"/>
            <w:noWrap/>
            <w:vAlign w:val="center"/>
          </w:tcPr>
          <w:p w14:paraId="4192EAA5">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830.8</w:t>
            </w:r>
          </w:p>
        </w:tc>
        <w:tc>
          <w:tcPr>
            <w:tcW w:w="1178" w:type="pct"/>
            <w:noWrap/>
            <w:vAlign w:val="center"/>
          </w:tcPr>
          <w:p w14:paraId="3C40A55E">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3271.6</w:t>
            </w:r>
          </w:p>
        </w:tc>
      </w:tr>
      <w:tr w14:paraId="107818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2" w:type="pct"/>
            <w:vMerge w:val="continue"/>
            <w:noWrap/>
            <w:vAlign w:val="center"/>
          </w:tcPr>
          <w:p w14:paraId="148CD82A">
            <w:pPr>
              <w:pStyle w:val="246"/>
              <w:rPr>
                <w:rFonts w:ascii="Times New Roman" w:hAnsi="Times New Roman"/>
                <w:color w:val="000000" w:themeColor="text1"/>
                <w14:textFill>
                  <w14:solidFill>
                    <w14:schemeClr w14:val="tx1"/>
                  </w14:solidFill>
                </w14:textFill>
              </w:rPr>
            </w:pPr>
          </w:p>
        </w:tc>
        <w:tc>
          <w:tcPr>
            <w:tcW w:w="1138" w:type="pct"/>
            <w:vAlign w:val="center"/>
          </w:tcPr>
          <w:p w14:paraId="7A4D92AE">
            <w:pPr>
              <w:pStyle w:val="246"/>
              <w:rPr>
                <w:rFonts w:ascii="Times New Roman" w:hAnsi="Times New Roman"/>
                <w:color w:val="000000" w:themeColor="text1"/>
                <w:lang w:bidi="ar"/>
                <w14:textFill>
                  <w14:solidFill>
                    <w14:schemeClr w14:val="tx1"/>
                  </w14:solidFill>
                </w14:textFill>
              </w:rPr>
            </w:pPr>
            <w:r>
              <w:rPr>
                <w:rFonts w:ascii="Times New Roman" w:hAnsi="Times New Roman"/>
                <w:color w:val="000000" w:themeColor="text1"/>
                <w:lang w:bidi="ar"/>
                <w14:textFill>
                  <w14:solidFill>
                    <w14:schemeClr w14:val="tx1"/>
                  </w14:solidFill>
                </w14:textFill>
              </w:rPr>
              <w:t>广西源丰达</w:t>
            </w:r>
          </w:p>
        </w:tc>
        <w:tc>
          <w:tcPr>
            <w:tcW w:w="976" w:type="pct"/>
            <w:noWrap/>
            <w:vAlign w:val="center"/>
          </w:tcPr>
          <w:p w14:paraId="0D010BBC">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1193.9</w:t>
            </w:r>
          </w:p>
        </w:tc>
        <w:tc>
          <w:tcPr>
            <w:tcW w:w="1056" w:type="pct"/>
            <w:noWrap/>
            <w:vAlign w:val="center"/>
          </w:tcPr>
          <w:p w14:paraId="7C2BDBC6">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1472.5</w:t>
            </w:r>
          </w:p>
        </w:tc>
        <w:tc>
          <w:tcPr>
            <w:tcW w:w="1178" w:type="pct"/>
            <w:noWrap/>
            <w:vAlign w:val="center"/>
          </w:tcPr>
          <w:p w14:paraId="399B28C6">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1562.4</w:t>
            </w:r>
          </w:p>
        </w:tc>
      </w:tr>
      <w:tr w14:paraId="1E1767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2" w:type="pct"/>
            <w:vMerge w:val="continue"/>
            <w:noWrap/>
            <w:vAlign w:val="center"/>
          </w:tcPr>
          <w:p w14:paraId="6A5E7D19">
            <w:pPr>
              <w:pStyle w:val="246"/>
              <w:rPr>
                <w:rFonts w:ascii="Times New Roman" w:hAnsi="Times New Roman"/>
                <w:color w:val="000000" w:themeColor="text1"/>
                <w14:textFill>
                  <w14:solidFill>
                    <w14:schemeClr w14:val="tx1"/>
                  </w14:solidFill>
                </w14:textFill>
              </w:rPr>
            </w:pPr>
          </w:p>
        </w:tc>
        <w:tc>
          <w:tcPr>
            <w:tcW w:w="1138" w:type="pct"/>
            <w:vAlign w:val="center"/>
          </w:tcPr>
          <w:p w14:paraId="45F2055E">
            <w:pPr>
              <w:pStyle w:val="246"/>
              <w:rPr>
                <w:rFonts w:ascii="Times New Roman" w:hAnsi="Times New Roman"/>
                <w:color w:val="000000" w:themeColor="text1"/>
                <w:lang w:bidi="ar"/>
                <w14:textFill>
                  <w14:solidFill>
                    <w14:schemeClr w14:val="tx1"/>
                  </w14:solidFill>
                </w14:textFill>
              </w:rPr>
            </w:pPr>
            <w:r>
              <w:rPr>
                <w:rFonts w:ascii="Times New Roman" w:hAnsi="Times New Roman"/>
                <w:color w:val="000000" w:themeColor="text1"/>
                <w:lang w:bidi="ar"/>
                <w14:textFill>
                  <w14:solidFill>
                    <w14:schemeClr w14:val="tx1"/>
                  </w14:solidFill>
                </w14:textFill>
              </w:rPr>
              <w:t>广西道丰毛矿1</w:t>
            </w:r>
          </w:p>
        </w:tc>
        <w:tc>
          <w:tcPr>
            <w:tcW w:w="976" w:type="pct"/>
            <w:noWrap/>
            <w:vAlign w:val="center"/>
          </w:tcPr>
          <w:p w14:paraId="70C4C674">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1946</w:t>
            </w:r>
          </w:p>
        </w:tc>
        <w:tc>
          <w:tcPr>
            <w:tcW w:w="1056" w:type="pct"/>
            <w:noWrap/>
            <w:vAlign w:val="center"/>
          </w:tcPr>
          <w:p w14:paraId="47FE5224">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1468.3</w:t>
            </w:r>
          </w:p>
        </w:tc>
        <w:tc>
          <w:tcPr>
            <w:tcW w:w="1178" w:type="pct"/>
            <w:noWrap/>
            <w:vAlign w:val="center"/>
          </w:tcPr>
          <w:p w14:paraId="02A20E9E">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450.1</w:t>
            </w:r>
          </w:p>
        </w:tc>
      </w:tr>
      <w:tr w14:paraId="247606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2" w:type="pct"/>
            <w:vMerge w:val="continue"/>
            <w:noWrap/>
            <w:vAlign w:val="center"/>
          </w:tcPr>
          <w:p w14:paraId="02DF7C15">
            <w:pPr>
              <w:pStyle w:val="246"/>
              <w:rPr>
                <w:rFonts w:ascii="Times New Roman" w:hAnsi="Times New Roman"/>
                <w:color w:val="000000" w:themeColor="text1"/>
                <w14:textFill>
                  <w14:solidFill>
                    <w14:schemeClr w14:val="tx1"/>
                  </w14:solidFill>
                </w14:textFill>
              </w:rPr>
            </w:pPr>
          </w:p>
        </w:tc>
        <w:tc>
          <w:tcPr>
            <w:tcW w:w="1138" w:type="pct"/>
            <w:vAlign w:val="center"/>
          </w:tcPr>
          <w:p w14:paraId="52A7E69A">
            <w:pPr>
              <w:pStyle w:val="246"/>
              <w:rPr>
                <w:rFonts w:ascii="Times New Roman" w:hAnsi="Times New Roman"/>
                <w:color w:val="000000" w:themeColor="text1"/>
                <w:lang w:bidi="ar"/>
                <w14:textFill>
                  <w14:solidFill>
                    <w14:schemeClr w14:val="tx1"/>
                  </w14:solidFill>
                </w14:textFill>
              </w:rPr>
            </w:pPr>
            <w:r>
              <w:rPr>
                <w:rFonts w:ascii="Times New Roman" w:hAnsi="Times New Roman"/>
                <w:color w:val="000000" w:themeColor="text1"/>
                <w:lang w:bidi="ar"/>
                <w14:textFill>
                  <w14:solidFill>
                    <w14:schemeClr w14:val="tx1"/>
                  </w14:solidFill>
                </w14:textFill>
              </w:rPr>
              <w:t>广西道丰毛矿2</w:t>
            </w:r>
          </w:p>
        </w:tc>
        <w:tc>
          <w:tcPr>
            <w:tcW w:w="976" w:type="pct"/>
            <w:noWrap/>
            <w:vAlign w:val="center"/>
          </w:tcPr>
          <w:p w14:paraId="0E468BE6">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1580</w:t>
            </w:r>
          </w:p>
        </w:tc>
        <w:tc>
          <w:tcPr>
            <w:tcW w:w="1056" w:type="pct"/>
            <w:noWrap/>
            <w:vAlign w:val="center"/>
          </w:tcPr>
          <w:p w14:paraId="4371BAE4">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1471</w:t>
            </w:r>
          </w:p>
        </w:tc>
        <w:tc>
          <w:tcPr>
            <w:tcW w:w="1178" w:type="pct"/>
            <w:noWrap/>
            <w:vAlign w:val="center"/>
          </w:tcPr>
          <w:p w14:paraId="7D1B897A">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1200</w:t>
            </w:r>
          </w:p>
        </w:tc>
      </w:tr>
      <w:tr w14:paraId="4F37F1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2" w:type="pct"/>
            <w:vMerge w:val="continue"/>
            <w:noWrap/>
            <w:vAlign w:val="center"/>
          </w:tcPr>
          <w:p w14:paraId="5EE64B87">
            <w:pPr>
              <w:pStyle w:val="246"/>
              <w:rPr>
                <w:rFonts w:ascii="Times New Roman" w:hAnsi="Times New Roman"/>
                <w:color w:val="000000" w:themeColor="text1"/>
                <w14:textFill>
                  <w14:solidFill>
                    <w14:schemeClr w14:val="tx1"/>
                  </w14:solidFill>
                </w14:textFill>
              </w:rPr>
            </w:pPr>
          </w:p>
        </w:tc>
        <w:tc>
          <w:tcPr>
            <w:tcW w:w="1138" w:type="pct"/>
            <w:vAlign w:val="center"/>
          </w:tcPr>
          <w:p w14:paraId="43EC60FF">
            <w:pPr>
              <w:pStyle w:val="246"/>
              <w:rPr>
                <w:rFonts w:ascii="Times New Roman" w:hAnsi="Times New Roman"/>
                <w:color w:val="000000" w:themeColor="text1"/>
                <w:lang w:bidi="ar"/>
                <w14:textFill>
                  <w14:solidFill>
                    <w14:schemeClr w14:val="tx1"/>
                  </w14:solidFill>
                </w14:textFill>
              </w:rPr>
            </w:pPr>
            <w:r>
              <w:rPr>
                <w:rFonts w:ascii="Times New Roman" w:hAnsi="Times New Roman"/>
                <w:color w:val="000000" w:themeColor="text1"/>
                <w:lang w:bidi="ar"/>
                <w14:textFill>
                  <w14:solidFill>
                    <w14:schemeClr w14:val="tx1"/>
                  </w14:solidFill>
                </w14:textFill>
              </w:rPr>
              <w:t>广西道丰毛矿3</w:t>
            </w:r>
          </w:p>
        </w:tc>
        <w:tc>
          <w:tcPr>
            <w:tcW w:w="976" w:type="pct"/>
            <w:noWrap/>
            <w:vAlign w:val="center"/>
          </w:tcPr>
          <w:p w14:paraId="5E51E024">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2790</w:t>
            </w:r>
          </w:p>
        </w:tc>
        <w:tc>
          <w:tcPr>
            <w:tcW w:w="1056" w:type="pct"/>
            <w:noWrap/>
            <w:vAlign w:val="center"/>
          </w:tcPr>
          <w:p w14:paraId="0610A630">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2111</w:t>
            </w:r>
          </w:p>
        </w:tc>
        <w:tc>
          <w:tcPr>
            <w:tcW w:w="1178" w:type="pct"/>
            <w:noWrap/>
            <w:vAlign w:val="center"/>
          </w:tcPr>
          <w:p w14:paraId="47C44280">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2190</w:t>
            </w:r>
          </w:p>
        </w:tc>
      </w:tr>
      <w:tr w14:paraId="347B10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2" w:type="pct"/>
            <w:vMerge w:val="continue"/>
            <w:noWrap/>
            <w:vAlign w:val="center"/>
          </w:tcPr>
          <w:p w14:paraId="304351DC">
            <w:pPr>
              <w:pStyle w:val="246"/>
              <w:rPr>
                <w:rFonts w:ascii="Times New Roman" w:hAnsi="Times New Roman"/>
                <w:color w:val="000000" w:themeColor="text1"/>
                <w14:textFill>
                  <w14:solidFill>
                    <w14:schemeClr w14:val="tx1"/>
                  </w14:solidFill>
                </w14:textFill>
              </w:rPr>
            </w:pPr>
          </w:p>
        </w:tc>
        <w:tc>
          <w:tcPr>
            <w:tcW w:w="1138" w:type="pct"/>
            <w:vAlign w:val="center"/>
          </w:tcPr>
          <w:p w14:paraId="21A83459">
            <w:pPr>
              <w:pStyle w:val="246"/>
              <w:rPr>
                <w:rFonts w:ascii="Times New Roman" w:hAnsi="Times New Roman"/>
                <w:color w:val="000000" w:themeColor="text1"/>
                <w:lang w:bidi="ar"/>
                <w14:textFill>
                  <w14:solidFill>
                    <w14:schemeClr w14:val="tx1"/>
                  </w14:solidFill>
                </w14:textFill>
              </w:rPr>
            </w:pPr>
            <w:r>
              <w:rPr>
                <w:rFonts w:ascii="Times New Roman" w:hAnsi="Times New Roman"/>
                <w:color w:val="000000" w:themeColor="text1"/>
                <w:lang w:bidi="ar"/>
                <w14:textFill>
                  <w14:solidFill>
                    <w14:schemeClr w14:val="tx1"/>
                  </w14:solidFill>
                </w14:textFill>
              </w:rPr>
              <w:t>范围值</w:t>
            </w:r>
          </w:p>
        </w:tc>
        <w:tc>
          <w:tcPr>
            <w:tcW w:w="976" w:type="pct"/>
            <w:noWrap/>
            <w:vAlign w:val="center"/>
          </w:tcPr>
          <w:p w14:paraId="4CED027D">
            <w:pPr>
              <w:pStyle w:val="246"/>
              <w:rPr>
                <w:rFonts w:ascii="Times New Roman" w:hAnsi="Times New Roman"/>
                <w:color w:val="000000" w:themeColor="text1"/>
                <w:lang w:bidi="ar"/>
                <w14:textFill>
                  <w14:solidFill>
                    <w14:schemeClr w14:val="tx1"/>
                  </w14:solidFill>
                </w14:textFill>
              </w:rPr>
            </w:pPr>
            <w:r>
              <w:rPr>
                <w:rFonts w:ascii="Times New Roman" w:hAnsi="Times New Roman"/>
                <w:color w:val="000000" w:themeColor="text1"/>
                <w14:textFill>
                  <w14:solidFill>
                    <w14:schemeClr w14:val="tx1"/>
                  </w14:solidFill>
                </w14:textFill>
              </w:rPr>
              <w:t>773.1～2790</w:t>
            </w:r>
          </w:p>
        </w:tc>
        <w:tc>
          <w:tcPr>
            <w:tcW w:w="1056" w:type="pct"/>
            <w:noWrap/>
            <w:vAlign w:val="center"/>
          </w:tcPr>
          <w:p w14:paraId="3B854C2D">
            <w:pPr>
              <w:pStyle w:val="246"/>
              <w:rPr>
                <w:rFonts w:ascii="Times New Roman" w:hAnsi="Times New Roman"/>
                <w:color w:val="000000" w:themeColor="text1"/>
                <w:lang w:bidi="ar"/>
                <w14:textFill>
                  <w14:solidFill>
                    <w14:schemeClr w14:val="tx1"/>
                  </w14:solidFill>
                </w14:textFill>
              </w:rPr>
            </w:pPr>
            <w:r>
              <w:rPr>
                <w:rFonts w:ascii="Times New Roman" w:hAnsi="Times New Roman"/>
                <w:color w:val="000000" w:themeColor="text1"/>
                <w14:textFill>
                  <w14:solidFill>
                    <w14:schemeClr w14:val="tx1"/>
                  </w14:solidFill>
                </w14:textFill>
              </w:rPr>
              <w:t>830.8～2111</w:t>
            </w:r>
          </w:p>
        </w:tc>
        <w:tc>
          <w:tcPr>
            <w:tcW w:w="1178" w:type="pct"/>
            <w:noWrap/>
            <w:vAlign w:val="center"/>
          </w:tcPr>
          <w:p w14:paraId="03C8413A">
            <w:pPr>
              <w:pStyle w:val="246"/>
              <w:rPr>
                <w:rFonts w:ascii="Times New Roman" w:hAnsi="Times New Roman"/>
                <w:color w:val="000000" w:themeColor="text1"/>
                <w:lang w:bidi="ar"/>
                <w14:textFill>
                  <w14:solidFill>
                    <w14:schemeClr w14:val="tx1"/>
                  </w14:solidFill>
                </w14:textFill>
              </w:rPr>
            </w:pPr>
            <w:r>
              <w:rPr>
                <w:rFonts w:ascii="Times New Roman" w:hAnsi="Times New Roman"/>
                <w:color w:val="000000" w:themeColor="text1"/>
                <w14:textFill>
                  <w14:solidFill>
                    <w14:schemeClr w14:val="tx1"/>
                  </w14:solidFill>
                </w14:textFill>
              </w:rPr>
              <w:t>450.1～3271.6</w:t>
            </w:r>
          </w:p>
        </w:tc>
      </w:tr>
      <w:tr w14:paraId="44B76E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2" w:type="pct"/>
            <w:vMerge w:val="continue"/>
            <w:noWrap/>
            <w:vAlign w:val="center"/>
          </w:tcPr>
          <w:p w14:paraId="7038EF89">
            <w:pPr>
              <w:pStyle w:val="246"/>
              <w:rPr>
                <w:rFonts w:ascii="Times New Roman" w:hAnsi="Times New Roman"/>
                <w:color w:val="000000" w:themeColor="text1"/>
                <w14:textFill>
                  <w14:solidFill>
                    <w14:schemeClr w14:val="tx1"/>
                  </w14:solidFill>
                </w14:textFill>
              </w:rPr>
            </w:pPr>
          </w:p>
        </w:tc>
        <w:tc>
          <w:tcPr>
            <w:tcW w:w="1138" w:type="pct"/>
            <w:vAlign w:val="center"/>
          </w:tcPr>
          <w:p w14:paraId="534A43D1">
            <w:pPr>
              <w:pStyle w:val="246"/>
              <w:rPr>
                <w:rFonts w:ascii="Times New Roman" w:hAnsi="Times New Roman"/>
                <w:color w:val="000000" w:themeColor="text1"/>
                <w:lang w:bidi="ar"/>
                <w14:textFill>
                  <w14:solidFill>
                    <w14:schemeClr w14:val="tx1"/>
                  </w14:solidFill>
                </w14:textFill>
              </w:rPr>
            </w:pPr>
            <w:r>
              <w:rPr>
                <w:rFonts w:ascii="Times New Roman" w:hAnsi="Times New Roman"/>
                <w:color w:val="000000" w:themeColor="text1"/>
                <w:lang w:bidi="ar"/>
                <w14:textFill>
                  <w14:solidFill>
                    <w14:schemeClr w14:val="tx1"/>
                  </w14:solidFill>
                </w14:textFill>
              </w:rPr>
              <w:t>平均值</w:t>
            </w:r>
          </w:p>
        </w:tc>
        <w:tc>
          <w:tcPr>
            <w:tcW w:w="976" w:type="pct"/>
            <w:noWrap/>
            <w:vAlign w:val="center"/>
          </w:tcPr>
          <w:p w14:paraId="63189C3D">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1656.6</w:t>
            </w:r>
          </w:p>
        </w:tc>
        <w:tc>
          <w:tcPr>
            <w:tcW w:w="1056" w:type="pct"/>
            <w:noWrap/>
            <w:vAlign w:val="center"/>
          </w:tcPr>
          <w:p w14:paraId="422EBEE8">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1470.7</w:t>
            </w:r>
          </w:p>
        </w:tc>
        <w:tc>
          <w:tcPr>
            <w:tcW w:w="1178" w:type="pct"/>
            <w:noWrap/>
            <w:vAlign w:val="center"/>
          </w:tcPr>
          <w:p w14:paraId="165E8F98">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1734.8</w:t>
            </w:r>
          </w:p>
        </w:tc>
      </w:tr>
      <w:tr w14:paraId="141220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2" w:type="pct"/>
            <w:vMerge w:val="restart"/>
            <w:noWrap/>
            <w:vAlign w:val="center"/>
          </w:tcPr>
          <w:p w14:paraId="4C11F62C">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锆中矿-原料</w:t>
            </w:r>
          </w:p>
        </w:tc>
        <w:tc>
          <w:tcPr>
            <w:tcW w:w="1138" w:type="pct"/>
            <w:vAlign w:val="center"/>
          </w:tcPr>
          <w:p w14:paraId="681DD0A5">
            <w:pPr>
              <w:pStyle w:val="246"/>
              <w:rPr>
                <w:rFonts w:ascii="Times New Roman" w:hAnsi="Times New Roman"/>
                <w:color w:val="000000" w:themeColor="text1"/>
                <w:lang w:bidi="ar"/>
                <w14:textFill>
                  <w14:solidFill>
                    <w14:schemeClr w14:val="tx1"/>
                  </w14:solidFill>
                </w14:textFill>
              </w:rPr>
            </w:pPr>
            <w:r>
              <w:rPr>
                <w:rFonts w:ascii="Times New Roman" w:hAnsi="Times New Roman"/>
                <w:color w:val="000000" w:themeColor="text1"/>
                <w:lang w:bidi="ar"/>
                <w14:textFill>
                  <w14:solidFill>
                    <w14:schemeClr w14:val="tx1"/>
                  </w14:solidFill>
                </w14:textFill>
              </w:rPr>
              <w:t>海南海拓</w:t>
            </w:r>
          </w:p>
        </w:tc>
        <w:tc>
          <w:tcPr>
            <w:tcW w:w="976" w:type="pct"/>
            <w:noWrap/>
            <w:vAlign w:val="center"/>
          </w:tcPr>
          <w:p w14:paraId="5ADA41E6">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1454.3</w:t>
            </w:r>
          </w:p>
        </w:tc>
        <w:tc>
          <w:tcPr>
            <w:tcW w:w="1056" w:type="pct"/>
            <w:noWrap/>
            <w:vAlign w:val="center"/>
          </w:tcPr>
          <w:p w14:paraId="021F0D58">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2236.9</w:t>
            </w:r>
          </w:p>
        </w:tc>
        <w:tc>
          <w:tcPr>
            <w:tcW w:w="1178" w:type="pct"/>
            <w:noWrap/>
            <w:vAlign w:val="center"/>
          </w:tcPr>
          <w:p w14:paraId="7C4F94F3">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3392.9</w:t>
            </w:r>
          </w:p>
        </w:tc>
      </w:tr>
      <w:tr w14:paraId="4FEE8D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2" w:type="pct"/>
            <w:vMerge w:val="continue"/>
            <w:noWrap/>
            <w:vAlign w:val="center"/>
          </w:tcPr>
          <w:p w14:paraId="16634665">
            <w:pPr>
              <w:pStyle w:val="246"/>
              <w:rPr>
                <w:rFonts w:ascii="Times New Roman" w:hAnsi="Times New Roman"/>
                <w:color w:val="000000" w:themeColor="text1"/>
                <w14:textFill>
                  <w14:solidFill>
                    <w14:schemeClr w14:val="tx1"/>
                  </w14:solidFill>
                </w14:textFill>
              </w:rPr>
            </w:pPr>
          </w:p>
        </w:tc>
        <w:tc>
          <w:tcPr>
            <w:tcW w:w="1138" w:type="pct"/>
            <w:vAlign w:val="center"/>
          </w:tcPr>
          <w:p w14:paraId="79905DB7">
            <w:pPr>
              <w:pStyle w:val="246"/>
              <w:rPr>
                <w:rFonts w:ascii="Times New Roman" w:hAnsi="Times New Roman"/>
                <w:color w:val="000000" w:themeColor="text1"/>
                <w:lang w:bidi="ar"/>
                <w14:textFill>
                  <w14:solidFill>
                    <w14:schemeClr w14:val="tx1"/>
                  </w14:solidFill>
                </w14:textFill>
              </w:rPr>
            </w:pPr>
            <w:r>
              <w:rPr>
                <w:rFonts w:ascii="Times New Roman" w:hAnsi="Times New Roman"/>
                <w:color w:val="000000" w:themeColor="text1"/>
                <w:lang w:bidi="ar"/>
                <w14:textFill>
                  <w14:solidFill>
                    <w14:schemeClr w14:val="tx1"/>
                  </w14:solidFill>
                </w14:textFill>
              </w:rPr>
              <w:t>广西源丰达</w:t>
            </w:r>
          </w:p>
        </w:tc>
        <w:tc>
          <w:tcPr>
            <w:tcW w:w="976" w:type="pct"/>
            <w:noWrap/>
            <w:vAlign w:val="center"/>
          </w:tcPr>
          <w:p w14:paraId="32682B32">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3543.4</w:t>
            </w:r>
          </w:p>
        </w:tc>
        <w:tc>
          <w:tcPr>
            <w:tcW w:w="1056" w:type="pct"/>
            <w:noWrap/>
            <w:vAlign w:val="center"/>
          </w:tcPr>
          <w:p w14:paraId="614DDE6D">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3426.3</w:t>
            </w:r>
          </w:p>
        </w:tc>
        <w:tc>
          <w:tcPr>
            <w:tcW w:w="1178" w:type="pct"/>
            <w:noWrap/>
            <w:vAlign w:val="center"/>
          </w:tcPr>
          <w:p w14:paraId="035ADD75">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2152.7</w:t>
            </w:r>
          </w:p>
        </w:tc>
      </w:tr>
      <w:tr w14:paraId="2FCE86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2" w:type="pct"/>
            <w:vMerge w:val="continue"/>
            <w:noWrap/>
            <w:vAlign w:val="center"/>
          </w:tcPr>
          <w:p w14:paraId="0DB8141E">
            <w:pPr>
              <w:pStyle w:val="246"/>
              <w:rPr>
                <w:rFonts w:ascii="Times New Roman" w:hAnsi="Times New Roman"/>
                <w:color w:val="000000" w:themeColor="text1"/>
                <w14:textFill>
                  <w14:solidFill>
                    <w14:schemeClr w14:val="tx1"/>
                  </w14:solidFill>
                </w14:textFill>
              </w:rPr>
            </w:pPr>
          </w:p>
        </w:tc>
        <w:tc>
          <w:tcPr>
            <w:tcW w:w="1138" w:type="pct"/>
            <w:vAlign w:val="center"/>
          </w:tcPr>
          <w:p w14:paraId="69E86C7B">
            <w:pPr>
              <w:pStyle w:val="246"/>
              <w:rPr>
                <w:rFonts w:ascii="Times New Roman" w:hAnsi="Times New Roman"/>
                <w:color w:val="000000" w:themeColor="text1"/>
                <w:lang w:bidi="ar"/>
                <w14:textFill>
                  <w14:solidFill>
                    <w14:schemeClr w14:val="tx1"/>
                  </w14:solidFill>
                </w14:textFill>
              </w:rPr>
            </w:pPr>
            <w:r>
              <w:rPr>
                <w:rFonts w:ascii="Times New Roman" w:hAnsi="Times New Roman"/>
                <w:color w:val="000000" w:themeColor="text1"/>
                <w:lang w:bidi="ar"/>
                <w14:textFill>
                  <w14:solidFill>
                    <w14:schemeClr w14:val="tx1"/>
                  </w14:solidFill>
                </w14:textFill>
              </w:rPr>
              <w:t>广西道丰</w:t>
            </w:r>
            <w:r>
              <w:rPr>
                <w:rFonts w:ascii="Times New Roman" w:hAnsi="Times New Roman"/>
                <w:color w:val="000000" w:themeColor="text1"/>
                <w14:textFill>
                  <w14:solidFill>
                    <w14:schemeClr w14:val="tx1"/>
                  </w14:solidFill>
                </w14:textFill>
              </w:rPr>
              <w:t>1#锆中矿</w:t>
            </w:r>
          </w:p>
        </w:tc>
        <w:tc>
          <w:tcPr>
            <w:tcW w:w="976" w:type="pct"/>
            <w:noWrap/>
            <w:vAlign w:val="center"/>
          </w:tcPr>
          <w:p w14:paraId="1496A39F">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3695</w:t>
            </w:r>
          </w:p>
        </w:tc>
        <w:tc>
          <w:tcPr>
            <w:tcW w:w="1056" w:type="pct"/>
            <w:noWrap/>
            <w:vAlign w:val="center"/>
          </w:tcPr>
          <w:p w14:paraId="720FC4AE">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3656.4</w:t>
            </w:r>
          </w:p>
        </w:tc>
        <w:tc>
          <w:tcPr>
            <w:tcW w:w="1178" w:type="pct"/>
            <w:noWrap/>
            <w:vAlign w:val="center"/>
          </w:tcPr>
          <w:p w14:paraId="61F930B5">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1548.8</w:t>
            </w:r>
          </w:p>
        </w:tc>
      </w:tr>
      <w:tr w14:paraId="27DF13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2" w:type="pct"/>
            <w:vMerge w:val="continue"/>
            <w:noWrap/>
            <w:vAlign w:val="center"/>
          </w:tcPr>
          <w:p w14:paraId="21058C3B">
            <w:pPr>
              <w:pStyle w:val="246"/>
              <w:rPr>
                <w:rFonts w:ascii="Times New Roman" w:hAnsi="Times New Roman"/>
                <w:color w:val="000000" w:themeColor="text1"/>
                <w14:textFill>
                  <w14:solidFill>
                    <w14:schemeClr w14:val="tx1"/>
                  </w14:solidFill>
                </w14:textFill>
              </w:rPr>
            </w:pPr>
          </w:p>
        </w:tc>
        <w:tc>
          <w:tcPr>
            <w:tcW w:w="1138" w:type="pct"/>
            <w:vAlign w:val="center"/>
          </w:tcPr>
          <w:p w14:paraId="6CE1833B">
            <w:pPr>
              <w:pStyle w:val="246"/>
              <w:rPr>
                <w:rFonts w:ascii="Times New Roman" w:hAnsi="Times New Roman"/>
                <w:color w:val="000000" w:themeColor="text1"/>
                <w:lang w:bidi="ar"/>
                <w14:textFill>
                  <w14:solidFill>
                    <w14:schemeClr w14:val="tx1"/>
                  </w14:solidFill>
                </w14:textFill>
              </w:rPr>
            </w:pPr>
            <w:r>
              <w:rPr>
                <w:rFonts w:ascii="Times New Roman" w:hAnsi="Times New Roman"/>
                <w:color w:val="000000" w:themeColor="text1"/>
                <w:lang w:bidi="ar"/>
                <w14:textFill>
                  <w14:solidFill>
                    <w14:schemeClr w14:val="tx1"/>
                  </w14:solidFill>
                </w14:textFill>
              </w:rPr>
              <w:t>广西道丰</w:t>
            </w:r>
            <w:r>
              <w:rPr>
                <w:rFonts w:ascii="Times New Roman" w:hAnsi="Times New Roman"/>
                <w:color w:val="000000" w:themeColor="text1"/>
                <w14:textFill>
                  <w14:solidFill>
                    <w14:schemeClr w14:val="tx1"/>
                  </w14:solidFill>
                </w14:textFill>
              </w:rPr>
              <w:t>2#锆中矿</w:t>
            </w:r>
          </w:p>
        </w:tc>
        <w:tc>
          <w:tcPr>
            <w:tcW w:w="976" w:type="pct"/>
            <w:noWrap/>
            <w:vAlign w:val="center"/>
          </w:tcPr>
          <w:p w14:paraId="2274596F">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3040</w:t>
            </w:r>
          </w:p>
        </w:tc>
        <w:tc>
          <w:tcPr>
            <w:tcW w:w="1056" w:type="pct"/>
            <w:noWrap/>
            <w:vAlign w:val="center"/>
          </w:tcPr>
          <w:p w14:paraId="6497B97C">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3712.4</w:t>
            </w:r>
          </w:p>
        </w:tc>
        <w:tc>
          <w:tcPr>
            <w:tcW w:w="1178" w:type="pct"/>
            <w:noWrap/>
            <w:vAlign w:val="center"/>
          </w:tcPr>
          <w:p w14:paraId="2BB3B2CC">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1605.8</w:t>
            </w:r>
          </w:p>
        </w:tc>
      </w:tr>
      <w:tr w14:paraId="04F1F7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2" w:type="pct"/>
            <w:vMerge w:val="continue"/>
            <w:noWrap/>
            <w:vAlign w:val="center"/>
          </w:tcPr>
          <w:p w14:paraId="33F82159">
            <w:pPr>
              <w:pStyle w:val="246"/>
              <w:rPr>
                <w:rFonts w:ascii="Times New Roman" w:hAnsi="Times New Roman"/>
                <w:color w:val="000000" w:themeColor="text1"/>
                <w14:textFill>
                  <w14:solidFill>
                    <w14:schemeClr w14:val="tx1"/>
                  </w14:solidFill>
                </w14:textFill>
              </w:rPr>
            </w:pPr>
          </w:p>
        </w:tc>
        <w:tc>
          <w:tcPr>
            <w:tcW w:w="1138" w:type="pct"/>
            <w:vAlign w:val="center"/>
          </w:tcPr>
          <w:p w14:paraId="51241F62">
            <w:pPr>
              <w:pStyle w:val="246"/>
              <w:rPr>
                <w:rFonts w:ascii="Times New Roman" w:hAnsi="Times New Roman"/>
                <w:color w:val="000000" w:themeColor="text1"/>
                <w:lang w:bidi="ar"/>
                <w14:textFill>
                  <w14:solidFill>
                    <w14:schemeClr w14:val="tx1"/>
                  </w14:solidFill>
                </w14:textFill>
              </w:rPr>
            </w:pPr>
            <w:r>
              <w:rPr>
                <w:rFonts w:ascii="Times New Roman" w:hAnsi="Times New Roman"/>
                <w:color w:val="000000" w:themeColor="text1"/>
                <w:lang w:bidi="ar"/>
                <w14:textFill>
                  <w14:solidFill>
                    <w14:schemeClr w14:val="tx1"/>
                  </w14:solidFill>
                </w14:textFill>
              </w:rPr>
              <w:t>范围值</w:t>
            </w:r>
          </w:p>
        </w:tc>
        <w:tc>
          <w:tcPr>
            <w:tcW w:w="976" w:type="pct"/>
            <w:noWrap/>
            <w:vAlign w:val="center"/>
          </w:tcPr>
          <w:p w14:paraId="71D4DA73">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1454.3～3695</w:t>
            </w:r>
          </w:p>
        </w:tc>
        <w:tc>
          <w:tcPr>
            <w:tcW w:w="1056" w:type="pct"/>
            <w:noWrap/>
            <w:vAlign w:val="center"/>
          </w:tcPr>
          <w:p w14:paraId="0DCD648B">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2236.9～3712.4</w:t>
            </w:r>
          </w:p>
        </w:tc>
        <w:tc>
          <w:tcPr>
            <w:tcW w:w="1178" w:type="pct"/>
            <w:noWrap/>
            <w:vAlign w:val="center"/>
          </w:tcPr>
          <w:p w14:paraId="1B96D83A">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1548.8～3392.9</w:t>
            </w:r>
          </w:p>
        </w:tc>
      </w:tr>
      <w:tr w14:paraId="5FA249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2" w:type="pct"/>
            <w:vMerge w:val="continue"/>
            <w:noWrap/>
            <w:vAlign w:val="center"/>
          </w:tcPr>
          <w:p w14:paraId="51B469D8">
            <w:pPr>
              <w:pStyle w:val="246"/>
              <w:rPr>
                <w:rFonts w:ascii="Times New Roman" w:hAnsi="Times New Roman"/>
                <w:color w:val="000000" w:themeColor="text1"/>
                <w14:textFill>
                  <w14:solidFill>
                    <w14:schemeClr w14:val="tx1"/>
                  </w14:solidFill>
                </w14:textFill>
              </w:rPr>
            </w:pPr>
          </w:p>
        </w:tc>
        <w:tc>
          <w:tcPr>
            <w:tcW w:w="1138" w:type="pct"/>
            <w:vAlign w:val="center"/>
          </w:tcPr>
          <w:p w14:paraId="114D6554">
            <w:pPr>
              <w:pStyle w:val="246"/>
              <w:rPr>
                <w:rFonts w:ascii="Times New Roman" w:hAnsi="Times New Roman"/>
                <w:color w:val="000000" w:themeColor="text1"/>
                <w:lang w:bidi="ar"/>
                <w14:textFill>
                  <w14:solidFill>
                    <w14:schemeClr w14:val="tx1"/>
                  </w14:solidFill>
                </w14:textFill>
              </w:rPr>
            </w:pPr>
            <w:r>
              <w:rPr>
                <w:rFonts w:ascii="Times New Roman" w:hAnsi="Times New Roman"/>
                <w:color w:val="000000" w:themeColor="text1"/>
                <w:lang w:bidi="ar"/>
                <w14:textFill>
                  <w14:solidFill>
                    <w14:schemeClr w14:val="tx1"/>
                  </w14:solidFill>
                </w14:textFill>
              </w:rPr>
              <w:t>平均值</w:t>
            </w:r>
          </w:p>
        </w:tc>
        <w:tc>
          <w:tcPr>
            <w:tcW w:w="976" w:type="pct"/>
            <w:noWrap/>
            <w:vAlign w:val="center"/>
          </w:tcPr>
          <w:p w14:paraId="61350388">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2933.2</w:t>
            </w:r>
          </w:p>
        </w:tc>
        <w:tc>
          <w:tcPr>
            <w:tcW w:w="1056" w:type="pct"/>
            <w:noWrap/>
            <w:vAlign w:val="center"/>
          </w:tcPr>
          <w:p w14:paraId="49D56534">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3258.0</w:t>
            </w:r>
          </w:p>
        </w:tc>
        <w:tc>
          <w:tcPr>
            <w:tcW w:w="1178" w:type="pct"/>
            <w:noWrap/>
            <w:vAlign w:val="center"/>
          </w:tcPr>
          <w:p w14:paraId="1A984BD7">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2175.1</w:t>
            </w:r>
          </w:p>
        </w:tc>
      </w:tr>
      <w:tr w14:paraId="274EC0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2" w:type="pct"/>
            <w:vMerge w:val="restart"/>
            <w:noWrap/>
            <w:vAlign w:val="center"/>
          </w:tcPr>
          <w:p w14:paraId="6FF15221">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锆精矿-原料</w:t>
            </w:r>
          </w:p>
        </w:tc>
        <w:tc>
          <w:tcPr>
            <w:tcW w:w="1138" w:type="pct"/>
            <w:vAlign w:val="center"/>
          </w:tcPr>
          <w:p w14:paraId="17E8A57D">
            <w:pPr>
              <w:pStyle w:val="246"/>
              <w:rPr>
                <w:rFonts w:ascii="Times New Roman" w:hAnsi="Times New Roman"/>
                <w:color w:val="000000" w:themeColor="text1"/>
                <w:lang w:bidi="ar"/>
                <w14:textFill>
                  <w14:solidFill>
                    <w14:schemeClr w14:val="tx1"/>
                  </w14:solidFill>
                </w14:textFill>
              </w:rPr>
            </w:pPr>
            <w:r>
              <w:rPr>
                <w:rFonts w:ascii="Times New Roman" w:hAnsi="Times New Roman"/>
                <w:color w:val="000000" w:themeColor="text1"/>
                <w:lang w:bidi="ar"/>
                <w14:textFill>
                  <w14:solidFill>
                    <w14:schemeClr w14:val="tx1"/>
                  </w14:solidFill>
                </w14:textFill>
              </w:rPr>
              <w:t>广西道丰</w:t>
            </w:r>
            <w:r>
              <w:rPr>
                <w:rFonts w:ascii="Times New Roman" w:hAnsi="Times New Roman"/>
                <w:color w:val="000000" w:themeColor="text1"/>
                <w14:textFill>
                  <w14:solidFill>
                    <w14:schemeClr w14:val="tx1"/>
                  </w14:solidFill>
                </w14:textFill>
              </w:rPr>
              <w:t>1#锆精矿</w:t>
            </w:r>
          </w:p>
        </w:tc>
        <w:tc>
          <w:tcPr>
            <w:tcW w:w="976" w:type="pct"/>
            <w:noWrap/>
            <w:vAlign w:val="center"/>
          </w:tcPr>
          <w:p w14:paraId="53217CA8">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7424</w:t>
            </w:r>
          </w:p>
        </w:tc>
        <w:tc>
          <w:tcPr>
            <w:tcW w:w="1056" w:type="pct"/>
            <w:noWrap/>
            <w:vAlign w:val="center"/>
          </w:tcPr>
          <w:p w14:paraId="46B8277A">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7127.2</w:t>
            </w:r>
          </w:p>
        </w:tc>
        <w:tc>
          <w:tcPr>
            <w:tcW w:w="1178" w:type="pct"/>
            <w:noWrap/>
            <w:vAlign w:val="center"/>
          </w:tcPr>
          <w:p w14:paraId="21CF431F">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1001.3</w:t>
            </w:r>
          </w:p>
        </w:tc>
      </w:tr>
      <w:tr w14:paraId="740CA5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2" w:type="pct"/>
            <w:vMerge w:val="continue"/>
            <w:noWrap/>
            <w:vAlign w:val="center"/>
          </w:tcPr>
          <w:p w14:paraId="134AF9B8">
            <w:pPr>
              <w:pStyle w:val="246"/>
              <w:rPr>
                <w:rFonts w:ascii="Times New Roman" w:hAnsi="Times New Roman"/>
                <w:color w:val="000000" w:themeColor="text1"/>
                <w14:textFill>
                  <w14:solidFill>
                    <w14:schemeClr w14:val="tx1"/>
                  </w14:solidFill>
                </w14:textFill>
              </w:rPr>
            </w:pPr>
          </w:p>
        </w:tc>
        <w:tc>
          <w:tcPr>
            <w:tcW w:w="1138" w:type="pct"/>
            <w:vAlign w:val="center"/>
          </w:tcPr>
          <w:p w14:paraId="3E5ACA3B">
            <w:pPr>
              <w:pStyle w:val="246"/>
              <w:rPr>
                <w:rFonts w:ascii="Times New Roman" w:hAnsi="Times New Roman"/>
                <w:color w:val="000000" w:themeColor="text1"/>
                <w:lang w:bidi="ar"/>
                <w14:textFill>
                  <w14:solidFill>
                    <w14:schemeClr w14:val="tx1"/>
                  </w14:solidFill>
                </w14:textFill>
              </w:rPr>
            </w:pPr>
            <w:r>
              <w:rPr>
                <w:rFonts w:ascii="Times New Roman" w:hAnsi="Times New Roman"/>
                <w:color w:val="000000" w:themeColor="text1"/>
                <w:lang w:bidi="ar"/>
                <w14:textFill>
                  <w14:solidFill>
                    <w14:schemeClr w14:val="tx1"/>
                  </w14:solidFill>
                </w14:textFill>
              </w:rPr>
              <w:t>广西道丰</w:t>
            </w:r>
            <w:r>
              <w:rPr>
                <w:rFonts w:ascii="Times New Roman" w:hAnsi="Times New Roman"/>
                <w:color w:val="000000" w:themeColor="text1"/>
                <w14:textFill>
                  <w14:solidFill>
                    <w14:schemeClr w14:val="tx1"/>
                  </w14:solidFill>
                </w14:textFill>
              </w:rPr>
              <w:t>2#锆精矿</w:t>
            </w:r>
          </w:p>
        </w:tc>
        <w:tc>
          <w:tcPr>
            <w:tcW w:w="976" w:type="pct"/>
            <w:noWrap/>
            <w:vAlign w:val="center"/>
          </w:tcPr>
          <w:p w14:paraId="3C0D10BA">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7826</w:t>
            </w:r>
          </w:p>
        </w:tc>
        <w:tc>
          <w:tcPr>
            <w:tcW w:w="1056" w:type="pct"/>
            <w:noWrap/>
            <w:vAlign w:val="center"/>
          </w:tcPr>
          <w:p w14:paraId="5C477A7F">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8088.6</w:t>
            </w:r>
          </w:p>
        </w:tc>
        <w:tc>
          <w:tcPr>
            <w:tcW w:w="1178" w:type="pct"/>
            <w:noWrap/>
            <w:vAlign w:val="center"/>
          </w:tcPr>
          <w:p w14:paraId="3D334C8D">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1411</w:t>
            </w:r>
          </w:p>
        </w:tc>
      </w:tr>
      <w:tr w14:paraId="65E3FD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2" w:type="pct"/>
            <w:vMerge w:val="continue"/>
            <w:noWrap/>
            <w:vAlign w:val="center"/>
          </w:tcPr>
          <w:p w14:paraId="24259A4D">
            <w:pPr>
              <w:pStyle w:val="246"/>
              <w:rPr>
                <w:rFonts w:ascii="Times New Roman" w:hAnsi="Times New Roman"/>
                <w:color w:val="000000" w:themeColor="text1"/>
                <w14:textFill>
                  <w14:solidFill>
                    <w14:schemeClr w14:val="tx1"/>
                  </w14:solidFill>
                </w14:textFill>
              </w:rPr>
            </w:pPr>
          </w:p>
        </w:tc>
        <w:tc>
          <w:tcPr>
            <w:tcW w:w="1138" w:type="pct"/>
            <w:vAlign w:val="center"/>
          </w:tcPr>
          <w:p w14:paraId="519D5211">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lang w:bidi="ar"/>
                <w14:textFill>
                  <w14:solidFill>
                    <w14:schemeClr w14:val="tx1"/>
                  </w14:solidFill>
                </w14:textFill>
              </w:rPr>
              <w:t>范围值</w:t>
            </w:r>
          </w:p>
        </w:tc>
        <w:tc>
          <w:tcPr>
            <w:tcW w:w="976" w:type="pct"/>
            <w:noWrap/>
            <w:vAlign w:val="center"/>
          </w:tcPr>
          <w:p w14:paraId="1B6224B4">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7424～7826</w:t>
            </w:r>
          </w:p>
        </w:tc>
        <w:tc>
          <w:tcPr>
            <w:tcW w:w="1056" w:type="pct"/>
            <w:noWrap/>
            <w:vAlign w:val="center"/>
          </w:tcPr>
          <w:p w14:paraId="1F26CEA8">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7127.2～8088.6</w:t>
            </w:r>
          </w:p>
        </w:tc>
        <w:tc>
          <w:tcPr>
            <w:tcW w:w="1178" w:type="pct"/>
            <w:noWrap/>
            <w:vAlign w:val="center"/>
          </w:tcPr>
          <w:p w14:paraId="2ED2BE87">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1001.3～1411</w:t>
            </w:r>
          </w:p>
        </w:tc>
      </w:tr>
      <w:tr w14:paraId="2D64DB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2" w:type="pct"/>
            <w:vMerge w:val="continue"/>
            <w:noWrap/>
            <w:vAlign w:val="center"/>
          </w:tcPr>
          <w:p w14:paraId="7670153E">
            <w:pPr>
              <w:pStyle w:val="246"/>
              <w:rPr>
                <w:rFonts w:ascii="Times New Roman" w:hAnsi="Times New Roman"/>
                <w:color w:val="000000" w:themeColor="text1"/>
                <w14:textFill>
                  <w14:solidFill>
                    <w14:schemeClr w14:val="tx1"/>
                  </w14:solidFill>
                </w14:textFill>
              </w:rPr>
            </w:pPr>
          </w:p>
        </w:tc>
        <w:tc>
          <w:tcPr>
            <w:tcW w:w="1138" w:type="pct"/>
            <w:vAlign w:val="center"/>
          </w:tcPr>
          <w:p w14:paraId="44EBE1D6">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lang w:bidi="ar"/>
                <w14:textFill>
                  <w14:solidFill>
                    <w14:schemeClr w14:val="tx1"/>
                  </w14:solidFill>
                </w14:textFill>
              </w:rPr>
              <w:t>平均值</w:t>
            </w:r>
          </w:p>
        </w:tc>
        <w:tc>
          <w:tcPr>
            <w:tcW w:w="976" w:type="pct"/>
            <w:noWrap/>
            <w:vAlign w:val="center"/>
          </w:tcPr>
          <w:p w14:paraId="2843A164">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7625.0</w:t>
            </w:r>
          </w:p>
        </w:tc>
        <w:tc>
          <w:tcPr>
            <w:tcW w:w="1056" w:type="pct"/>
            <w:noWrap/>
            <w:vAlign w:val="center"/>
          </w:tcPr>
          <w:p w14:paraId="45933A37">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7607.9</w:t>
            </w:r>
          </w:p>
        </w:tc>
        <w:tc>
          <w:tcPr>
            <w:tcW w:w="1178" w:type="pct"/>
            <w:noWrap/>
            <w:vAlign w:val="center"/>
          </w:tcPr>
          <w:p w14:paraId="3C2D355C">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1206.2</w:t>
            </w:r>
          </w:p>
        </w:tc>
      </w:tr>
      <w:tr w14:paraId="6BFA6F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2" w:type="pct"/>
            <w:vMerge w:val="restart"/>
            <w:noWrap/>
            <w:vAlign w:val="center"/>
          </w:tcPr>
          <w:p w14:paraId="11341FEC">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钛精矿-产品</w:t>
            </w:r>
          </w:p>
        </w:tc>
        <w:tc>
          <w:tcPr>
            <w:tcW w:w="1138" w:type="pct"/>
            <w:vAlign w:val="center"/>
          </w:tcPr>
          <w:p w14:paraId="17B95BEE">
            <w:pPr>
              <w:pStyle w:val="246"/>
              <w:rPr>
                <w:rFonts w:ascii="Times New Roman" w:hAnsi="Times New Roman"/>
                <w:color w:val="000000" w:themeColor="text1"/>
                <w:lang w:bidi="ar"/>
                <w14:textFill>
                  <w14:solidFill>
                    <w14:schemeClr w14:val="tx1"/>
                  </w14:solidFill>
                </w14:textFill>
              </w:rPr>
            </w:pPr>
            <w:r>
              <w:rPr>
                <w:rFonts w:ascii="Times New Roman" w:hAnsi="Times New Roman"/>
                <w:color w:val="000000" w:themeColor="text1"/>
                <w:lang w:bidi="ar"/>
                <w14:textFill>
                  <w14:solidFill>
                    <w14:schemeClr w14:val="tx1"/>
                  </w14:solidFill>
                </w14:textFill>
              </w:rPr>
              <w:t>海南海拓</w:t>
            </w:r>
          </w:p>
        </w:tc>
        <w:tc>
          <w:tcPr>
            <w:tcW w:w="976" w:type="pct"/>
            <w:noWrap/>
            <w:vAlign w:val="center"/>
          </w:tcPr>
          <w:p w14:paraId="3D087FF8">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62.9</w:t>
            </w:r>
          </w:p>
        </w:tc>
        <w:tc>
          <w:tcPr>
            <w:tcW w:w="1056" w:type="pct"/>
            <w:noWrap/>
            <w:vAlign w:val="center"/>
          </w:tcPr>
          <w:p w14:paraId="0A222404">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76.5</w:t>
            </w:r>
          </w:p>
        </w:tc>
        <w:tc>
          <w:tcPr>
            <w:tcW w:w="1178" w:type="pct"/>
            <w:noWrap/>
            <w:vAlign w:val="center"/>
          </w:tcPr>
          <w:p w14:paraId="5ACC558A">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218.4</w:t>
            </w:r>
          </w:p>
        </w:tc>
      </w:tr>
      <w:tr w14:paraId="510507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2" w:type="pct"/>
            <w:vMerge w:val="continue"/>
            <w:noWrap/>
            <w:vAlign w:val="center"/>
          </w:tcPr>
          <w:p w14:paraId="019F7E5D">
            <w:pPr>
              <w:pStyle w:val="246"/>
              <w:rPr>
                <w:rFonts w:ascii="Times New Roman" w:hAnsi="Times New Roman"/>
                <w:color w:val="000000" w:themeColor="text1"/>
                <w14:textFill>
                  <w14:solidFill>
                    <w14:schemeClr w14:val="tx1"/>
                  </w14:solidFill>
                </w14:textFill>
              </w:rPr>
            </w:pPr>
          </w:p>
        </w:tc>
        <w:tc>
          <w:tcPr>
            <w:tcW w:w="1138" w:type="pct"/>
            <w:vAlign w:val="center"/>
          </w:tcPr>
          <w:p w14:paraId="5EBF7180">
            <w:pPr>
              <w:pStyle w:val="246"/>
              <w:rPr>
                <w:rFonts w:ascii="Times New Roman" w:hAnsi="Times New Roman"/>
                <w:color w:val="000000" w:themeColor="text1"/>
                <w:lang w:bidi="ar"/>
                <w14:textFill>
                  <w14:solidFill>
                    <w14:schemeClr w14:val="tx1"/>
                  </w14:solidFill>
                </w14:textFill>
              </w:rPr>
            </w:pPr>
            <w:r>
              <w:rPr>
                <w:rFonts w:ascii="Times New Roman" w:hAnsi="Times New Roman"/>
                <w:color w:val="000000" w:themeColor="text1"/>
                <w:lang w:bidi="ar"/>
                <w14:textFill>
                  <w14:solidFill>
                    <w14:schemeClr w14:val="tx1"/>
                  </w14:solidFill>
                </w14:textFill>
              </w:rPr>
              <w:t>广西源丰达</w:t>
            </w:r>
          </w:p>
        </w:tc>
        <w:tc>
          <w:tcPr>
            <w:tcW w:w="976" w:type="pct"/>
            <w:noWrap/>
            <w:vAlign w:val="center"/>
          </w:tcPr>
          <w:p w14:paraId="717232C9">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172.2</w:t>
            </w:r>
          </w:p>
        </w:tc>
        <w:tc>
          <w:tcPr>
            <w:tcW w:w="1056" w:type="pct"/>
            <w:noWrap/>
            <w:vAlign w:val="center"/>
          </w:tcPr>
          <w:p w14:paraId="451334EB">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141.6</w:t>
            </w:r>
          </w:p>
        </w:tc>
        <w:tc>
          <w:tcPr>
            <w:tcW w:w="1178" w:type="pct"/>
            <w:noWrap/>
            <w:vAlign w:val="center"/>
          </w:tcPr>
          <w:p w14:paraId="0CE1E46E">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725.2</w:t>
            </w:r>
          </w:p>
        </w:tc>
      </w:tr>
      <w:tr w14:paraId="366DA6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2" w:type="pct"/>
            <w:vMerge w:val="continue"/>
            <w:noWrap/>
            <w:vAlign w:val="center"/>
          </w:tcPr>
          <w:p w14:paraId="48F44AC3">
            <w:pPr>
              <w:pStyle w:val="246"/>
              <w:rPr>
                <w:rFonts w:ascii="Times New Roman" w:hAnsi="Times New Roman"/>
                <w:color w:val="000000" w:themeColor="text1"/>
                <w14:textFill>
                  <w14:solidFill>
                    <w14:schemeClr w14:val="tx1"/>
                  </w14:solidFill>
                </w14:textFill>
              </w:rPr>
            </w:pPr>
          </w:p>
        </w:tc>
        <w:tc>
          <w:tcPr>
            <w:tcW w:w="1138" w:type="pct"/>
            <w:vAlign w:val="center"/>
          </w:tcPr>
          <w:p w14:paraId="5EE5083C">
            <w:pPr>
              <w:pStyle w:val="246"/>
              <w:rPr>
                <w:rFonts w:ascii="Times New Roman" w:hAnsi="Times New Roman"/>
                <w:color w:val="000000" w:themeColor="text1"/>
                <w:lang w:bidi="ar"/>
                <w14:textFill>
                  <w14:solidFill>
                    <w14:schemeClr w14:val="tx1"/>
                  </w14:solidFill>
                </w14:textFill>
              </w:rPr>
            </w:pPr>
            <w:r>
              <w:rPr>
                <w:rFonts w:ascii="Times New Roman" w:hAnsi="Times New Roman"/>
                <w:color w:val="000000" w:themeColor="text1"/>
                <w:lang w:bidi="ar"/>
                <w14:textFill>
                  <w14:solidFill>
                    <w14:schemeClr w14:val="tx1"/>
                  </w14:solidFill>
                </w14:textFill>
              </w:rPr>
              <w:t>广西道丰</w:t>
            </w:r>
          </w:p>
        </w:tc>
        <w:tc>
          <w:tcPr>
            <w:tcW w:w="976" w:type="pct"/>
            <w:noWrap/>
            <w:vAlign w:val="center"/>
          </w:tcPr>
          <w:p w14:paraId="1379C722">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406.8</w:t>
            </w:r>
          </w:p>
        </w:tc>
        <w:tc>
          <w:tcPr>
            <w:tcW w:w="1056" w:type="pct"/>
            <w:noWrap/>
            <w:vAlign w:val="center"/>
          </w:tcPr>
          <w:p w14:paraId="41D914F4">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247</w:t>
            </w:r>
          </w:p>
        </w:tc>
        <w:tc>
          <w:tcPr>
            <w:tcW w:w="1178" w:type="pct"/>
            <w:noWrap/>
            <w:vAlign w:val="center"/>
          </w:tcPr>
          <w:p w14:paraId="4005B7EC">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566.9</w:t>
            </w:r>
          </w:p>
        </w:tc>
      </w:tr>
      <w:tr w14:paraId="3D768E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2" w:type="pct"/>
            <w:vMerge w:val="continue"/>
            <w:noWrap/>
            <w:vAlign w:val="center"/>
          </w:tcPr>
          <w:p w14:paraId="278878AC">
            <w:pPr>
              <w:pStyle w:val="246"/>
              <w:rPr>
                <w:rFonts w:ascii="Times New Roman" w:hAnsi="Times New Roman"/>
                <w:color w:val="000000" w:themeColor="text1"/>
                <w14:textFill>
                  <w14:solidFill>
                    <w14:schemeClr w14:val="tx1"/>
                  </w14:solidFill>
                </w14:textFill>
              </w:rPr>
            </w:pPr>
          </w:p>
        </w:tc>
        <w:tc>
          <w:tcPr>
            <w:tcW w:w="1138" w:type="pct"/>
            <w:vAlign w:val="center"/>
          </w:tcPr>
          <w:p w14:paraId="398A358D">
            <w:pPr>
              <w:pStyle w:val="246"/>
              <w:rPr>
                <w:rFonts w:ascii="Times New Roman" w:hAnsi="Times New Roman"/>
                <w:color w:val="000000" w:themeColor="text1"/>
                <w:lang w:bidi="ar"/>
                <w14:textFill>
                  <w14:solidFill>
                    <w14:schemeClr w14:val="tx1"/>
                  </w14:solidFill>
                </w14:textFill>
              </w:rPr>
            </w:pPr>
            <w:r>
              <w:rPr>
                <w:rFonts w:ascii="Times New Roman" w:hAnsi="Times New Roman"/>
                <w:color w:val="000000" w:themeColor="text1"/>
                <w:lang w:bidi="ar"/>
                <w14:textFill>
                  <w14:solidFill>
                    <w14:schemeClr w14:val="tx1"/>
                  </w14:solidFill>
                </w14:textFill>
              </w:rPr>
              <w:t>范围值</w:t>
            </w:r>
          </w:p>
        </w:tc>
        <w:tc>
          <w:tcPr>
            <w:tcW w:w="976" w:type="pct"/>
            <w:noWrap/>
            <w:vAlign w:val="center"/>
          </w:tcPr>
          <w:p w14:paraId="06353E9D">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62.9～406.8</w:t>
            </w:r>
          </w:p>
        </w:tc>
        <w:tc>
          <w:tcPr>
            <w:tcW w:w="1056" w:type="pct"/>
            <w:noWrap/>
            <w:vAlign w:val="center"/>
          </w:tcPr>
          <w:p w14:paraId="43AFBF16">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76.5～247</w:t>
            </w:r>
          </w:p>
        </w:tc>
        <w:tc>
          <w:tcPr>
            <w:tcW w:w="1178" w:type="pct"/>
            <w:noWrap/>
            <w:vAlign w:val="center"/>
          </w:tcPr>
          <w:p w14:paraId="484295B8">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218.4～725.2</w:t>
            </w:r>
          </w:p>
        </w:tc>
      </w:tr>
      <w:tr w14:paraId="45A750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2" w:type="pct"/>
            <w:vMerge w:val="continue"/>
            <w:noWrap/>
            <w:vAlign w:val="center"/>
          </w:tcPr>
          <w:p w14:paraId="0851624F">
            <w:pPr>
              <w:pStyle w:val="246"/>
              <w:rPr>
                <w:rFonts w:ascii="Times New Roman" w:hAnsi="Times New Roman"/>
                <w:color w:val="000000" w:themeColor="text1"/>
                <w14:textFill>
                  <w14:solidFill>
                    <w14:schemeClr w14:val="tx1"/>
                  </w14:solidFill>
                </w14:textFill>
              </w:rPr>
            </w:pPr>
          </w:p>
        </w:tc>
        <w:tc>
          <w:tcPr>
            <w:tcW w:w="1138" w:type="pct"/>
            <w:vAlign w:val="center"/>
          </w:tcPr>
          <w:p w14:paraId="353532A3">
            <w:pPr>
              <w:pStyle w:val="246"/>
              <w:rPr>
                <w:rFonts w:ascii="Times New Roman" w:hAnsi="Times New Roman"/>
                <w:color w:val="000000" w:themeColor="text1"/>
                <w:lang w:bidi="ar"/>
                <w14:textFill>
                  <w14:solidFill>
                    <w14:schemeClr w14:val="tx1"/>
                  </w14:solidFill>
                </w14:textFill>
              </w:rPr>
            </w:pPr>
            <w:r>
              <w:rPr>
                <w:rFonts w:ascii="Times New Roman" w:hAnsi="Times New Roman"/>
                <w:color w:val="000000" w:themeColor="text1"/>
                <w:lang w:bidi="ar"/>
                <w14:textFill>
                  <w14:solidFill>
                    <w14:schemeClr w14:val="tx1"/>
                  </w14:solidFill>
                </w14:textFill>
              </w:rPr>
              <w:t>平均值</w:t>
            </w:r>
          </w:p>
        </w:tc>
        <w:tc>
          <w:tcPr>
            <w:tcW w:w="976" w:type="pct"/>
            <w:noWrap/>
            <w:vAlign w:val="center"/>
          </w:tcPr>
          <w:p w14:paraId="54E46B0F">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214.0</w:t>
            </w:r>
          </w:p>
        </w:tc>
        <w:tc>
          <w:tcPr>
            <w:tcW w:w="1056" w:type="pct"/>
            <w:noWrap/>
            <w:vAlign w:val="center"/>
          </w:tcPr>
          <w:p w14:paraId="59EC021A">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155.0</w:t>
            </w:r>
          </w:p>
        </w:tc>
        <w:tc>
          <w:tcPr>
            <w:tcW w:w="1178" w:type="pct"/>
            <w:noWrap/>
            <w:vAlign w:val="center"/>
          </w:tcPr>
          <w:p w14:paraId="4E198F9D">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503.5</w:t>
            </w:r>
          </w:p>
        </w:tc>
      </w:tr>
      <w:tr w14:paraId="427D3C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2" w:type="pct"/>
            <w:vMerge w:val="restart"/>
            <w:noWrap/>
            <w:vAlign w:val="center"/>
          </w:tcPr>
          <w:p w14:paraId="3ECDEF9C">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锆英砂-产品</w:t>
            </w:r>
          </w:p>
        </w:tc>
        <w:tc>
          <w:tcPr>
            <w:tcW w:w="1138" w:type="pct"/>
            <w:vAlign w:val="center"/>
          </w:tcPr>
          <w:p w14:paraId="7D6DFE72">
            <w:pPr>
              <w:pStyle w:val="246"/>
              <w:rPr>
                <w:rFonts w:ascii="Times New Roman" w:hAnsi="Times New Roman"/>
                <w:color w:val="000000" w:themeColor="text1"/>
                <w:lang w:bidi="ar"/>
                <w14:textFill>
                  <w14:solidFill>
                    <w14:schemeClr w14:val="tx1"/>
                  </w14:solidFill>
                </w14:textFill>
              </w:rPr>
            </w:pPr>
            <w:r>
              <w:rPr>
                <w:rFonts w:ascii="Times New Roman" w:hAnsi="Times New Roman"/>
                <w:color w:val="000000" w:themeColor="text1"/>
                <w:lang w:bidi="ar"/>
                <w14:textFill>
                  <w14:solidFill>
                    <w14:schemeClr w14:val="tx1"/>
                  </w14:solidFill>
                </w14:textFill>
              </w:rPr>
              <w:t>广西源丰达</w:t>
            </w:r>
          </w:p>
        </w:tc>
        <w:tc>
          <w:tcPr>
            <w:tcW w:w="976" w:type="pct"/>
            <w:noWrap/>
            <w:vAlign w:val="center"/>
          </w:tcPr>
          <w:p w14:paraId="7FC76641">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7267.8</w:t>
            </w:r>
          </w:p>
        </w:tc>
        <w:tc>
          <w:tcPr>
            <w:tcW w:w="1056" w:type="pct"/>
            <w:noWrap/>
            <w:vAlign w:val="center"/>
          </w:tcPr>
          <w:p w14:paraId="1FAABBC9">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6811.8</w:t>
            </w:r>
          </w:p>
        </w:tc>
        <w:tc>
          <w:tcPr>
            <w:tcW w:w="1178" w:type="pct"/>
            <w:noWrap/>
            <w:vAlign w:val="center"/>
          </w:tcPr>
          <w:p w14:paraId="73F2BE58">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1600.6</w:t>
            </w:r>
          </w:p>
        </w:tc>
      </w:tr>
      <w:tr w14:paraId="0C7DDF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2" w:type="pct"/>
            <w:vMerge w:val="continue"/>
            <w:noWrap/>
            <w:vAlign w:val="center"/>
          </w:tcPr>
          <w:p w14:paraId="597CDD2E">
            <w:pPr>
              <w:pStyle w:val="246"/>
              <w:rPr>
                <w:rFonts w:ascii="Times New Roman" w:hAnsi="Times New Roman"/>
                <w:color w:val="000000" w:themeColor="text1"/>
                <w14:textFill>
                  <w14:solidFill>
                    <w14:schemeClr w14:val="tx1"/>
                  </w14:solidFill>
                </w14:textFill>
              </w:rPr>
            </w:pPr>
          </w:p>
        </w:tc>
        <w:tc>
          <w:tcPr>
            <w:tcW w:w="1138" w:type="pct"/>
            <w:vAlign w:val="center"/>
          </w:tcPr>
          <w:p w14:paraId="263E1291">
            <w:pPr>
              <w:pStyle w:val="246"/>
              <w:rPr>
                <w:rFonts w:ascii="Times New Roman" w:hAnsi="Times New Roman"/>
                <w:color w:val="000000" w:themeColor="text1"/>
                <w:lang w:bidi="ar"/>
                <w14:textFill>
                  <w14:solidFill>
                    <w14:schemeClr w14:val="tx1"/>
                  </w14:solidFill>
                </w14:textFill>
              </w:rPr>
            </w:pPr>
            <w:r>
              <w:rPr>
                <w:rFonts w:ascii="Times New Roman" w:hAnsi="Times New Roman"/>
                <w:color w:val="000000" w:themeColor="text1"/>
                <w:lang w:bidi="ar"/>
                <w14:textFill>
                  <w14:solidFill>
                    <w14:schemeClr w14:val="tx1"/>
                  </w14:solidFill>
                </w14:textFill>
              </w:rPr>
              <w:t>广西道丰</w:t>
            </w:r>
          </w:p>
        </w:tc>
        <w:tc>
          <w:tcPr>
            <w:tcW w:w="976" w:type="pct"/>
            <w:noWrap/>
            <w:vAlign w:val="center"/>
          </w:tcPr>
          <w:p w14:paraId="365B0AE2">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8298.3</w:t>
            </w:r>
          </w:p>
        </w:tc>
        <w:tc>
          <w:tcPr>
            <w:tcW w:w="1056" w:type="pct"/>
            <w:noWrap/>
            <w:vAlign w:val="center"/>
          </w:tcPr>
          <w:p w14:paraId="5DBD6182">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7954.8</w:t>
            </w:r>
          </w:p>
        </w:tc>
        <w:tc>
          <w:tcPr>
            <w:tcW w:w="1178" w:type="pct"/>
            <w:noWrap/>
            <w:vAlign w:val="center"/>
          </w:tcPr>
          <w:p w14:paraId="45529729">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618.2</w:t>
            </w:r>
          </w:p>
        </w:tc>
      </w:tr>
      <w:tr w14:paraId="367356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2" w:type="pct"/>
            <w:vMerge w:val="continue"/>
            <w:noWrap/>
            <w:vAlign w:val="center"/>
          </w:tcPr>
          <w:p w14:paraId="53E2E9C9">
            <w:pPr>
              <w:pStyle w:val="246"/>
              <w:rPr>
                <w:rFonts w:ascii="Times New Roman" w:hAnsi="Times New Roman"/>
                <w:color w:val="000000" w:themeColor="text1"/>
                <w14:textFill>
                  <w14:solidFill>
                    <w14:schemeClr w14:val="tx1"/>
                  </w14:solidFill>
                </w14:textFill>
              </w:rPr>
            </w:pPr>
          </w:p>
        </w:tc>
        <w:tc>
          <w:tcPr>
            <w:tcW w:w="1138" w:type="pct"/>
            <w:vAlign w:val="center"/>
          </w:tcPr>
          <w:p w14:paraId="432FABB8">
            <w:pPr>
              <w:pStyle w:val="246"/>
              <w:rPr>
                <w:rFonts w:ascii="Times New Roman" w:hAnsi="Times New Roman"/>
                <w:color w:val="000000" w:themeColor="text1"/>
                <w:lang w:bidi="ar"/>
                <w14:textFill>
                  <w14:solidFill>
                    <w14:schemeClr w14:val="tx1"/>
                  </w14:solidFill>
                </w14:textFill>
              </w:rPr>
            </w:pPr>
            <w:r>
              <w:rPr>
                <w:rFonts w:ascii="Times New Roman" w:hAnsi="Times New Roman"/>
                <w:color w:val="000000" w:themeColor="text1"/>
                <w:lang w:bidi="ar"/>
                <w14:textFill>
                  <w14:solidFill>
                    <w14:schemeClr w14:val="tx1"/>
                  </w14:solidFill>
                </w14:textFill>
              </w:rPr>
              <w:t>范围值</w:t>
            </w:r>
          </w:p>
        </w:tc>
        <w:tc>
          <w:tcPr>
            <w:tcW w:w="976" w:type="pct"/>
            <w:noWrap/>
            <w:vAlign w:val="center"/>
          </w:tcPr>
          <w:p w14:paraId="16DB9AAC">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7267.8～8298.3</w:t>
            </w:r>
          </w:p>
        </w:tc>
        <w:tc>
          <w:tcPr>
            <w:tcW w:w="1056" w:type="pct"/>
            <w:noWrap/>
            <w:vAlign w:val="center"/>
          </w:tcPr>
          <w:p w14:paraId="01C97063">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6811.8～7954.8</w:t>
            </w:r>
          </w:p>
        </w:tc>
        <w:tc>
          <w:tcPr>
            <w:tcW w:w="1178" w:type="pct"/>
            <w:noWrap/>
            <w:vAlign w:val="center"/>
          </w:tcPr>
          <w:p w14:paraId="27E92669">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618.2～1600.6</w:t>
            </w:r>
          </w:p>
        </w:tc>
      </w:tr>
      <w:tr w14:paraId="01D168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2" w:type="pct"/>
            <w:vMerge w:val="continue"/>
            <w:noWrap/>
            <w:vAlign w:val="center"/>
          </w:tcPr>
          <w:p w14:paraId="01CD1A60">
            <w:pPr>
              <w:pStyle w:val="246"/>
              <w:rPr>
                <w:rFonts w:ascii="Times New Roman" w:hAnsi="Times New Roman"/>
                <w:color w:val="000000" w:themeColor="text1"/>
                <w14:textFill>
                  <w14:solidFill>
                    <w14:schemeClr w14:val="tx1"/>
                  </w14:solidFill>
                </w14:textFill>
              </w:rPr>
            </w:pPr>
          </w:p>
        </w:tc>
        <w:tc>
          <w:tcPr>
            <w:tcW w:w="1138" w:type="pct"/>
            <w:vAlign w:val="center"/>
          </w:tcPr>
          <w:p w14:paraId="3479879A">
            <w:pPr>
              <w:pStyle w:val="246"/>
              <w:rPr>
                <w:rFonts w:ascii="Times New Roman" w:hAnsi="Times New Roman"/>
                <w:color w:val="000000" w:themeColor="text1"/>
                <w:lang w:bidi="ar"/>
                <w14:textFill>
                  <w14:solidFill>
                    <w14:schemeClr w14:val="tx1"/>
                  </w14:solidFill>
                </w14:textFill>
              </w:rPr>
            </w:pPr>
            <w:r>
              <w:rPr>
                <w:rFonts w:ascii="Times New Roman" w:hAnsi="Times New Roman"/>
                <w:color w:val="000000" w:themeColor="text1"/>
                <w:lang w:bidi="ar"/>
                <w14:textFill>
                  <w14:solidFill>
                    <w14:schemeClr w14:val="tx1"/>
                  </w14:solidFill>
                </w14:textFill>
              </w:rPr>
              <w:t>平均值</w:t>
            </w:r>
          </w:p>
        </w:tc>
        <w:tc>
          <w:tcPr>
            <w:tcW w:w="976" w:type="pct"/>
            <w:noWrap/>
            <w:vAlign w:val="center"/>
          </w:tcPr>
          <w:p w14:paraId="3553F7AA">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7783.1</w:t>
            </w:r>
          </w:p>
        </w:tc>
        <w:tc>
          <w:tcPr>
            <w:tcW w:w="1056" w:type="pct"/>
            <w:noWrap/>
            <w:vAlign w:val="center"/>
          </w:tcPr>
          <w:p w14:paraId="715101A2">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7383.3</w:t>
            </w:r>
          </w:p>
        </w:tc>
        <w:tc>
          <w:tcPr>
            <w:tcW w:w="1178" w:type="pct"/>
            <w:noWrap/>
            <w:vAlign w:val="center"/>
          </w:tcPr>
          <w:p w14:paraId="4BB88BA0">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1109.4</w:t>
            </w:r>
          </w:p>
        </w:tc>
      </w:tr>
      <w:tr w14:paraId="2958AE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2" w:type="pct"/>
            <w:vMerge w:val="restart"/>
            <w:noWrap/>
            <w:vAlign w:val="center"/>
          </w:tcPr>
          <w:p w14:paraId="59B5B961">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金红石-产品</w:t>
            </w:r>
          </w:p>
        </w:tc>
        <w:tc>
          <w:tcPr>
            <w:tcW w:w="1138" w:type="pct"/>
            <w:vAlign w:val="center"/>
          </w:tcPr>
          <w:p w14:paraId="2B95A7AB">
            <w:pPr>
              <w:pStyle w:val="246"/>
              <w:rPr>
                <w:rFonts w:ascii="Times New Roman" w:hAnsi="Times New Roman"/>
                <w:color w:val="000000" w:themeColor="text1"/>
                <w:lang w:bidi="ar"/>
                <w14:textFill>
                  <w14:solidFill>
                    <w14:schemeClr w14:val="tx1"/>
                  </w14:solidFill>
                </w14:textFill>
              </w:rPr>
            </w:pPr>
            <w:r>
              <w:rPr>
                <w:rFonts w:ascii="Times New Roman" w:hAnsi="Times New Roman"/>
                <w:color w:val="000000" w:themeColor="text1"/>
                <w:lang w:bidi="ar"/>
                <w14:textFill>
                  <w14:solidFill>
                    <w14:schemeClr w14:val="tx1"/>
                  </w14:solidFill>
                </w14:textFill>
              </w:rPr>
              <w:t>海南海拓</w:t>
            </w:r>
          </w:p>
        </w:tc>
        <w:tc>
          <w:tcPr>
            <w:tcW w:w="976" w:type="pct"/>
            <w:noWrap/>
            <w:vAlign w:val="center"/>
          </w:tcPr>
          <w:p w14:paraId="274E050B">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462.4</w:t>
            </w:r>
          </w:p>
        </w:tc>
        <w:tc>
          <w:tcPr>
            <w:tcW w:w="1056" w:type="pct"/>
            <w:noWrap/>
            <w:vAlign w:val="center"/>
          </w:tcPr>
          <w:p w14:paraId="77243A21">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630.6</w:t>
            </w:r>
          </w:p>
        </w:tc>
        <w:tc>
          <w:tcPr>
            <w:tcW w:w="1178" w:type="pct"/>
            <w:noWrap/>
            <w:vAlign w:val="center"/>
          </w:tcPr>
          <w:p w14:paraId="43D6FA9A">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1840</w:t>
            </w:r>
          </w:p>
        </w:tc>
      </w:tr>
      <w:tr w14:paraId="299FCE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2" w:type="pct"/>
            <w:vMerge w:val="continue"/>
            <w:noWrap/>
            <w:vAlign w:val="center"/>
          </w:tcPr>
          <w:p w14:paraId="4A1BF236">
            <w:pPr>
              <w:pStyle w:val="246"/>
              <w:rPr>
                <w:rFonts w:ascii="Times New Roman" w:hAnsi="Times New Roman"/>
                <w:color w:val="000000" w:themeColor="text1"/>
                <w14:textFill>
                  <w14:solidFill>
                    <w14:schemeClr w14:val="tx1"/>
                  </w14:solidFill>
                </w14:textFill>
              </w:rPr>
            </w:pPr>
          </w:p>
        </w:tc>
        <w:tc>
          <w:tcPr>
            <w:tcW w:w="1138" w:type="pct"/>
            <w:vAlign w:val="center"/>
          </w:tcPr>
          <w:p w14:paraId="2D27E87F">
            <w:pPr>
              <w:pStyle w:val="246"/>
              <w:rPr>
                <w:rFonts w:ascii="Times New Roman" w:hAnsi="Times New Roman"/>
                <w:color w:val="000000" w:themeColor="text1"/>
                <w:lang w:bidi="ar"/>
                <w14:textFill>
                  <w14:solidFill>
                    <w14:schemeClr w14:val="tx1"/>
                  </w14:solidFill>
                </w14:textFill>
              </w:rPr>
            </w:pPr>
            <w:r>
              <w:rPr>
                <w:rFonts w:ascii="Times New Roman" w:hAnsi="Times New Roman"/>
                <w:color w:val="000000" w:themeColor="text1"/>
                <w:lang w:bidi="ar"/>
                <w14:textFill>
                  <w14:solidFill>
                    <w14:schemeClr w14:val="tx1"/>
                  </w14:solidFill>
                </w14:textFill>
              </w:rPr>
              <w:t>广西源丰达</w:t>
            </w:r>
          </w:p>
        </w:tc>
        <w:tc>
          <w:tcPr>
            <w:tcW w:w="976" w:type="pct"/>
            <w:noWrap/>
            <w:vAlign w:val="center"/>
          </w:tcPr>
          <w:p w14:paraId="6F0F12AC">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3909</w:t>
            </w:r>
          </w:p>
        </w:tc>
        <w:tc>
          <w:tcPr>
            <w:tcW w:w="1056" w:type="pct"/>
            <w:noWrap/>
            <w:vAlign w:val="center"/>
          </w:tcPr>
          <w:p w14:paraId="304C35B7">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2840</w:t>
            </w:r>
          </w:p>
        </w:tc>
        <w:tc>
          <w:tcPr>
            <w:tcW w:w="1178" w:type="pct"/>
            <w:noWrap/>
            <w:vAlign w:val="center"/>
          </w:tcPr>
          <w:p w14:paraId="76B5703D">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1514.6</w:t>
            </w:r>
          </w:p>
        </w:tc>
      </w:tr>
      <w:tr w14:paraId="2F1FAF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2" w:type="pct"/>
            <w:vMerge w:val="continue"/>
            <w:noWrap/>
            <w:vAlign w:val="center"/>
          </w:tcPr>
          <w:p w14:paraId="72B9F014">
            <w:pPr>
              <w:pStyle w:val="246"/>
              <w:rPr>
                <w:rFonts w:ascii="Times New Roman" w:hAnsi="Times New Roman"/>
                <w:color w:val="000000" w:themeColor="text1"/>
                <w14:textFill>
                  <w14:solidFill>
                    <w14:schemeClr w14:val="tx1"/>
                  </w14:solidFill>
                </w14:textFill>
              </w:rPr>
            </w:pPr>
          </w:p>
        </w:tc>
        <w:tc>
          <w:tcPr>
            <w:tcW w:w="1138" w:type="pct"/>
            <w:vAlign w:val="center"/>
          </w:tcPr>
          <w:p w14:paraId="623C317D">
            <w:pPr>
              <w:pStyle w:val="246"/>
              <w:rPr>
                <w:rFonts w:ascii="Times New Roman" w:hAnsi="Times New Roman"/>
                <w:color w:val="000000" w:themeColor="text1"/>
                <w:lang w:bidi="ar"/>
                <w14:textFill>
                  <w14:solidFill>
                    <w14:schemeClr w14:val="tx1"/>
                  </w14:solidFill>
                </w14:textFill>
              </w:rPr>
            </w:pPr>
            <w:r>
              <w:rPr>
                <w:rFonts w:ascii="Times New Roman" w:hAnsi="Times New Roman"/>
                <w:color w:val="000000" w:themeColor="text1"/>
                <w:lang w:bidi="ar"/>
                <w14:textFill>
                  <w14:solidFill>
                    <w14:schemeClr w14:val="tx1"/>
                  </w14:solidFill>
                </w14:textFill>
              </w:rPr>
              <w:t>广西道丰</w:t>
            </w:r>
          </w:p>
        </w:tc>
        <w:tc>
          <w:tcPr>
            <w:tcW w:w="976" w:type="pct"/>
            <w:noWrap/>
            <w:vAlign w:val="center"/>
          </w:tcPr>
          <w:p w14:paraId="3A437CED">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968.7</w:t>
            </w:r>
          </w:p>
        </w:tc>
        <w:tc>
          <w:tcPr>
            <w:tcW w:w="1056" w:type="pct"/>
            <w:noWrap/>
            <w:vAlign w:val="center"/>
          </w:tcPr>
          <w:p w14:paraId="4A1C54E2">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627.1</w:t>
            </w:r>
          </w:p>
        </w:tc>
        <w:tc>
          <w:tcPr>
            <w:tcW w:w="1178" w:type="pct"/>
            <w:noWrap/>
            <w:vAlign w:val="center"/>
          </w:tcPr>
          <w:p w14:paraId="3BF13233">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747.4</w:t>
            </w:r>
          </w:p>
        </w:tc>
      </w:tr>
      <w:tr w14:paraId="1EA2B1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2" w:type="pct"/>
            <w:vMerge w:val="continue"/>
            <w:noWrap/>
            <w:vAlign w:val="center"/>
          </w:tcPr>
          <w:p w14:paraId="6D8AC44F">
            <w:pPr>
              <w:pStyle w:val="246"/>
              <w:rPr>
                <w:rFonts w:ascii="Times New Roman" w:hAnsi="Times New Roman"/>
                <w:color w:val="000000" w:themeColor="text1"/>
                <w14:textFill>
                  <w14:solidFill>
                    <w14:schemeClr w14:val="tx1"/>
                  </w14:solidFill>
                </w14:textFill>
              </w:rPr>
            </w:pPr>
          </w:p>
        </w:tc>
        <w:tc>
          <w:tcPr>
            <w:tcW w:w="1138" w:type="pct"/>
            <w:vAlign w:val="center"/>
          </w:tcPr>
          <w:p w14:paraId="7F99F4F2">
            <w:pPr>
              <w:pStyle w:val="246"/>
              <w:rPr>
                <w:rFonts w:ascii="Times New Roman" w:hAnsi="Times New Roman"/>
                <w:color w:val="000000" w:themeColor="text1"/>
                <w:lang w:bidi="ar"/>
                <w14:textFill>
                  <w14:solidFill>
                    <w14:schemeClr w14:val="tx1"/>
                  </w14:solidFill>
                </w14:textFill>
              </w:rPr>
            </w:pPr>
            <w:r>
              <w:rPr>
                <w:rFonts w:ascii="Times New Roman" w:hAnsi="Times New Roman"/>
                <w:color w:val="000000" w:themeColor="text1"/>
                <w:lang w:bidi="ar"/>
                <w14:textFill>
                  <w14:solidFill>
                    <w14:schemeClr w14:val="tx1"/>
                  </w14:solidFill>
                </w14:textFill>
              </w:rPr>
              <w:t>范围值</w:t>
            </w:r>
          </w:p>
        </w:tc>
        <w:tc>
          <w:tcPr>
            <w:tcW w:w="976" w:type="pct"/>
            <w:noWrap/>
            <w:vAlign w:val="center"/>
          </w:tcPr>
          <w:p w14:paraId="5056D7A2">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462.4～3909</w:t>
            </w:r>
          </w:p>
        </w:tc>
        <w:tc>
          <w:tcPr>
            <w:tcW w:w="1056" w:type="pct"/>
            <w:noWrap/>
            <w:vAlign w:val="center"/>
          </w:tcPr>
          <w:p w14:paraId="2E9B3519">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627.1～2840</w:t>
            </w:r>
          </w:p>
        </w:tc>
        <w:tc>
          <w:tcPr>
            <w:tcW w:w="1178" w:type="pct"/>
            <w:noWrap/>
            <w:vAlign w:val="center"/>
          </w:tcPr>
          <w:p w14:paraId="1350D25B">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747.4～1840</w:t>
            </w:r>
          </w:p>
        </w:tc>
      </w:tr>
      <w:tr w14:paraId="07A2A8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2" w:type="pct"/>
            <w:vMerge w:val="continue"/>
            <w:noWrap/>
            <w:vAlign w:val="center"/>
          </w:tcPr>
          <w:p w14:paraId="627F1C36">
            <w:pPr>
              <w:pStyle w:val="246"/>
              <w:rPr>
                <w:rFonts w:ascii="Times New Roman" w:hAnsi="Times New Roman"/>
                <w:color w:val="000000" w:themeColor="text1"/>
                <w14:textFill>
                  <w14:solidFill>
                    <w14:schemeClr w14:val="tx1"/>
                  </w14:solidFill>
                </w14:textFill>
              </w:rPr>
            </w:pPr>
          </w:p>
        </w:tc>
        <w:tc>
          <w:tcPr>
            <w:tcW w:w="1138" w:type="pct"/>
            <w:vAlign w:val="center"/>
          </w:tcPr>
          <w:p w14:paraId="416A38BB">
            <w:pPr>
              <w:pStyle w:val="246"/>
              <w:rPr>
                <w:rFonts w:ascii="Times New Roman" w:hAnsi="Times New Roman"/>
                <w:color w:val="000000" w:themeColor="text1"/>
                <w:lang w:bidi="ar"/>
                <w14:textFill>
                  <w14:solidFill>
                    <w14:schemeClr w14:val="tx1"/>
                  </w14:solidFill>
                </w14:textFill>
              </w:rPr>
            </w:pPr>
            <w:r>
              <w:rPr>
                <w:rFonts w:ascii="Times New Roman" w:hAnsi="Times New Roman"/>
                <w:color w:val="000000" w:themeColor="text1"/>
                <w:lang w:bidi="ar"/>
                <w14:textFill>
                  <w14:solidFill>
                    <w14:schemeClr w14:val="tx1"/>
                  </w14:solidFill>
                </w14:textFill>
              </w:rPr>
              <w:t>平均值</w:t>
            </w:r>
          </w:p>
        </w:tc>
        <w:tc>
          <w:tcPr>
            <w:tcW w:w="976" w:type="pct"/>
            <w:noWrap/>
            <w:vAlign w:val="center"/>
          </w:tcPr>
          <w:p w14:paraId="230F341A">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1780.0</w:t>
            </w:r>
          </w:p>
        </w:tc>
        <w:tc>
          <w:tcPr>
            <w:tcW w:w="1056" w:type="pct"/>
            <w:noWrap/>
            <w:vAlign w:val="center"/>
          </w:tcPr>
          <w:p w14:paraId="194E9EF1">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1365.9</w:t>
            </w:r>
          </w:p>
        </w:tc>
        <w:tc>
          <w:tcPr>
            <w:tcW w:w="1178" w:type="pct"/>
            <w:noWrap/>
            <w:vAlign w:val="center"/>
          </w:tcPr>
          <w:p w14:paraId="783440B0">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1367.3</w:t>
            </w:r>
          </w:p>
        </w:tc>
      </w:tr>
      <w:tr w14:paraId="11003F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2" w:type="pct"/>
            <w:vMerge w:val="restart"/>
            <w:noWrap/>
            <w:vAlign w:val="center"/>
          </w:tcPr>
          <w:p w14:paraId="06284858">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独居石-产品</w:t>
            </w:r>
          </w:p>
        </w:tc>
        <w:tc>
          <w:tcPr>
            <w:tcW w:w="1138" w:type="pct"/>
            <w:vAlign w:val="center"/>
          </w:tcPr>
          <w:p w14:paraId="526C10C3">
            <w:pPr>
              <w:pStyle w:val="246"/>
              <w:rPr>
                <w:rFonts w:ascii="Times New Roman" w:hAnsi="Times New Roman"/>
                <w:color w:val="000000" w:themeColor="text1"/>
                <w:lang w:bidi="ar"/>
                <w14:textFill>
                  <w14:solidFill>
                    <w14:schemeClr w14:val="tx1"/>
                  </w14:solidFill>
                </w14:textFill>
              </w:rPr>
            </w:pPr>
            <w:r>
              <w:rPr>
                <w:rFonts w:ascii="Times New Roman" w:hAnsi="Times New Roman"/>
                <w:color w:val="000000" w:themeColor="text1"/>
                <w:lang w:bidi="ar"/>
                <w14:textFill>
                  <w14:solidFill>
                    <w14:schemeClr w14:val="tx1"/>
                  </w14:solidFill>
                </w14:textFill>
              </w:rPr>
              <w:t>海南海拓</w:t>
            </w:r>
          </w:p>
        </w:tc>
        <w:tc>
          <w:tcPr>
            <w:tcW w:w="976" w:type="pct"/>
            <w:noWrap/>
            <w:vAlign w:val="center"/>
          </w:tcPr>
          <w:p w14:paraId="16CBFCE8">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32144</w:t>
            </w:r>
          </w:p>
        </w:tc>
        <w:tc>
          <w:tcPr>
            <w:tcW w:w="1056" w:type="pct"/>
            <w:noWrap/>
            <w:vAlign w:val="center"/>
          </w:tcPr>
          <w:p w14:paraId="2AB2119F">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26085.3</w:t>
            </w:r>
          </w:p>
        </w:tc>
        <w:tc>
          <w:tcPr>
            <w:tcW w:w="1178" w:type="pct"/>
            <w:noWrap/>
            <w:vAlign w:val="center"/>
          </w:tcPr>
          <w:p w14:paraId="0C5AC33A">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201633.8</w:t>
            </w:r>
          </w:p>
        </w:tc>
      </w:tr>
      <w:tr w14:paraId="51054C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2" w:type="pct"/>
            <w:vMerge w:val="continue"/>
            <w:noWrap/>
            <w:vAlign w:val="center"/>
          </w:tcPr>
          <w:p w14:paraId="51A2D3E6">
            <w:pPr>
              <w:pStyle w:val="246"/>
              <w:rPr>
                <w:rFonts w:ascii="Times New Roman" w:hAnsi="Times New Roman"/>
                <w:color w:val="000000" w:themeColor="text1"/>
                <w14:textFill>
                  <w14:solidFill>
                    <w14:schemeClr w14:val="tx1"/>
                  </w14:solidFill>
                </w14:textFill>
              </w:rPr>
            </w:pPr>
          </w:p>
        </w:tc>
        <w:tc>
          <w:tcPr>
            <w:tcW w:w="1138" w:type="pct"/>
            <w:vAlign w:val="center"/>
          </w:tcPr>
          <w:p w14:paraId="6EA81158">
            <w:pPr>
              <w:pStyle w:val="246"/>
              <w:rPr>
                <w:rFonts w:ascii="Times New Roman" w:hAnsi="Times New Roman"/>
                <w:color w:val="000000" w:themeColor="text1"/>
                <w:lang w:bidi="ar"/>
                <w14:textFill>
                  <w14:solidFill>
                    <w14:schemeClr w14:val="tx1"/>
                  </w14:solidFill>
                </w14:textFill>
              </w:rPr>
            </w:pPr>
            <w:r>
              <w:rPr>
                <w:rFonts w:ascii="Times New Roman" w:hAnsi="Times New Roman"/>
                <w:color w:val="000000" w:themeColor="text1"/>
                <w:lang w:bidi="ar"/>
                <w14:textFill>
                  <w14:solidFill>
                    <w14:schemeClr w14:val="tx1"/>
                  </w14:solidFill>
                </w14:textFill>
              </w:rPr>
              <w:t>广西源丰达</w:t>
            </w:r>
          </w:p>
        </w:tc>
        <w:tc>
          <w:tcPr>
            <w:tcW w:w="976" w:type="pct"/>
            <w:noWrap/>
            <w:vAlign w:val="center"/>
          </w:tcPr>
          <w:p w14:paraId="40AE414C">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41906.3</w:t>
            </w:r>
          </w:p>
        </w:tc>
        <w:tc>
          <w:tcPr>
            <w:tcW w:w="1056" w:type="pct"/>
            <w:noWrap/>
            <w:vAlign w:val="center"/>
          </w:tcPr>
          <w:p w14:paraId="780BE2D6">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35014.8</w:t>
            </w:r>
          </w:p>
        </w:tc>
        <w:tc>
          <w:tcPr>
            <w:tcW w:w="1178" w:type="pct"/>
            <w:noWrap/>
            <w:vAlign w:val="center"/>
          </w:tcPr>
          <w:p w14:paraId="7B0A30F6">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163020.4</w:t>
            </w:r>
          </w:p>
        </w:tc>
      </w:tr>
      <w:tr w14:paraId="2245E5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2" w:type="pct"/>
            <w:vMerge w:val="continue"/>
            <w:noWrap/>
            <w:vAlign w:val="center"/>
          </w:tcPr>
          <w:p w14:paraId="53442E5F">
            <w:pPr>
              <w:pStyle w:val="246"/>
              <w:rPr>
                <w:rFonts w:ascii="Times New Roman" w:hAnsi="Times New Roman"/>
                <w:color w:val="000000" w:themeColor="text1"/>
                <w14:textFill>
                  <w14:solidFill>
                    <w14:schemeClr w14:val="tx1"/>
                  </w14:solidFill>
                </w14:textFill>
              </w:rPr>
            </w:pPr>
          </w:p>
        </w:tc>
        <w:tc>
          <w:tcPr>
            <w:tcW w:w="1138" w:type="pct"/>
            <w:vAlign w:val="center"/>
          </w:tcPr>
          <w:p w14:paraId="79B3D890">
            <w:pPr>
              <w:pStyle w:val="246"/>
              <w:rPr>
                <w:rFonts w:ascii="Times New Roman" w:hAnsi="Times New Roman"/>
                <w:color w:val="000000" w:themeColor="text1"/>
                <w:lang w:bidi="ar"/>
                <w14:textFill>
                  <w14:solidFill>
                    <w14:schemeClr w14:val="tx1"/>
                  </w14:solidFill>
                </w14:textFill>
              </w:rPr>
            </w:pPr>
            <w:r>
              <w:rPr>
                <w:rFonts w:ascii="Times New Roman" w:hAnsi="Times New Roman"/>
                <w:color w:val="000000" w:themeColor="text1"/>
                <w:lang w:bidi="ar"/>
                <w14:textFill>
                  <w14:solidFill>
                    <w14:schemeClr w14:val="tx1"/>
                  </w14:solidFill>
                </w14:textFill>
              </w:rPr>
              <w:t>广西道丰</w:t>
            </w:r>
          </w:p>
        </w:tc>
        <w:tc>
          <w:tcPr>
            <w:tcW w:w="976" w:type="pct"/>
            <w:noWrap/>
            <w:vAlign w:val="center"/>
          </w:tcPr>
          <w:p w14:paraId="0387F54B">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36586.9</w:t>
            </w:r>
          </w:p>
        </w:tc>
        <w:tc>
          <w:tcPr>
            <w:tcW w:w="1056" w:type="pct"/>
            <w:noWrap/>
            <w:vAlign w:val="center"/>
          </w:tcPr>
          <w:p w14:paraId="11D9DDCB">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35771.4</w:t>
            </w:r>
          </w:p>
        </w:tc>
        <w:tc>
          <w:tcPr>
            <w:tcW w:w="1178" w:type="pct"/>
            <w:noWrap/>
            <w:vAlign w:val="center"/>
          </w:tcPr>
          <w:p w14:paraId="6E1E7A47">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168732.3</w:t>
            </w:r>
          </w:p>
        </w:tc>
      </w:tr>
      <w:tr w14:paraId="691F68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2" w:type="pct"/>
            <w:vMerge w:val="continue"/>
            <w:noWrap/>
            <w:vAlign w:val="center"/>
          </w:tcPr>
          <w:p w14:paraId="6E77265A">
            <w:pPr>
              <w:pStyle w:val="246"/>
              <w:rPr>
                <w:rFonts w:ascii="Times New Roman" w:hAnsi="Times New Roman"/>
                <w:color w:val="000000" w:themeColor="text1"/>
                <w14:textFill>
                  <w14:solidFill>
                    <w14:schemeClr w14:val="tx1"/>
                  </w14:solidFill>
                </w14:textFill>
              </w:rPr>
            </w:pPr>
          </w:p>
        </w:tc>
        <w:tc>
          <w:tcPr>
            <w:tcW w:w="1138" w:type="pct"/>
            <w:vAlign w:val="center"/>
          </w:tcPr>
          <w:p w14:paraId="6C072D73">
            <w:pPr>
              <w:pStyle w:val="246"/>
              <w:rPr>
                <w:rFonts w:ascii="Times New Roman" w:hAnsi="Times New Roman"/>
                <w:color w:val="000000" w:themeColor="text1"/>
                <w:lang w:bidi="ar"/>
                <w14:textFill>
                  <w14:solidFill>
                    <w14:schemeClr w14:val="tx1"/>
                  </w14:solidFill>
                </w14:textFill>
              </w:rPr>
            </w:pPr>
            <w:r>
              <w:rPr>
                <w:rFonts w:ascii="Times New Roman" w:hAnsi="Times New Roman"/>
                <w:color w:val="000000" w:themeColor="text1"/>
                <w:lang w:bidi="ar"/>
                <w14:textFill>
                  <w14:solidFill>
                    <w14:schemeClr w14:val="tx1"/>
                  </w14:solidFill>
                </w14:textFill>
              </w:rPr>
              <w:t>范围值</w:t>
            </w:r>
          </w:p>
        </w:tc>
        <w:tc>
          <w:tcPr>
            <w:tcW w:w="976" w:type="pct"/>
            <w:noWrap/>
            <w:vAlign w:val="center"/>
          </w:tcPr>
          <w:p w14:paraId="6A677E33">
            <w:pPr>
              <w:pStyle w:val="246"/>
              <w:spacing w:line="240" w:lineRule="auto"/>
              <w:rPr>
                <w:rFonts w:ascii="Times New Roman" w:hAnsi="Times New Roman"/>
                <w:color w:val="000000" w:themeColor="text1"/>
                <w:lang w:bidi="ar"/>
                <w14:textFill>
                  <w14:solidFill>
                    <w14:schemeClr w14:val="tx1"/>
                  </w14:solidFill>
                </w14:textFill>
              </w:rPr>
            </w:pPr>
            <w:r>
              <w:rPr>
                <w:rFonts w:ascii="Times New Roman" w:hAnsi="Times New Roman"/>
                <w:color w:val="000000" w:themeColor="text1"/>
                <w14:textFill>
                  <w14:solidFill>
                    <w14:schemeClr w14:val="tx1"/>
                  </w14:solidFill>
                </w14:textFill>
              </w:rPr>
              <w:t>32144～41906.3</w:t>
            </w:r>
          </w:p>
        </w:tc>
        <w:tc>
          <w:tcPr>
            <w:tcW w:w="1056" w:type="pct"/>
            <w:noWrap/>
            <w:vAlign w:val="center"/>
          </w:tcPr>
          <w:p w14:paraId="1F615A3F">
            <w:pPr>
              <w:pStyle w:val="246"/>
              <w:rPr>
                <w:rFonts w:ascii="Times New Roman" w:hAnsi="Times New Roman"/>
                <w:color w:val="000000" w:themeColor="text1"/>
                <w:lang w:bidi="ar"/>
                <w14:textFill>
                  <w14:solidFill>
                    <w14:schemeClr w14:val="tx1"/>
                  </w14:solidFill>
                </w14:textFill>
              </w:rPr>
            </w:pPr>
            <w:r>
              <w:rPr>
                <w:rFonts w:ascii="Times New Roman" w:hAnsi="Times New Roman"/>
                <w:color w:val="000000" w:themeColor="text1"/>
                <w14:textFill>
                  <w14:solidFill>
                    <w14:schemeClr w14:val="tx1"/>
                  </w14:solidFill>
                </w14:textFill>
              </w:rPr>
              <w:t>26085.3～35771.4</w:t>
            </w:r>
          </w:p>
        </w:tc>
        <w:tc>
          <w:tcPr>
            <w:tcW w:w="1178" w:type="pct"/>
            <w:noWrap/>
            <w:vAlign w:val="center"/>
          </w:tcPr>
          <w:p w14:paraId="74CFF60E">
            <w:pPr>
              <w:pStyle w:val="246"/>
              <w:rPr>
                <w:rFonts w:ascii="Times New Roman" w:hAnsi="Times New Roman"/>
                <w:color w:val="000000" w:themeColor="text1"/>
                <w:lang w:bidi="ar"/>
                <w14:textFill>
                  <w14:solidFill>
                    <w14:schemeClr w14:val="tx1"/>
                  </w14:solidFill>
                </w14:textFill>
              </w:rPr>
            </w:pPr>
            <w:r>
              <w:rPr>
                <w:rFonts w:ascii="Times New Roman" w:hAnsi="Times New Roman"/>
                <w:color w:val="000000" w:themeColor="text1"/>
                <w14:textFill>
                  <w14:solidFill>
                    <w14:schemeClr w14:val="tx1"/>
                  </w14:solidFill>
                </w14:textFill>
              </w:rPr>
              <w:t>163020.4～201633.8</w:t>
            </w:r>
          </w:p>
        </w:tc>
      </w:tr>
      <w:tr w14:paraId="6336DD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2" w:type="pct"/>
            <w:vMerge w:val="continue"/>
            <w:noWrap/>
            <w:vAlign w:val="center"/>
          </w:tcPr>
          <w:p w14:paraId="75027CB7">
            <w:pPr>
              <w:pStyle w:val="246"/>
              <w:rPr>
                <w:rFonts w:ascii="Times New Roman" w:hAnsi="Times New Roman"/>
                <w:color w:val="000000" w:themeColor="text1"/>
                <w14:textFill>
                  <w14:solidFill>
                    <w14:schemeClr w14:val="tx1"/>
                  </w14:solidFill>
                </w14:textFill>
              </w:rPr>
            </w:pPr>
          </w:p>
        </w:tc>
        <w:tc>
          <w:tcPr>
            <w:tcW w:w="1138" w:type="pct"/>
            <w:vAlign w:val="center"/>
          </w:tcPr>
          <w:p w14:paraId="7B77790E">
            <w:pPr>
              <w:pStyle w:val="246"/>
              <w:rPr>
                <w:rFonts w:ascii="Times New Roman" w:hAnsi="Times New Roman"/>
                <w:color w:val="000000" w:themeColor="text1"/>
                <w:lang w:bidi="ar"/>
                <w14:textFill>
                  <w14:solidFill>
                    <w14:schemeClr w14:val="tx1"/>
                  </w14:solidFill>
                </w14:textFill>
              </w:rPr>
            </w:pPr>
            <w:r>
              <w:rPr>
                <w:rFonts w:ascii="Times New Roman" w:hAnsi="Times New Roman"/>
                <w:color w:val="000000" w:themeColor="text1"/>
                <w:lang w:bidi="ar"/>
                <w14:textFill>
                  <w14:solidFill>
                    <w14:schemeClr w14:val="tx1"/>
                  </w14:solidFill>
                </w14:textFill>
              </w:rPr>
              <w:t>平均值</w:t>
            </w:r>
          </w:p>
        </w:tc>
        <w:tc>
          <w:tcPr>
            <w:tcW w:w="976" w:type="pct"/>
            <w:noWrap/>
            <w:vAlign w:val="center"/>
          </w:tcPr>
          <w:p w14:paraId="316C029A">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36879.1</w:t>
            </w:r>
          </w:p>
        </w:tc>
        <w:tc>
          <w:tcPr>
            <w:tcW w:w="1056" w:type="pct"/>
            <w:noWrap/>
            <w:vAlign w:val="center"/>
          </w:tcPr>
          <w:p w14:paraId="17AC92CF">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32290.5</w:t>
            </w:r>
          </w:p>
        </w:tc>
        <w:tc>
          <w:tcPr>
            <w:tcW w:w="1178" w:type="pct"/>
            <w:noWrap/>
            <w:vAlign w:val="center"/>
          </w:tcPr>
          <w:p w14:paraId="5288BFE7">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177795.5</w:t>
            </w:r>
          </w:p>
        </w:tc>
      </w:tr>
      <w:tr w14:paraId="057A6A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2" w:type="pct"/>
            <w:noWrap/>
            <w:vAlign w:val="center"/>
          </w:tcPr>
          <w:p w14:paraId="4AD4D1C0">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锡矿</w:t>
            </w:r>
          </w:p>
        </w:tc>
        <w:tc>
          <w:tcPr>
            <w:tcW w:w="1138" w:type="pct"/>
            <w:vAlign w:val="center"/>
          </w:tcPr>
          <w:p w14:paraId="617F997A">
            <w:pPr>
              <w:pStyle w:val="246"/>
              <w:rPr>
                <w:rFonts w:ascii="Times New Roman" w:hAnsi="Times New Roman"/>
                <w:color w:val="000000" w:themeColor="text1"/>
                <w:lang w:bidi="ar"/>
                <w14:textFill>
                  <w14:solidFill>
                    <w14:schemeClr w14:val="tx1"/>
                  </w14:solidFill>
                </w14:textFill>
              </w:rPr>
            </w:pPr>
            <w:r>
              <w:rPr>
                <w:rFonts w:ascii="Times New Roman" w:hAnsi="Times New Roman"/>
                <w:color w:val="000000" w:themeColor="text1"/>
                <w:lang w:bidi="ar"/>
                <w14:textFill>
                  <w14:solidFill>
                    <w14:schemeClr w14:val="tx1"/>
                  </w14:solidFill>
                </w14:textFill>
              </w:rPr>
              <w:t>广西道丰</w:t>
            </w:r>
          </w:p>
        </w:tc>
        <w:tc>
          <w:tcPr>
            <w:tcW w:w="976" w:type="pct"/>
            <w:noWrap/>
            <w:vAlign w:val="center"/>
          </w:tcPr>
          <w:p w14:paraId="772FB848">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1691.9</w:t>
            </w:r>
          </w:p>
        </w:tc>
        <w:tc>
          <w:tcPr>
            <w:tcW w:w="1056" w:type="pct"/>
            <w:noWrap/>
            <w:vAlign w:val="center"/>
          </w:tcPr>
          <w:p w14:paraId="7CBD8FA0">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2028</w:t>
            </w:r>
          </w:p>
        </w:tc>
        <w:tc>
          <w:tcPr>
            <w:tcW w:w="1178" w:type="pct"/>
            <w:noWrap/>
            <w:vAlign w:val="center"/>
          </w:tcPr>
          <w:p w14:paraId="0F3BD581">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5384.3</w:t>
            </w:r>
          </w:p>
        </w:tc>
      </w:tr>
      <w:tr w14:paraId="73B383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2" w:type="pct"/>
            <w:noWrap/>
            <w:vAlign w:val="center"/>
          </w:tcPr>
          <w:p w14:paraId="44503E78">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铁矿</w:t>
            </w:r>
          </w:p>
        </w:tc>
        <w:tc>
          <w:tcPr>
            <w:tcW w:w="1138" w:type="pct"/>
            <w:vAlign w:val="center"/>
          </w:tcPr>
          <w:p w14:paraId="557947A7">
            <w:pPr>
              <w:pStyle w:val="246"/>
              <w:rPr>
                <w:rFonts w:ascii="Times New Roman" w:hAnsi="Times New Roman"/>
                <w:color w:val="000000" w:themeColor="text1"/>
                <w:lang w:bidi="ar"/>
                <w14:textFill>
                  <w14:solidFill>
                    <w14:schemeClr w14:val="tx1"/>
                  </w14:solidFill>
                </w14:textFill>
              </w:rPr>
            </w:pPr>
            <w:r>
              <w:rPr>
                <w:rFonts w:ascii="Times New Roman" w:hAnsi="Times New Roman"/>
                <w:color w:val="000000" w:themeColor="text1"/>
                <w:lang w:bidi="ar"/>
                <w14:textFill>
                  <w14:solidFill>
                    <w14:schemeClr w14:val="tx1"/>
                  </w14:solidFill>
                </w14:textFill>
              </w:rPr>
              <w:t>广西源丰达</w:t>
            </w:r>
          </w:p>
        </w:tc>
        <w:tc>
          <w:tcPr>
            <w:tcW w:w="976" w:type="pct"/>
            <w:noWrap/>
            <w:vAlign w:val="center"/>
          </w:tcPr>
          <w:p w14:paraId="28BEA524">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270</w:t>
            </w:r>
          </w:p>
        </w:tc>
        <w:tc>
          <w:tcPr>
            <w:tcW w:w="1056" w:type="pct"/>
            <w:noWrap/>
            <w:vAlign w:val="center"/>
          </w:tcPr>
          <w:p w14:paraId="34D216E4">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288</w:t>
            </w:r>
          </w:p>
        </w:tc>
        <w:tc>
          <w:tcPr>
            <w:tcW w:w="1178" w:type="pct"/>
            <w:noWrap/>
            <w:vAlign w:val="center"/>
          </w:tcPr>
          <w:p w14:paraId="7AC5073C">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68</w:t>
            </w:r>
          </w:p>
        </w:tc>
      </w:tr>
      <w:tr w14:paraId="222F79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2" w:type="pct"/>
            <w:vMerge w:val="restart"/>
            <w:noWrap/>
            <w:vAlign w:val="center"/>
          </w:tcPr>
          <w:p w14:paraId="48D81F8A">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尾砂-产品</w:t>
            </w:r>
          </w:p>
        </w:tc>
        <w:tc>
          <w:tcPr>
            <w:tcW w:w="1138" w:type="pct"/>
            <w:vAlign w:val="center"/>
          </w:tcPr>
          <w:p w14:paraId="263EDD42">
            <w:pPr>
              <w:pStyle w:val="246"/>
              <w:rPr>
                <w:rFonts w:ascii="Times New Roman" w:hAnsi="Times New Roman"/>
                <w:color w:val="000000" w:themeColor="text1"/>
                <w:lang w:bidi="ar"/>
                <w14:textFill>
                  <w14:solidFill>
                    <w14:schemeClr w14:val="tx1"/>
                  </w14:solidFill>
                </w14:textFill>
              </w:rPr>
            </w:pPr>
            <w:r>
              <w:rPr>
                <w:rFonts w:ascii="Times New Roman" w:hAnsi="Times New Roman"/>
                <w:color w:val="000000" w:themeColor="text1"/>
                <w:lang w:bidi="ar"/>
                <w14:textFill>
                  <w14:solidFill>
                    <w14:schemeClr w14:val="tx1"/>
                  </w14:solidFill>
                </w14:textFill>
              </w:rPr>
              <w:t>海南海拓</w:t>
            </w:r>
          </w:p>
        </w:tc>
        <w:tc>
          <w:tcPr>
            <w:tcW w:w="976" w:type="pct"/>
            <w:noWrap/>
            <w:vAlign w:val="center"/>
          </w:tcPr>
          <w:p w14:paraId="54BAE493">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26.4</w:t>
            </w:r>
          </w:p>
        </w:tc>
        <w:tc>
          <w:tcPr>
            <w:tcW w:w="1056" w:type="pct"/>
            <w:noWrap/>
            <w:vAlign w:val="center"/>
          </w:tcPr>
          <w:p w14:paraId="20DFACB4">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33</w:t>
            </w:r>
          </w:p>
        </w:tc>
        <w:tc>
          <w:tcPr>
            <w:tcW w:w="1178" w:type="pct"/>
            <w:noWrap/>
            <w:vAlign w:val="center"/>
          </w:tcPr>
          <w:p w14:paraId="3FF12BF0">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27.3</w:t>
            </w:r>
          </w:p>
        </w:tc>
      </w:tr>
      <w:tr w14:paraId="06D7BB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2" w:type="pct"/>
            <w:vMerge w:val="continue"/>
            <w:noWrap/>
            <w:vAlign w:val="center"/>
          </w:tcPr>
          <w:p w14:paraId="12427EB3">
            <w:pPr>
              <w:pStyle w:val="246"/>
              <w:rPr>
                <w:rFonts w:ascii="Times New Roman" w:hAnsi="Times New Roman"/>
                <w:color w:val="000000" w:themeColor="text1"/>
                <w14:textFill>
                  <w14:solidFill>
                    <w14:schemeClr w14:val="tx1"/>
                  </w14:solidFill>
                </w14:textFill>
              </w:rPr>
            </w:pPr>
          </w:p>
        </w:tc>
        <w:tc>
          <w:tcPr>
            <w:tcW w:w="1138" w:type="pct"/>
            <w:vAlign w:val="center"/>
          </w:tcPr>
          <w:p w14:paraId="1C035041">
            <w:pPr>
              <w:pStyle w:val="246"/>
              <w:rPr>
                <w:rFonts w:ascii="Times New Roman" w:hAnsi="Times New Roman"/>
                <w:color w:val="000000" w:themeColor="text1"/>
                <w:lang w:bidi="ar"/>
                <w14:textFill>
                  <w14:solidFill>
                    <w14:schemeClr w14:val="tx1"/>
                  </w14:solidFill>
                </w14:textFill>
              </w:rPr>
            </w:pPr>
            <w:r>
              <w:rPr>
                <w:rFonts w:ascii="Times New Roman" w:hAnsi="Times New Roman"/>
                <w:color w:val="000000" w:themeColor="text1"/>
                <w:lang w:bidi="ar"/>
                <w14:textFill>
                  <w14:solidFill>
                    <w14:schemeClr w14:val="tx1"/>
                  </w14:solidFill>
                </w14:textFill>
              </w:rPr>
              <w:t>广西源丰达</w:t>
            </w:r>
          </w:p>
        </w:tc>
        <w:tc>
          <w:tcPr>
            <w:tcW w:w="976" w:type="pct"/>
            <w:noWrap/>
            <w:vAlign w:val="center"/>
          </w:tcPr>
          <w:p w14:paraId="462A7C12">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68.6</w:t>
            </w:r>
          </w:p>
        </w:tc>
        <w:tc>
          <w:tcPr>
            <w:tcW w:w="1056" w:type="pct"/>
            <w:noWrap/>
            <w:vAlign w:val="center"/>
          </w:tcPr>
          <w:p w14:paraId="66E689B1">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78.3</w:t>
            </w:r>
          </w:p>
        </w:tc>
        <w:tc>
          <w:tcPr>
            <w:tcW w:w="1178" w:type="pct"/>
            <w:noWrap/>
            <w:vAlign w:val="center"/>
          </w:tcPr>
          <w:p w14:paraId="353D2C42">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101.1</w:t>
            </w:r>
          </w:p>
        </w:tc>
      </w:tr>
      <w:tr w14:paraId="473B81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2" w:type="pct"/>
            <w:vMerge w:val="continue"/>
            <w:noWrap/>
            <w:vAlign w:val="center"/>
          </w:tcPr>
          <w:p w14:paraId="1D3F95C1">
            <w:pPr>
              <w:pStyle w:val="246"/>
              <w:rPr>
                <w:rFonts w:ascii="Times New Roman" w:hAnsi="Times New Roman"/>
                <w:color w:val="000000" w:themeColor="text1"/>
                <w14:textFill>
                  <w14:solidFill>
                    <w14:schemeClr w14:val="tx1"/>
                  </w14:solidFill>
                </w14:textFill>
              </w:rPr>
            </w:pPr>
          </w:p>
        </w:tc>
        <w:tc>
          <w:tcPr>
            <w:tcW w:w="1138" w:type="pct"/>
            <w:vAlign w:val="center"/>
          </w:tcPr>
          <w:p w14:paraId="2B60D891">
            <w:pPr>
              <w:pStyle w:val="246"/>
              <w:rPr>
                <w:rFonts w:ascii="Times New Roman" w:hAnsi="Times New Roman"/>
                <w:color w:val="000000" w:themeColor="text1"/>
                <w:lang w:bidi="ar"/>
                <w14:textFill>
                  <w14:solidFill>
                    <w14:schemeClr w14:val="tx1"/>
                  </w14:solidFill>
                </w14:textFill>
              </w:rPr>
            </w:pPr>
            <w:r>
              <w:rPr>
                <w:rFonts w:ascii="Times New Roman" w:hAnsi="Times New Roman"/>
                <w:color w:val="000000" w:themeColor="text1"/>
                <w:lang w:bidi="ar"/>
                <w14:textFill>
                  <w14:solidFill>
                    <w14:schemeClr w14:val="tx1"/>
                  </w14:solidFill>
                </w14:textFill>
              </w:rPr>
              <w:t>广西道丰尾砂1</w:t>
            </w:r>
          </w:p>
        </w:tc>
        <w:tc>
          <w:tcPr>
            <w:tcW w:w="976" w:type="pct"/>
            <w:noWrap/>
            <w:vAlign w:val="center"/>
          </w:tcPr>
          <w:p w14:paraId="3D610925">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568.2</w:t>
            </w:r>
          </w:p>
        </w:tc>
        <w:tc>
          <w:tcPr>
            <w:tcW w:w="1056" w:type="pct"/>
            <w:noWrap/>
            <w:vAlign w:val="center"/>
          </w:tcPr>
          <w:p w14:paraId="4EA89B72">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129.7</w:t>
            </w:r>
          </w:p>
        </w:tc>
        <w:tc>
          <w:tcPr>
            <w:tcW w:w="1178" w:type="pct"/>
            <w:noWrap/>
            <w:vAlign w:val="center"/>
          </w:tcPr>
          <w:p w14:paraId="35603770">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513.5</w:t>
            </w:r>
          </w:p>
        </w:tc>
      </w:tr>
      <w:tr w14:paraId="48F8DF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2" w:type="pct"/>
            <w:vMerge w:val="continue"/>
            <w:noWrap/>
            <w:vAlign w:val="center"/>
          </w:tcPr>
          <w:p w14:paraId="50D2C6DC">
            <w:pPr>
              <w:pStyle w:val="246"/>
              <w:rPr>
                <w:rFonts w:ascii="Times New Roman" w:hAnsi="Times New Roman"/>
                <w:color w:val="000000" w:themeColor="text1"/>
                <w14:textFill>
                  <w14:solidFill>
                    <w14:schemeClr w14:val="tx1"/>
                  </w14:solidFill>
                </w14:textFill>
              </w:rPr>
            </w:pPr>
          </w:p>
        </w:tc>
        <w:tc>
          <w:tcPr>
            <w:tcW w:w="1138" w:type="pct"/>
            <w:vAlign w:val="center"/>
          </w:tcPr>
          <w:p w14:paraId="4123B86B">
            <w:pPr>
              <w:pStyle w:val="246"/>
              <w:rPr>
                <w:rFonts w:ascii="Times New Roman" w:hAnsi="Times New Roman"/>
                <w:color w:val="000000" w:themeColor="text1"/>
                <w:lang w:bidi="ar"/>
                <w14:textFill>
                  <w14:solidFill>
                    <w14:schemeClr w14:val="tx1"/>
                  </w14:solidFill>
                </w14:textFill>
              </w:rPr>
            </w:pPr>
            <w:r>
              <w:rPr>
                <w:rFonts w:ascii="Times New Roman" w:hAnsi="Times New Roman"/>
                <w:color w:val="000000" w:themeColor="text1"/>
                <w:lang w:bidi="ar"/>
                <w14:textFill>
                  <w14:solidFill>
                    <w14:schemeClr w14:val="tx1"/>
                  </w14:solidFill>
                </w14:textFill>
              </w:rPr>
              <w:t>广西道丰尾砂2</w:t>
            </w:r>
          </w:p>
        </w:tc>
        <w:tc>
          <w:tcPr>
            <w:tcW w:w="976" w:type="pct"/>
            <w:noWrap/>
            <w:vAlign w:val="center"/>
          </w:tcPr>
          <w:p w14:paraId="1266BA30">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459</w:t>
            </w:r>
          </w:p>
        </w:tc>
        <w:tc>
          <w:tcPr>
            <w:tcW w:w="1056" w:type="pct"/>
            <w:noWrap/>
            <w:vAlign w:val="center"/>
          </w:tcPr>
          <w:p w14:paraId="0A018AB3">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296</w:t>
            </w:r>
          </w:p>
        </w:tc>
        <w:tc>
          <w:tcPr>
            <w:tcW w:w="1178" w:type="pct"/>
            <w:noWrap/>
            <w:vAlign w:val="center"/>
          </w:tcPr>
          <w:p w14:paraId="78329E89">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248</w:t>
            </w:r>
          </w:p>
        </w:tc>
      </w:tr>
      <w:tr w14:paraId="791FA5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2" w:type="pct"/>
            <w:vMerge w:val="continue"/>
            <w:noWrap/>
            <w:vAlign w:val="center"/>
          </w:tcPr>
          <w:p w14:paraId="0EAC13C7">
            <w:pPr>
              <w:pStyle w:val="246"/>
              <w:rPr>
                <w:rFonts w:ascii="Times New Roman" w:hAnsi="Times New Roman"/>
                <w:color w:val="000000" w:themeColor="text1"/>
                <w14:textFill>
                  <w14:solidFill>
                    <w14:schemeClr w14:val="tx1"/>
                  </w14:solidFill>
                </w14:textFill>
              </w:rPr>
            </w:pPr>
          </w:p>
        </w:tc>
        <w:tc>
          <w:tcPr>
            <w:tcW w:w="1138" w:type="pct"/>
            <w:vAlign w:val="center"/>
          </w:tcPr>
          <w:p w14:paraId="7A7F8305">
            <w:pPr>
              <w:pStyle w:val="246"/>
              <w:rPr>
                <w:rFonts w:ascii="Times New Roman" w:hAnsi="Times New Roman"/>
                <w:color w:val="000000" w:themeColor="text1"/>
                <w:lang w:bidi="ar"/>
                <w14:textFill>
                  <w14:solidFill>
                    <w14:schemeClr w14:val="tx1"/>
                  </w14:solidFill>
                </w14:textFill>
              </w:rPr>
            </w:pPr>
            <w:r>
              <w:rPr>
                <w:rFonts w:ascii="Times New Roman" w:hAnsi="Times New Roman"/>
                <w:color w:val="000000" w:themeColor="text1"/>
                <w:lang w:bidi="ar"/>
                <w14:textFill>
                  <w14:solidFill>
                    <w14:schemeClr w14:val="tx1"/>
                  </w14:solidFill>
                </w14:textFill>
              </w:rPr>
              <w:t>广西道丰尾砂3</w:t>
            </w:r>
          </w:p>
        </w:tc>
        <w:tc>
          <w:tcPr>
            <w:tcW w:w="976" w:type="pct"/>
            <w:noWrap/>
            <w:vAlign w:val="center"/>
          </w:tcPr>
          <w:p w14:paraId="08D24CD5">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454</w:t>
            </w:r>
          </w:p>
        </w:tc>
        <w:tc>
          <w:tcPr>
            <w:tcW w:w="1056" w:type="pct"/>
            <w:noWrap/>
            <w:vAlign w:val="center"/>
          </w:tcPr>
          <w:p w14:paraId="06DA3E28">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83.3</w:t>
            </w:r>
          </w:p>
        </w:tc>
        <w:tc>
          <w:tcPr>
            <w:tcW w:w="1178" w:type="pct"/>
            <w:noWrap/>
            <w:vAlign w:val="center"/>
          </w:tcPr>
          <w:p w14:paraId="7D8F2F89">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76.3</w:t>
            </w:r>
          </w:p>
        </w:tc>
      </w:tr>
      <w:tr w14:paraId="591709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2" w:type="pct"/>
            <w:vMerge w:val="continue"/>
            <w:noWrap/>
            <w:vAlign w:val="center"/>
          </w:tcPr>
          <w:p w14:paraId="4E0A42E0">
            <w:pPr>
              <w:pStyle w:val="246"/>
              <w:rPr>
                <w:rFonts w:ascii="Times New Roman" w:hAnsi="Times New Roman"/>
                <w:color w:val="000000" w:themeColor="text1"/>
                <w14:textFill>
                  <w14:solidFill>
                    <w14:schemeClr w14:val="tx1"/>
                  </w14:solidFill>
                </w14:textFill>
              </w:rPr>
            </w:pPr>
          </w:p>
        </w:tc>
        <w:tc>
          <w:tcPr>
            <w:tcW w:w="1138" w:type="pct"/>
            <w:vAlign w:val="center"/>
          </w:tcPr>
          <w:p w14:paraId="7AB45CAB">
            <w:pPr>
              <w:pStyle w:val="246"/>
              <w:rPr>
                <w:rFonts w:ascii="Times New Roman" w:hAnsi="Times New Roman"/>
                <w:color w:val="000000" w:themeColor="text1"/>
                <w:lang w:bidi="ar"/>
                <w14:textFill>
                  <w14:solidFill>
                    <w14:schemeClr w14:val="tx1"/>
                  </w14:solidFill>
                </w14:textFill>
              </w:rPr>
            </w:pPr>
            <w:r>
              <w:rPr>
                <w:rFonts w:ascii="Times New Roman" w:hAnsi="Times New Roman"/>
                <w:color w:val="000000" w:themeColor="text1"/>
                <w:lang w:bidi="ar"/>
                <w14:textFill>
                  <w14:solidFill>
                    <w14:schemeClr w14:val="tx1"/>
                  </w14:solidFill>
                </w14:textFill>
              </w:rPr>
              <w:t>范围值</w:t>
            </w:r>
          </w:p>
        </w:tc>
        <w:tc>
          <w:tcPr>
            <w:tcW w:w="976" w:type="pct"/>
            <w:noWrap/>
            <w:vAlign w:val="center"/>
          </w:tcPr>
          <w:p w14:paraId="74540F65">
            <w:pPr>
              <w:pStyle w:val="246"/>
              <w:rPr>
                <w:rFonts w:ascii="Times New Roman" w:hAnsi="Times New Roman"/>
                <w:color w:val="000000" w:themeColor="text1"/>
                <w:lang w:bidi="ar"/>
                <w14:textFill>
                  <w14:solidFill>
                    <w14:schemeClr w14:val="tx1"/>
                  </w14:solidFill>
                </w14:textFill>
              </w:rPr>
            </w:pPr>
            <w:r>
              <w:rPr>
                <w:rFonts w:ascii="Times New Roman" w:hAnsi="Times New Roman"/>
                <w:color w:val="000000" w:themeColor="text1"/>
                <w14:textFill>
                  <w14:solidFill>
                    <w14:schemeClr w14:val="tx1"/>
                  </w14:solidFill>
                </w14:textFill>
              </w:rPr>
              <w:t>26.4～568.2</w:t>
            </w:r>
          </w:p>
        </w:tc>
        <w:tc>
          <w:tcPr>
            <w:tcW w:w="1056" w:type="pct"/>
            <w:noWrap/>
            <w:vAlign w:val="center"/>
          </w:tcPr>
          <w:p w14:paraId="57DF7885">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33～296</w:t>
            </w:r>
          </w:p>
        </w:tc>
        <w:tc>
          <w:tcPr>
            <w:tcW w:w="1178" w:type="pct"/>
            <w:noWrap/>
            <w:vAlign w:val="center"/>
          </w:tcPr>
          <w:p w14:paraId="331F76A3">
            <w:pPr>
              <w:pStyle w:val="246"/>
              <w:rPr>
                <w:rFonts w:ascii="Times New Roman" w:hAnsi="Times New Roman"/>
                <w:color w:val="000000" w:themeColor="text1"/>
                <w:lang w:bidi="ar"/>
                <w14:textFill>
                  <w14:solidFill>
                    <w14:schemeClr w14:val="tx1"/>
                  </w14:solidFill>
                </w14:textFill>
              </w:rPr>
            </w:pPr>
            <w:r>
              <w:rPr>
                <w:rFonts w:ascii="Times New Roman" w:hAnsi="Times New Roman"/>
                <w:color w:val="000000" w:themeColor="text1"/>
                <w14:textFill>
                  <w14:solidFill>
                    <w14:schemeClr w14:val="tx1"/>
                  </w14:solidFill>
                </w14:textFill>
              </w:rPr>
              <w:t>27.3～513.5</w:t>
            </w:r>
          </w:p>
        </w:tc>
      </w:tr>
      <w:tr w14:paraId="2C8E0D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2" w:type="pct"/>
            <w:vMerge w:val="continue"/>
            <w:noWrap/>
            <w:vAlign w:val="center"/>
          </w:tcPr>
          <w:p w14:paraId="63D0AB7A">
            <w:pPr>
              <w:pStyle w:val="246"/>
              <w:rPr>
                <w:rFonts w:ascii="Times New Roman" w:hAnsi="Times New Roman"/>
                <w:color w:val="000000" w:themeColor="text1"/>
                <w14:textFill>
                  <w14:solidFill>
                    <w14:schemeClr w14:val="tx1"/>
                  </w14:solidFill>
                </w14:textFill>
              </w:rPr>
            </w:pPr>
          </w:p>
        </w:tc>
        <w:tc>
          <w:tcPr>
            <w:tcW w:w="1138" w:type="pct"/>
            <w:vAlign w:val="center"/>
          </w:tcPr>
          <w:p w14:paraId="574F5936">
            <w:pPr>
              <w:pStyle w:val="246"/>
              <w:rPr>
                <w:rFonts w:ascii="Times New Roman" w:hAnsi="Times New Roman"/>
                <w:color w:val="000000" w:themeColor="text1"/>
                <w:lang w:bidi="ar"/>
                <w14:textFill>
                  <w14:solidFill>
                    <w14:schemeClr w14:val="tx1"/>
                  </w14:solidFill>
                </w14:textFill>
              </w:rPr>
            </w:pPr>
            <w:r>
              <w:rPr>
                <w:rFonts w:ascii="Times New Roman" w:hAnsi="Times New Roman"/>
                <w:color w:val="000000" w:themeColor="text1"/>
                <w:lang w:bidi="ar"/>
                <w14:textFill>
                  <w14:solidFill>
                    <w14:schemeClr w14:val="tx1"/>
                  </w14:solidFill>
                </w14:textFill>
              </w:rPr>
              <w:t>平均值</w:t>
            </w:r>
          </w:p>
        </w:tc>
        <w:tc>
          <w:tcPr>
            <w:tcW w:w="976" w:type="pct"/>
            <w:noWrap/>
            <w:vAlign w:val="center"/>
          </w:tcPr>
          <w:p w14:paraId="1A1E4A0E">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315.2</w:t>
            </w:r>
          </w:p>
        </w:tc>
        <w:tc>
          <w:tcPr>
            <w:tcW w:w="1056" w:type="pct"/>
            <w:noWrap/>
            <w:vAlign w:val="center"/>
          </w:tcPr>
          <w:p w14:paraId="170BC1F9">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124.1</w:t>
            </w:r>
          </w:p>
        </w:tc>
        <w:tc>
          <w:tcPr>
            <w:tcW w:w="1178" w:type="pct"/>
            <w:noWrap/>
            <w:vAlign w:val="center"/>
          </w:tcPr>
          <w:p w14:paraId="391D1A7D">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193.2</w:t>
            </w:r>
          </w:p>
        </w:tc>
      </w:tr>
    </w:tbl>
    <w:p w14:paraId="60AD48ED">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p>
    <w:p w14:paraId="72D3A6D4">
      <w:pPr>
        <w:pStyle w:val="6"/>
        <w:widowControl w:val="0"/>
        <w:numPr>
          <w:ilvl w:val="3"/>
          <w:numId w:val="1"/>
        </w:numPr>
        <w:spacing w:before="0" w:line="360" w:lineRule="auto"/>
        <w:ind w:left="0" w:firstLine="0"/>
        <w:jc w:val="both"/>
        <w:rPr>
          <w:rFonts w:ascii="Times New Roman" w:hAnsi="Times New Roman" w:eastAsia="黑体" w:cs="Times New Roman"/>
          <w:bCs/>
          <w:i w:val="0"/>
          <w:iCs w:val="0"/>
          <w:color w:val="000000" w:themeColor="text1"/>
          <w:kern w:val="2"/>
          <w:sz w:val="24"/>
          <w14:textFill>
            <w14:solidFill>
              <w14:schemeClr w14:val="tx1"/>
            </w14:solidFill>
          </w14:textFill>
        </w:rPr>
      </w:pPr>
      <w:bookmarkStart w:id="46" w:name="_Hlk187595292"/>
      <w:r>
        <w:rPr>
          <w:rFonts w:ascii="Times New Roman" w:hAnsi="Times New Roman" w:eastAsia="黑体" w:cs="Times New Roman"/>
          <w:bCs/>
          <w:i w:val="0"/>
          <w:iCs w:val="0"/>
          <w:color w:val="000000" w:themeColor="text1"/>
          <w:kern w:val="2"/>
          <w:sz w:val="24"/>
          <w14:textFill>
            <w14:solidFill>
              <w14:schemeClr w14:val="tx1"/>
            </w14:solidFill>
          </w14:textFill>
        </w:rPr>
        <w:t>放射性</w:t>
      </w:r>
      <w:bookmarkEnd w:id="46"/>
      <w:r>
        <w:rPr>
          <w:rFonts w:ascii="Times New Roman" w:hAnsi="Times New Roman" w:eastAsia="黑体" w:cs="Times New Roman"/>
          <w:bCs/>
          <w:i w:val="0"/>
          <w:iCs w:val="0"/>
          <w:color w:val="000000" w:themeColor="text1"/>
          <w:kern w:val="2"/>
          <w:sz w:val="24"/>
          <w14:textFill>
            <w14:solidFill>
              <w14:schemeClr w14:val="tx1"/>
            </w14:solidFill>
          </w14:textFill>
        </w:rPr>
        <w:t>核素平衡</w:t>
      </w:r>
    </w:p>
    <w:p w14:paraId="18F9A1DB">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项目物料放射性核素水平取值根据类比案例的平均值进行选取，与项目相关的物料主要毛矿，锆中矿、钛精矿、铁矿。本项目不细分钛精矿、铁矿进行单独分选，产品为钛铁混合的精矿，因此本项目产品钛铁精矿的核素取值，根据类比案例中钛精矿、铁矿的放射性核素水平，结合建设单位其他厂区的钛铁精矿产品的钛、铁的成分比例分析结果（中国检验认证集团广西有限公司检测报告见环评报告，钛占29.19%、铁占34.66%），换算出项目钛铁精矿的放射性核素水平取值。项目各物料的放射性核素取值见表2.1-3。</w:t>
      </w:r>
    </w:p>
    <w:p w14:paraId="466ADFD3">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p>
    <w:p w14:paraId="268C37F9">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p>
    <w:p w14:paraId="3C26757C">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p>
    <w:p w14:paraId="3CB40116">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p>
    <w:p w14:paraId="609A7C63">
      <w:pPr>
        <w:widowControl w:val="0"/>
        <w:spacing w:after="0" w:line="360" w:lineRule="auto"/>
        <w:jc w:val="center"/>
        <w:rPr>
          <w:rFonts w:ascii="Times New Roman" w:hAnsi="Times New Roman" w:eastAsia="宋体" w:cs="Times New Roman"/>
          <w:b/>
          <w:bCs/>
          <w:color w:val="000000" w:themeColor="text1"/>
          <w:spacing w:val="-2"/>
          <w:sz w:val="24"/>
          <w:szCs w:val="20"/>
          <w14:textFill>
            <w14:solidFill>
              <w14:schemeClr w14:val="tx1"/>
            </w14:solidFill>
          </w14:textFill>
        </w:rPr>
      </w:pPr>
      <w:r>
        <w:rPr>
          <w:rFonts w:hint="eastAsia" w:ascii="Times New Roman" w:hAnsi="Times New Roman" w:eastAsia="宋体" w:cs="Times New Roman"/>
          <w:b/>
          <w:bCs/>
          <w:color w:val="000000" w:themeColor="text1"/>
          <w:spacing w:val="-2"/>
          <w:sz w:val="24"/>
          <w:szCs w:val="20"/>
          <w14:textFill>
            <w14:solidFill>
              <w14:schemeClr w14:val="tx1"/>
            </w14:solidFill>
          </w14:textFill>
        </w:rPr>
        <w:t>表2.1-3  项目物料放射性核素取值</w:t>
      </w:r>
    </w:p>
    <w:tbl>
      <w:tblPr>
        <w:tblStyle w:val="4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13"/>
        <w:gridCol w:w="2332"/>
        <w:gridCol w:w="1725"/>
        <w:gridCol w:w="1727"/>
        <w:gridCol w:w="1725"/>
      </w:tblGrid>
      <w:tr w14:paraId="5D7425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5" w:hRule="atLeast"/>
          <w:tblHeader/>
          <w:jc w:val="center"/>
        </w:trPr>
        <w:tc>
          <w:tcPr>
            <w:tcW w:w="595" w:type="pct"/>
            <w:shd w:val="clear" w:color="auto" w:fill="auto"/>
            <w:noWrap/>
            <w:vAlign w:val="center"/>
          </w:tcPr>
          <w:p w14:paraId="21A2C22D">
            <w:pPr>
              <w:spacing w:after="0" w:line="240" w:lineRule="auto"/>
              <w:jc w:val="center"/>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序号</w:t>
            </w:r>
          </w:p>
        </w:tc>
        <w:tc>
          <w:tcPr>
            <w:tcW w:w="1368" w:type="pct"/>
            <w:shd w:val="clear" w:color="auto" w:fill="auto"/>
            <w:noWrap/>
            <w:vAlign w:val="center"/>
          </w:tcPr>
          <w:p w14:paraId="7BFFF483">
            <w:pPr>
              <w:spacing w:after="0" w:line="240" w:lineRule="auto"/>
              <w:jc w:val="center"/>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样品名称</w:t>
            </w:r>
          </w:p>
        </w:tc>
        <w:tc>
          <w:tcPr>
            <w:tcW w:w="1012" w:type="pct"/>
            <w:shd w:val="clear" w:color="auto" w:fill="auto"/>
            <w:noWrap/>
            <w:vAlign w:val="center"/>
          </w:tcPr>
          <w:p w14:paraId="25544053">
            <w:pPr>
              <w:spacing w:after="0" w:line="240" w:lineRule="auto"/>
              <w:jc w:val="center"/>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bCs/>
                <w:color w:val="000000" w:themeColor="text1"/>
                <w:vertAlign w:val="superscript"/>
                <w14:textFill>
                  <w14:solidFill>
                    <w14:schemeClr w14:val="tx1"/>
                  </w14:solidFill>
                </w14:textFill>
              </w:rPr>
              <w:t>238</w:t>
            </w:r>
            <w:r>
              <w:rPr>
                <w:rFonts w:ascii="Times New Roman" w:hAnsi="Times New Roman" w:eastAsia="宋体" w:cs="Times New Roman"/>
                <w:b/>
                <w:bCs/>
                <w:color w:val="000000" w:themeColor="text1"/>
                <w14:textFill>
                  <w14:solidFill>
                    <w14:schemeClr w14:val="tx1"/>
                  </w14:solidFill>
                </w14:textFill>
              </w:rPr>
              <w:t>U</w:t>
            </w:r>
          </w:p>
        </w:tc>
        <w:tc>
          <w:tcPr>
            <w:tcW w:w="1013" w:type="pct"/>
            <w:shd w:val="clear" w:color="auto" w:fill="auto"/>
            <w:noWrap/>
            <w:vAlign w:val="center"/>
          </w:tcPr>
          <w:p w14:paraId="2C347803">
            <w:pPr>
              <w:spacing w:after="0" w:line="240" w:lineRule="auto"/>
              <w:jc w:val="center"/>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bCs/>
                <w:color w:val="000000" w:themeColor="text1"/>
                <w:vertAlign w:val="superscript"/>
                <w14:textFill>
                  <w14:solidFill>
                    <w14:schemeClr w14:val="tx1"/>
                  </w14:solidFill>
                </w14:textFill>
              </w:rPr>
              <w:t>226</w:t>
            </w:r>
            <w:r>
              <w:rPr>
                <w:rFonts w:ascii="Times New Roman" w:hAnsi="Times New Roman" w:eastAsia="宋体" w:cs="Times New Roman"/>
                <w:b/>
                <w:bCs/>
                <w:color w:val="000000" w:themeColor="text1"/>
                <w14:textFill>
                  <w14:solidFill>
                    <w14:schemeClr w14:val="tx1"/>
                  </w14:solidFill>
                </w14:textFill>
              </w:rPr>
              <w:t>Ra</w:t>
            </w:r>
          </w:p>
        </w:tc>
        <w:tc>
          <w:tcPr>
            <w:tcW w:w="1012" w:type="pct"/>
            <w:shd w:val="clear" w:color="auto" w:fill="auto"/>
            <w:noWrap/>
            <w:vAlign w:val="center"/>
          </w:tcPr>
          <w:p w14:paraId="73ECC5FB">
            <w:pPr>
              <w:spacing w:after="0" w:line="240" w:lineRule="auto"/>
              <w:jc w:val="center"/>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bCs/>
                <w:color w:val="000000" w:themeColor="text1"/>
                <w:vertAlign w:val="superscript"/>
                <w14:textFill>
                  <w14:solidFill>
                    <w14:schemeClr w14:val="tx1"/>
                  </w14:solidFill>
                </w14:textFill>
              </w:rPr>
              <w:t>232</w:t>
            </w:r>
            <w:r>
              <w:rPr>
                <w:rFonts w:ascii="Times New Roman" w:hAnsi="Times New Roman" w:eastAsia="宋体" w:cs="Times New Roman"/>
                <w:b/>
                <w:bCs/>
                <w:color w:val="000000" w:themeColor="text1"/>
                <w14:textFill>
                  <w14:solidFill>
                    <w14:schemeClr w14:val="tx1"/>
                  </w14:solidFill>
                </w14:textFill>
              </w:rPr>
              <w:t>Th</w:t>
            </w:r>
          </w:p>
        </w:tc>
      </w:tr>
      <w:tr w14:paraId="3C20B0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595" w:type="pct"/>
            <w:shd w:val="clear" w:color="auto" w:fill="auto"/>
            <w:vAlign w:val="center"/>
          </w:tcPr>
          <w:p w14:paraId="4BD12CF9">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1368" w:type="pct"/>
            <w:shd w:val="clear" w:color="auto" w:fill="auto"/>
            <w:vAlign w:val="center"/>
          </w:tcPr>
          <w:p w14:paraId="32B72061">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毛矿</w:t>
            </w:r>
          </w:p>
        </w:tc>
        <w:tc>
          <w:tcPr>
            <w:tcW w:w="1012" w:type="pct"/>
            <w:shd w:val="clear" w:color="auto" w:fill="auto"/>
            <w:noWrap/>
            <w:vAlign w:val="center"/>
          </w:tcPr>
          <w:p w14:paraId="3661ED80">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等线" w:cs="Times New Roman"/>
                <w:color w:val="000000" w:themeColor="text1"/>
                <w14:textFill>
                  <w14:solidFill>
                    <w14:schemeClr w14:val="tx1"/>
                  </w14:solidFill>
                </w14:textFill>
              </w:rPr>
              <w:t>1656.6</w:t>
            </w:r>
          </w:p>
        </w:tc>
        <w:tc>
          <w:tcPr>
            <w:tcW w:w="1013" w:type="pct"/>
            <w:shd w:val="clear" w:color="auto" w:fill="auto"/>
            <w:noWrap/>
            <w:vAlign w:val="center"/>
          </w:tcPr>
          <w:p w14:paraId="65E10D2E">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等线" w:cs="Times New Roman"/>
                <w:color w:val="000000" w:themeColor="text1"/>
                <w14:textFill>
                  <w14:solidFill>
                    <w14:schemeClr w14:val="tx1"/>
                  </w14:solidFill>
                </w14:textFill>
              </w:rPr>
              <w:t>1470.7</w:t>
            </w:r>
          </w:p>
        </w:tc>
        <w:tc>
          <w:tcPr>
            <w:tcW w:w="1012" w:type="pct"/>
            <w:shd w:val="clear" w:color="auto" w:fill="auto"/>
            <w:noWrap/>
            <w:vAlign w:val="center"/>
          </w:tcPr>
          <w:p w14:paraId="05C39B12">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等线" w:cs="Times New Roman"/>
                <w:color w:val="000000" w:themeColor="text1"/>
                <w14:textFill>
                  <w14:solidFill>
                    <w14:schemeClr w14:val="tx1"/>
                  </w14:solidFill>
                </w14:textFill>
              </w:rPr>
              <w:t>1734.8</w:t>
            </w:r>
          </w:p>
        </w:tc>
      </w:tr>
      <w:tr w14:paraId="7B63AC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595" w:type="pct"/>
            <w:tcBorders>
              <w:bottom w:val="single" w:color="auto" w:sz="6" w:space="0"/>
            </w:tcBorders>
            <w:shd w:val="clear" w:color="auto" w:fill="auto"/>
            <w:vAlign w:val="center"/>
          </w:tcPr>
          <w:p w14:paraId="4D2393C1">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1368" w:type="pct"/>
            <w:tcBorders>
              <w:bottom w:val="single" w:color="auto" w:sz="6" w:space="0"/>
            </w:tcBorders>
            <w:shd w:val="clear" w:color="auto" w:fill="auto"/>
            <w:vAlign w:val="center"/>
          </w:tcPr>
          <w:p w14:paraId="68E83977">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锆中矿</w:t>
            </w:r>
          </w:p>
        </w:tc>
        <w:tc>
          <w:tcPr>
            <w:tcW w:w="1012" w:type="pct"/>
            <w:tcBorders>
              <w:bottom w:val="single" w:color="auto" w:sz="6" w:space="0"/>
            </w:tcBorders>
            <w:shd w:val="clear" w:color="auto" w:fill="auto"/>
            <w:noWrap/>
            <w:vAlign w:val="center"/>
          </w:tcPr>
          <w:p w14:paraId="2FF168B7">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等线" w:cs="Times New Roman"/>
                <w:color w:val="000000" w:themeColor="text1"/>
                <w14:textFill>
                  <w14:solidFill>
                    <w14:schemeClr w14:val="tx1"/>
                  </w14:solidFill>
                </w14:textFill>
              </w:rPr>
              <w:t>2933.2</w:t>
            </w:r>
          </w:p>
        </w:tc>
        <w:tc>
          <w:tcPr>
            <w:tcW w:w="1013" w:type="pct"/>
            <w:tcBorders>
              <w:bottom w:val="single" w:color="auto" w:sz="6" w:space="0"/>
            </w:tcBorders>
            <w:shd w:val="clear" w:color="auto" w:fill="auto"/>
            <w:noWrap/>
            <w:vAlign w:val="center"/>
          </w:tcPr>
          <w:p w14:paraId="5B4B1031">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等线" w:cs="Times New Roman"/>
                <w:color w:val="000000" w:themeColor="text1"/>
                <w14:textFill>
                  <w14:solidFill>
                    <w14:schemeClr w14:val="tx1"/>
                  </w14:solidFill>
                </w14:textFill>
              </w:rPr>
              <w:t>3258.0</w:t>
            </w:r>
          </w:p>
        </w:tc>
        <w:tc>
          <w:tcPr>
            <w:tcW w:w="1012" w:type="pct"/>
            <w:tcBorders>
              <w:bottom w:val="single" w:color="auto" w:sz="6" w:space="0"/>
            </w:tcBorders>
            <w:shd w:val="clear" w:color="auto" w:fill="auto"/>
            <w:noWrap/>
            <w:vAlign w:val="center"/>
          </w:tcPr>
          <w:p w14:paraId="69B90E3A">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等线" w:cs="Times New Roman"/>
                <w:color w:val="000000" w:themeColor="text1"/>
                <w14:textFill>
                  <w14:solidFill>
                    <w14:schemeClr w14:val="tx1"/>
                  </w14:solidFill>
                </w14:textFill>
              </w:rPr>
              <w:t>2175.1</w:t>
            </w:r>
          </w:p>
        </w:tc>
      </w:tr>
      <w:tr w14:paraId="7C893E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595" w:type="pct"/>
            <w:tcBorders>
              <w:top w:val="single" w:color="auto" w:sz="6" w:space="0"/>
              <w:bottom w:val="single" w:color="auto" w:sz="6" w:space="0"/>
            </w:tcBorders>
            <w:shd w:val="clear" w:color="auto" w:fill="F1F1F1" w:themeFill="background1" w:themeFillShade="F2"/>
            <w:vAlign w:val="center"/>
          </w:tcPr>
          <w:p w14:paraId="39DE6846">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p>
        </w:tc>
        <w:tc>
          <w:tcPr>
            <w:tcW w:w="1368" w:type="pct"/>
            <w:tcBorders>
              <w:top w:val="single" w:color="auto" w:sz="6" w:space="0"/>
              <w:bottom w:val="single" w:color="auto" w:sz="6" w:space="0"/>
            </w:tcBorders>
            <w:shd w:val="clear" w:color="auto" w:fill="F1F1F1" w:themeFill="background1" w:themeFillShade="F2"/>
            <w:vAlign w:val="center"/>
          </w:tcPr>
          <w:p w14:paraId="245305F2">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钛精矿</w:t>
            </w:r>
          </w:p>
        </w:tc>
        <w:tc>
          <w:tcPr>
            <w:tcW w:w="1012" w:type="pct"/>
            <w:tcBorders>
              <w:top w:val="single" w:color="auto" w:sz="6" w:space="0"/>
              <w:bottom w:val="single" w:color="auto" w:sz="6" w:space="0"/>
            </w:tcBorders>
            <w:shd w:val="clear" w:color="auto" w:fill="F1F1F1" w:themeFill="background1" w:themeFillShade="F2"/>
            <w:noWrap/>
            <w:vAlign w:val="center"/>
          </w:tcPr>
          <w:p w14:paraId="2017D774">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等线" w:cs="Times New Roman"/>
                <w:color w:val="000000" w:themeColor="text1"/>
                <w14:textFill>
                  <w14:solidFill>
                    <w14:schemeClr w14:val="tx1"/>
                  </w14:solidFill>
                </w14:textFill>
              </w:rPr>
              <w:t>214.0</w:t>
            </w:r>
          </w:p>
        </w:tc>
        <w:tc>
          <w:tcPr>
            <w:tcW w:w="1013" w:type="pct"/>
            <w:tcBorders>
              <w:top w:val="single" w:color="auto" w:sz="6" w:space="0"/>
              <w:bottom w:val="single" w:color="auto" w:sz="6" w:space="0"/>
            </w:tcBorders>
            <w:shd w:val="clear" w:color="auto" w:fill="F1F1F1" w:themeFill="background1" w:themeFillShade="F2"/>
            <w:noWrap/>
            <w:vAlign w:val="center"/>
          </w:tcPr>
          <w:p w14:paraId="4DB13C01">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等线" w:cs="Times New Roman"/>
                <w:color w:val="000000" w:themeColor="text1"/>
                <w14:textFill>
                  <w14:solidFill>
                    <w14:schemeClr w14:val="tx1"/>
                  </w14:solidFill>
                </w14:textFill>
              </w:rPr>
              <w:t>155.0</w:t>
            </w:r>
          </w:p>
        </w:tc>
        <w:tc>
          <w:tcPr>
            <w:tcW w:w="1012" w:type="pct"/>
            <w:tcBorders>
              <w:top w:val="single" w:color="auto" w:sz="6" w:space="0"/>
              <w:bottom w:val="single" w:color="auto" w:sz="6" w:space="0"/>
            </w:tcBorders>
            <w:shd w:val="clear" w:color="auto" w:fill="F1F1F1" w:themeFill="background1" w:themeFillShade="F2"/>
            <w:noWrap/>
            <w:vAlign w:val="center"/>
          </w:tcPr>
          <w:p w14:paraId="2357DB6A">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等线" w:cs="Times New Roman"/>
                <w:color w:val="000000" w:themeColor="text1"/>
                <w14:textFill>
                  <w14:solidFill>
                    <w14:schemeClr w14:val="tx1"/>
                  </w14:solidFill>
                </w14:textFill>
              </w:rPr>
              <w:t>503.5</w:t>
            </w:r>
          </w:p>
        </w:tc>
      </w:tr>
      <w:tr w14:paraId="2822EC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595" w:type="pct"/>
            <w:tcBorders>
              <w:top w:val="single" w:color="auto" w:sz="6" w:space="0"/>
              <w:bottom w:val="single" w:color="auto" w:sz="6" w:space="0"/>
            </w:tcBorders>
            <w:shd w:val="clear" w:color="auto" w:fill="F1F1F1" w:themeFill="background1" w:themeFillShade="F2"/>
            <w:vAlign w:val="center"/>
          </w:tcPr>
          <w:p w14:paraId="38283D82">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4</w:t>
            </w:r>
          </w:p>
        </w:tc>
        <w:tc>
          <w:tcPr>
            <w:tcW w:w="1368" w:type="pct"/>
            <w:tcBorders>
              <w:top w:val="single" w:color="auto" w:sz="6" w:space="0"/>
              <w:bottom w:val="single" w:color="auto" w:sz="6" w:space="0"/>
            </w:tcBorders>
            <w:shd w:val="clear" w:color="auto" w:fill="F1F1F1" w:themeFill="background1" w:themeFillShade="F2"/>
            <w:vAlign w:val="center"/>
          </w:tcPr>
          <w:p w14:paraId="7ACC71C6">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铁矿</w:t>
            </w:r>
          </w:p>
        </w:tc>
        <w:tc>
          <w:tcPr>
            <w:tcW w:w="1012" w:type="pct"/>
            <w:tcBorders>
              <w:top w:val="single" w:color="auto" w:sz="6" w:space="0"/>
              <w:bottom w:val="single" w:color="auto" w:sz="6" w:space="0"/>
            </w:tcBorders>
            <w:shd w:val="clear" w:color="auto" w:fill="F1F1F1" w:themeFill="background1" w:themeFillShade="F2"/>
            <w:noWrap/>
            <w:vAlign w:val="center"/>
          </w:tcPr>
          <w:p w14:paraId="1035B90F">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等线" w:cs="Times New Roman"/>
                <w:color w:val="000000" w:themeColor="text1"/>
                <w14:textFill>
                  <w14:solidFill>
                    <w14:schemeClr w14:val="tx1"/>
                  </w14:solidFill>
                </w14:textFill>
              </w:rPr>
              <w:t>270</w:t>
            </w:r>
          </w:p>
        </w:tc>
        <w:tc>
          <w:tcPr>
            <w:tcW w:w="1013" w:type="pct"/>
            <w:tcBorders>
              <w:top w:val="single" w:color="auto" w:sz="6" w:space="0"/>
              <w:bottom w:val="single" w:color="auto" w:sz="6" w:space="0"/>
            </w:tcBorders>
            <w:shd w:val="clear" w:color="auto" w:fill="F1F1F1" w:themeFill="background1" w:themeFillShade="F2"/>
            <w:noWrap/>
            <w:vAlign w:val="center"/>
          </w:tcPr>
          <w:p w14:paraId="78093F4D">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等线" w:cs="Times New Roman"/>
                <w:color w:val="000000" w:themeColor="text1"/>
                <w14:textFill>
                  <w14:solidFill>
                    <w14:schemeClr w14:val="tx1"/>
                  </w14:solidFill>
                </w14:textFill>
              </w:rPr>
              <w:t>288</w:t>
            </w:r>
          </w:p>
        </w:tc>
        <w:tc>
          <w:tcPr>
            <w:tcW w:w="1012" w:type="pct"/>
            <w:tcBorders>
              <w:top w:val="single" w:color="auto" w:sz="6" w:space="0"/>
              <w:bottom w:val="single" w:color="auto" w:sz="6" w:space="0"/>
            </w:tcBorders>
            <w:shd w:val="clear" w:color="auto" w:fill="F1F1F1" w:themeFill="background1" w:themeFillShade="F2"/>
            <w:noWrap/>
            <w:vAlign w:val="center"/>
          </w:tcPr>
          <w:p w14:paraId="15CE586C">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等线" w:cs="Times New Roman"/>
                <w:color w:val="000000" w:themeColor="text1"/>
                <w14:textFill>
                  <w14:solidFill>
                    <w14:schemeClr w14:val="tx1"/>
                  </w14:solidFill>
                </w14:textFill>
              </w:rPr>
              <w:t>68</w:t>
            </w:r>
          </w:p>
        </w:tc>
      </w:tr>
      <w:tr w14:paraId="614369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595" w:type="pct"/>
            <w:tcBorders>
              <w:top w:val="single" w:color="auto" w:sz="6" w:space="0"/>
            </w:tcBorders>
            <w:shd w:val="clear" w:color="auto" w:fill="auto"/>
            <w:noWrap/>
            <w:vAlign w:val="center"/>
          </w:tcPr>
          <w:p w14:paraId="5EEAAA3B">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5</w:t>
            </w:r>
          </w:p>
        </w:tc>
        <w:tc>
          <w:tcPr>
            <w:tcW w:w="1368" w:type="pct"/>
            <w:tcBorders>
              <w:top w:val="single" w:color="auto" w:sz="6" w:space="0"/>
            </w:tcBorders>
            <w:shd w:val="clear" w:color="auto" w:fill="auto"/>
            <w:vAlign w:val="center"/>
          </w:tcPr>
          <w:p w14:paraId="6B919117">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钛铁精矿（换算）</w:t>
            </w:r>
          </w:p>
        </w:tc>
        <w:tc>
          <w:tcPr>
            <w:tcW w:w="1012" w:type="pct"/>
            <w:tcBorders>
              <w:top w:val="single" w:color="auto" w:sz="6" w:space="0"/>
            </w:tcBorders>
            <w:shd w:val="clear" w:color="auto" w:fill="auto"/>
            <w:noWrap/>
            <w:vAlign w:val="center"/>
          </w:tcPr>
          <w:p w14:paraId="4A7822A1">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等线" w:cs="Times New Roman"/>
                <w:color w:val="000000" w:themeColor="text1"/>
                <w14:textFill>
                  <w14:solidFill>
                    <w14:schemeClr w14:val="tx1"/>
                  </w14:solidFill>
                </w14:textFill>
              </w:rPr>
              <w:t>244.4</w:t>
            </w:r>
          </w:p>
        </w:tc>
        <w:tc>
          <w:tcPr>
            <w:tcW w:w="1013" w:type="pct"/>
            <w:tcBorders>
              <w:top w:val="single" w:color="auto" w:sz="6" w:space="0"/>
            </w:tcBorders>
            <w:shd w:val="clear" w:color="auto" w:fill="auto"/>
            <w:noWrap/>
            <w:vAlign w:val="center"/>
          </w:tcPr>
          <w:p w14:paraId="7DD55D51">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等线" w:cs="Times New Roman"/>
                <w:color w:val="000000" w:themeColor="text1"/>
                <w14:textFill>
                  <w14:solidFill>
                    <w14:schemeClr w14:val="tx1"/>
                  </w14:solidFill>
                </w14:textFill>
              </w:rPr>
              <w:t>227.2</w:t>
            </w:r>
          </w:p>
        </w:tc>
        <w:tc>
          <w:tcPr>
            <w:tcW w:w="1012" w:type="pct"/>
            <w:tcBorders>
              <w:top w:val="single" w:color="auto" w:sz="6" w:space="0"/>
            </w:tcBorders>
            <w:shd w:val="clear" w:color="auto" w:fill="auto"/>
            <w:noWrap/>
            <w:vAlign w:val="center"/>
          </w:tcPr>
          <w:p w14:paraId="7D69DCAA">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等线" w:cs="Times New Roman"/>
                <w:color w:val="000000" w:themeColor="text1"/>
                <w14:textFill>
                  <w14:solidFill>
                    <w14:schemeClr w14:val="tx1"/>
                  </w14:solidFill>
                </w14:textFill>
              </w:rPr>
              <w:t>267.1</w:t>
            </w:r>
          </w:p>
        </w:tc>
      </w:tr>
    </w:tbl>
    <w:p w14:paraId="7240D963">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p>
    <w:p w14:paraId="3CE09B35">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根据毛矿、锆中矿、锆精矿及各种产品的天然放射性核素比活度和投入及产生量，计算出天然放射性核素的迁移量见表2.1-</w:t>
      </w:r>
      <w:r>
        <w:rPr>
          <w:rFonts w:hint="eastAsia" w:ascii="Times New Roman" w:hAnsi="Times New Roman" w:cs="Times New Roman"/>
          <w:color w:val="000000" w:themeColor="text1"/>
          <w:sz w:val="24"/>
          <w:szCs w:val="24"/>
          <w14:textFill>
            <w14:solidFill>
              <w14:schemeClr w14:val="tx1"/>
            </w14:solidFill>
          </w14:textFill>
        </w:rPr>
        <w:t>4</w:t>
      </w:r>
      <w:r>
        <w:rPr>
          <w:rFonts w:ascii="Times New Roman" w:hAnsi="Times New Roman" w:cs="Times New Roman"/>
          <w:color w:val="000000" w:themeColor="text1"/>
          <w:sz w:val="24"/>
          <w:szCs w:val="24"/>
          <w14:textFill>
            <w14:solidFill>
              <w14:schemeClr w14:val="tx1"/>
            </w14:solidFill>
          </w14:textFill>
        </w:rPr>
        <w:t>，核素平衡图见图2.1-</w:t>
      </w:r>
      <w:r>
        <w:rPr>
          <w:rFonts w:hint="eastAsia" w:ascii="Times New Roman" w:hAnsi="Times New Roman" w:cs="Times New Roman"/>
          <w:color w:val="000000" w:themeColor="text1"/>
          <w:sz w:val="24"/>
          <w:szCs w:val="24"/>
          <w14:textFill>
            <w14:solidFill>
              <w14:schemeClr w14:val="tx1"/>
            </w14:solidFill>
          </w14:textFill>
        </w:rPr>
        <w:t>3。</w:t>
      </w:r>
    </w:p>
    <w:p w14:paraId="0FAF1DFE">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p>
    <w:p w14:paraId="4C1E55AA">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p>
    <w:p w14:paraId="42C94408">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p>
    <w:p w14:paraId="3E43C89D">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p>
    <w:p w14:paraId="4974037B">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p>
    <w:p w14:paraId="02B6545D">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p>
    <w:p w14:paraId="27CF1C9F">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p>
    <w:p w14:paraId="4F89D961">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sectPr>
          <w:pgSz w:w="11906" w:h="16838"/>
          <w:pgMar w:top="1440" w:right="1800" w:bottom="1440" w:left="1800" w:header="851" w:footer="992" w:gutter="0"/>
          <w:cols w:space="425" w:num="1"/>
          <w:docGrid w:type="lines" w:linePitch="312" w:charSpace="0"/>
        </w:sectPr>
      </w:pPr>
    </w:p>
    <w:p w14:paraId="76653201">
      <w:pPr>
        <w:widowControl w:val="0"/>
        <w:spacing w:after="0" w:line="360" w:lineRule="auto"/>
        <w:jc w:val="center"/>
        <w:rPr>
          <w:rFonts w:ascii="Times New Roman" w:hAnsi="Times New Roman" w:eastAsia="宋体" w:cs="Times New Roman"/>
          <w:b/>
          <w:bCs/>
          <w:color w:val="000000" w:themeColor="text1"/>
          <w:spacing w:val="-2"/>
          <w:sz w:val="24"/>
          <w:szCs w:val="20"/>
          <w14:textFill>
            <w14:solidFill>
              <w14:schemeClr w14:val="tx1"/>
            </w14:solidFill>
          </w14:textFill>
        </w:rPr>
      </w:pPr>
      <w:r>
        <w:rPr>
          <w:rFonts w:ascii="Times New Roman" w:hAnsi="Times New Roman" w:eastAsia="宋体" w:cs="Times New Roman"/>
          <w:b/>
          <w:bCs/>
          <w:color w:val="000000" w:themeColor="text1"/>
          <w:spacing w:val="-2"/>
          <w:sz w:val="24"/>
          <w:szCs w:val="20"/>
          <w14:textFill>
            <w14:solidFill>
              <w14:schemeClr w14:val="tx1"/>
            </w14:solidFill>
          </w14:textFill>
        </w:rPr>
        <w:t>表2.1-</w:t>
      </w:r>
      <w:r>
        <w:rPr>
          <w:rFonts w:hint="eastAsia" w:ascii="Times New Roman" w:hAnsi="Times New Roman" w:eastAsia="宋体" w:cs="Times New Roman"/>
          <w:b/>
          <w:bCs/>
          <w:color w:val="000000" w:themeColor="text1"/>
          <w:spacing w:val="-2"/>
          <w:sz w:val="24"/>
          <w:szCs w:val="20"/>
          <w14:textFill>
            <w14:solidFill>
              <w14:schemeClr w14:val="tx1"/>
            </w14:solidFill>
          </w14:textFill>
        </w:rPr>
        <w:t xml:space="preserve">4  </w:t>
      </w:r>
      <w:r>
        <w:rPr>
          <w:rFonts w:ascii="Times New Roman" w:hAnsi="Times New Roman" w:eastAsia="宋体" w:cs="Times New Roman"/>
          <w:b/>
          <w:bCs/>
          <w:color w:val="000000" w:themeColor="text1"/>
          <w:spacing w:val="-2"/>
          <w:sz w:val="24"/>
          <w:szCs w:val="20"/>
          <w14:textFill>
            <w14:solidFill>
              <w14:schemeClr w14:val="tx1"/>
            </w14:solidFill>
          </w14:textFill>
        </w:rPr>
        <w:t>放射性核素平衡表</w:t>
      </w:r>
    </w:p>
    <w:tbl>
      <w:tblPr>
        <w:tblStyle w:val="46"/>
        <w:tblW w:w="4952"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15"/>
        <w:gridCol w:w="1413"/>
        <w:gridCol w:w="1949"/>
        <w:gridCol w:w="1940"/>
        <w:gridCol w:w="1769"/>
        <w:gridCol w:w="1443"/>
        <w:gridCol w:w="1876"/>
        <w:gridCol w:w="1935"/>
      </w:tblGrid>
      <w:tr w14:paraId="575073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9" w:type="pct"/>
            <w:gridSpan w:val="4"/>
            <w:shd w:val="clear" w:color="auto" w:fill="auto"/>
            <w:vAlign w:val="center"/>
          </w:tcPr>
          <w:p w14:paraId="233C536A">
            <w:pPr>
              <w:spacing w:after="0" w:line="240" w:lineRule="auto"/>
              <w:jc w:val="center"/>
              <w:rPr>
                <w:rFonts w:ascii="Times New Roman" w:hAnsi="Times New Roman" w:eastAsia="宋体" w:cs="Times New Roman"/>
                <w:b/>
                <w:bCs/>
                <w:color w:val="000000" w:themeColor="text1"/>
                <w14:textFill>
                  <w14:solidFill>
                    <w14:schemeClr w14:val="tx1"/>
                  </w14:solidFill>
                </w14:textFill>
              </w:rPr>
            </w:pPr>
            <w:bookmarkStart w:id="47" w:name="_Hlk50056982"/>
            <w:r>
              <w:rPr>
                <w:rFonts w:ascii="Times New Roman" w:hAnsi="Times New Roman" w:eastAsia="宋体" w:cs="Times New Roman"/>
                <w:b/>
                <w:bCs/>
                <w:color w:val="000000" w:themeColor="text1"/>
                <w14:textFill>
                  <w14:solidFill>
                    <w14:schemeClr w14:val="tx1"/>
                  </w14:solidFill>
                </w14:textFill>
              </w:rPr>
              <w:t>投入</w:t>
            </w:r>
          </w:p>
        </w:tc>
        <w:tc>
          <w:tcPr>
            <w:tcW w:w="2501" w:type="pct"/>
            <w:gridSpan w:val="4"/>
            <w:shd w:val="clear" w:color="auto" w:fill="auto"/>
            <w:vAlign w:val="center"/>
          </w:tcPr>
          <w:p w14:paraId="5C58D782">
            <w:pPr>
              <w:spacing w:after="0" w:line="240" w:lineRule="auto"/>
              <w:jc w:val="center"/>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产出</w:t>
            </w:r>
          </w:p>
        </w:tc>
      </w:tr>
      <w:tr w14:paraId="639CCA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1" w:type="pct"/>
            <w:shd w:val="clear" w:color="auto" w:fill="auto"/>
            <w:vAlign w:val="center"/>
          </w:tcPr>
          <w:p w14:paraId="44696807">
            <w:pPr>
              <w:spacing w:after="0" w:line="240" w:lineRule="auto"/>
              <w:jc w:val="center"/>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原料</w:t>
            </w:r>
          </w:p>
        </w:tc>
        <w:tc>
          <w:tcPr>
            <w:tcW w:w="503" w:type="pct"/>
            <w:shd w:val="clear" w:color="auto" w:fill="auto"/>
            <w:vAlign w:val="center"/>
          </w:tcPr>
          <w:p w14:paraId="1AC8B44E">
            <w:pPr>
              <w:spacing w:after="0" w:line="240" w:lineRule="auto"/>
              <w:jc w:val="center"/>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核素</w:t>
            </w:r>
          </w:p>
        </w:tc>
        <w:tc>
          <w:tcPr>
            <w:tcW w:w="694" w:type="pct"/>
            <w:shd w:val="clear" w:color="auto" w:fill="auto"/>
            <w:vAlign w:val="center"/>
          </w:tcPr>
          <w:p w14:paraId="20B9CD0F">
            <w:pPr>
              <w:spacing w:after="0" w:line="240" w:lineRule="auto"/>
              <w:jc w:val="center"/>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比活度（Bq/kg）</w:t>
            </w:r>
          </w:p>
        </w:tc>
        <w:tc>
          <w:tcPr>
            <w:tcW w:w="691" w:type="pct"/>
            <w:shd w:val="clear" w:color="auto" w:fill="auto"/>
            <w:vAlign w:val="center"/>
          </w:tcPr>
          <w:p w14:paraId="12FC7F2F">
            <w:pPr>
              <w:spacing w:after="0" w:line="240" w:lineRule="auto"/>
              <w:jc w:val="center"/>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总活度（Bq/a)</w:t>
            </w:r>
          </w:p>
        </w:tc>
        <w:tc>
          <w:tcPr>
            <w:tcW w:w="630" w:type="pct"/>
            <w:shd w:val="clear" w:color="auto" w:fill="auto"/>
            <w:vAlign w:val="center"/>
          </w:tcPr>
          <w:p w14:paraId="7BA7F388">
            <w:pPr>
              <w:spacing w:after="0" w:line="240" w:lineRule="auto"/>
              <w:jc w:val="center"/>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产品</w:t>
            </w:r>
          </w:p>
        </w:tc>
        <w:tc>
          <w:tcPr>
            <w:tcW w:w="514" w:type="pct"/>
            <w:shd w:val="clear" w:color="auto" w:fill="auto"/>
            <w:vAlign w:val="center"/>
          </w:tcPr>
          <w:p w14:paraId="753690DA">
            <w:pPr>
              <w:spacing w:after="0" w:line="240" w:lineRule="auto"/>
              <w:jc w:val="center"/>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核素</w:t>
            </w:r>
          </w:p>
        </w:tc>
        <w:tc>
          <w:tcPr>
            <w:tcW w:w="668" w:type="pct"/>
            <w:shd w:val="clear" w:color="auto" w:fill="auto"/>
            <w:vAlign w:val="center"/>
          </w:tcPr>
          <w:p w14:paraId="4960037D">
            <w:pPr>
              <w:spacing w:after="0" w:line="240" w:lineRule="auto"/>
              <w:jc w:val="center"/>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比活度（Bq/kg）</w:t>
            </w:r>
          </w:p>
        </w:tc>
        <w:tc>
          <w:tcPr>
            <w:tcW w:w="689" w:type="pct"/>
            <w:shd w:val="clear" w:color="auto" w:fill="auto"/>
            <w:vAlign w:val="center"/>
          </w:tcPr>
          <w:p w14:paraId="0372BBD7">
            <w:pPr>
              <w:spacing w:after="0" w:line="240" w:lineRule="auto"/>
              <w:jc w:val="center"/>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总活度（Bq/a)</w:t>
            </w:r>
          </w:p>
        </w:tc>
      </w:tr>
      <w:tr w14:paraId="326FF9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1" w:type="pct"/>
            <w:vMerge w:val="restart"/>
            <w:shd w:val="clear" w:color="auto" w:fill="auto"/>
            <w:vAlign w:val="center"/>
          </w:tcPr>
          <w:p w14:paraId="10FF1463">
            <w:pPr>
              <w:adjustRightInd w:val="0"/>
              <w:snapToGrid w:val="0"/>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毛矿</w:t>
            </w:r>
          </w:p>
          <w:p w14:paraId="24BDC307">
            <w:pPr>
              <w:adjustRightInd w:val="0"/>
              <w:snapToGrid w:val="0"/>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24</w:t>
            </w:r>
            <w:r>
              <w:rPr>
                <w:rFonts w:ascii="Times New Roman" w:hAnsi="Times New Roman" w:eastAsia="宋体" w:cs="Times New Roman"/>
                <w:color w:val="000000" w:themeColor="text1"/>
                <w:u w:val="single"/>
                <w14:textFill>
                  <w14:solidFill>
                    <w14:schemeClr w14:val="tx1"/>
                  </w14:solidFill>
                </w14:textFill>
              </w:rPr>
              <w:t>0000 t/a</w:t>
            </w:r>
          </w:p>
        </w:tc>
        <w:tc>
          <w:tcPr>
            <w:tcW w:w="503" w:type="pct"/>
            <w:shd w:val="clear" w:color="auto" w:fill="auto"/>
            <w:vAlign w:val="center"/>
          </w:tcPr>
          <w:p w14:paraId="1EEFABB4">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vertAlign w:val="superscript"/>
                <w14:textFill>
                  <w14:solidFill>
                    <w14:schemeClr w14:val="tx1"/>
                  </w14:solidFill>
                </w14:textFill>
              </w:rPr>
              <w:t>238</w:t>
            </w:r>
            <w:r>
              <w:rPr>
                <w:rFonts w:ascii="Times New Roman" w:hAnsi="Times New Roman" w:eastAsia="宋体" w:cs="Times New Roman"/>
                <w:color w:val="000000" w:themeColor="text1"/>
                <w:u w:val="single"/>
                <w14:textFill>
                  <w14:solidFill>
                    <w14:schemeClr w14:val="tx1"/>
                  </w14:solidFill>
                </w14:textFill>
              </w:rPr>
              <w:t>U</w:t>
            </w:r>
          </w:p>
        </w:tc>
        <w:tc>
          <w:tcPr>
            <w:tcW w:w="694" w:type="pct"/>
            <w:shd w:val="clear" w:color="auto" w:fill="auto"/>
            <w:vAlign w:val="center"/>
          </w:tcPr>
          <w:p w14:paraId="6B9AC8CB">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等线" w:cs="Times New Roman"/>
                <w:color w:val="000000" w:themeColor="text1"/>
                <w:u w:val="single"/>
                <w14:textFill>
                  <w14:solidFill>
                    <w14:schemeClr w14:val="tx1"/>
                  </w14:solidFill>
                </w14:textFill>
              </w:rPr>
              <w:t>1656.6</w:t>
            </w:r>
          </w:p>
        </w:tc>
        <w:tc>
          <w:tcPr>
            <w:tcW w:w="691" w:type="pct"/>
            <w:shd w:val="clear" w:color="auto" w:fill="auto"/>
            <w:vAlign w:val="center"/>
          </w:tcPr>
          <w:p w14:paraId="2C15FAA0">
            <w:pPr>
              <w:spacing w:after="0" w:line="240" w:lineRule="auto"/>
              <w:jc w:val="center"/>
              <w:rPr>
                <w:rFonts w:ascii="Times New Roman" w:hAnsi="Times New Roman" w:eastAsia="宋体" w:cs="Times New Roman"/>
                <w:color w:val="000000" w:themeColor="text1"/>
                <w:u w:val="single"/>
                <w:vertAlign w:val="superscript"/>
                <w14:textFill>
                  <w14:solidFill>
                    <w14:schemeClr w14:val="tx1"/>
                  </w14:solidFill>
                </w14:textFill>
              </w:rPr>
            </w:pPr>
            <w:r>
              <w:rPr>
                <w:rFonts w:hint="eastAsia" w:ascii="Times New Roman" w:hAnsi="Times New Roman" w:eastAsia="等线" w:cs="Times New Roman"/>
                <w:color w:val="000000" w:themeColor="text1"/>
                <w:u w:val="single"/>
                <w14:textFill>
                  <w14:solidFill>
                    <w14:schemeClr w14:val="tx1"/>
                  </w14:solidFill>
                </w14:textFill>
              </w:rPr>
              <w:t>3.98</w:t>
            </w:r>
            <w:r>
              <w:rPr>
                <w:rFonts w:ascii="Times New Roman" w:hAnsi="Times New Roman" w:eastAsia="宋体" w:cs="Times New Roman"/>
                <w:color w:val="000000" w:themeColor="text1"/>
                <w:u w:val="single"/>
                <w14:textFill>
                  <w14:solidFill>
                    <w14:schemeClr w14:val="tx1"/>
                  </w14:solidFill>
                </w14:textFill>
              </w:rPr>
              <w:t>×10</w:t>
            </w:r>
            <w:r>
              <w:rPr>
                <w:rFonts w:ascii="Times New Roman" w:hAnsi="Times New Roman" w:eastAsia="等线" w:cs="Times New Roman"/>
                <w:color w:val="000000" w:themeColor="text1"/>
                <w:u w:val="single"/>
                <w:vertAlign w:val="superscript"/>
                <w14:textFill>
                  <w14:solidFill>
                    <w14:schemeClr w14:val="tx1"/>
                  </w14:solidFill>
                </w14:textFill>
              </w:rPr>
              <w:t>1</w:t>
            </w:r>
            <w:r>
              <w:rPr>
                <w:rFonts w:hint="eastAsia" w:ascii="Times New Roman" w:hAnsi="Times New Roman" w:eastAsia="等线" w:cs="Times New Roman"/>
                <w:color w:val="000000" w:themeColor="text1"/>
                <w:u w:val="single"/>
                <w:vertAlign w:val="superscript"/>
                <w14:textFill>
                  <w14:solidFill>
                    <w14:schemeClr w14:val="tx1"/>
                  </w14:solidFill>
                </w14:textFill>
              </w:rPr>
              <w:t>1</w:t>
            </w:r>
          </w:p>
        </w:tc>
        <w:tc>
          <w:tcPr>
            <w:tcW w:w="630" w:type="pct"/>
            <w:vMerge w:val="restart"/>
            <w:shd w:val="clear" w:color="auto" w:fill="auto"/>
            <w:vAlign w:val="center"/>
          </w:tcPr>
          <w:p w14:paraId="623C8EBC">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钛铁精矿</w:t>
            </w:r>
          </w:p>
          <w:p w14:paraId="483CAE7E">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165000</w:t>
            </w:r>
            <w:r>
              <w:rPr>
                <w:rFonts w:ascii="Times New Roman" w:hAnsi="Times New Roman" w:eastAsia="宋体" w:cs="Times New Roman"/>
                <w:color w:val="000000" w:themeColor="text1"/>
                <w:u w:val="single"/>
                <w14:textFill>
                  <w14:solidFill>
                    <w14:schemeClr w14:val="tx1"/>
                  </w14:solidFill>
                </w14:textFill>
              </w:rPr>
              <w:t>t/a</w:t>
            </w:r>
          </w:p>
        </w:tc>
        <w:tc>
          <w:tcPr>
            <w:tcW w:w="514" w:type="pct"/>
            <w:shd w:val="clear" w:color="auto" w:fill="auto"/>
            <w:vAlign w:val="center"/>
          </w:tcPr>
          <w:p w14:paraId="5AFEFCB3">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vertAlign w:val="superscript"/>
                <w14:textFill>
                  <w14:solidFill>
                    <w14:schemeClr w14:val="tx1"/>
                  </w14:solidFill>
                </w14:textFill>
              </w:rPr>
              <w:t>238</w:t>
            </w:r>
            <w:r>
              <w:rPr>
                <w:rFonts w:ascii="Times New Roman" w:hAnsi="Times New Roman" w:eastAsia="宋体" w:cs="Times New Roman"/>
                <w:color w:val="000000" w:themeColor="text1"/>
                <w:u w:val="single"/>
                <w14:textFill>
                  <w14:solidFill>
                    <w14:schemeClr w14:val="tx1"/>
                  </w14:solidFill>
                </w14:textFill>
              </w:rPr>
              <w:t>U</w:t>
            </w:r>
          </w:p>
        </w:tc>
        <w:tc>
          <w:tcPr>
            <w:tcW w:w="668" w:type="pct"/>
            <w:shd w:val="clear" w:color="auto" w:fill="auto"/>
            <w:vAlign w:val="center"/>
          </w:tcPr>
          <w:p w14:paraId="03315292">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等线" w:cs="Times New Roman"/>
                <w:color w:val="000000" w:themeColor="text1"/>
                <w:u w:val="single"/>
                <w14:textFill>
                  <w14:solidFill>
                    <w14:schemeClr w14:val="tx1"/>
                  </w14:solidFill>
                </w14:textFill>
              </w:rPr>
              <w:t>244.4</w:t>
            </w:r>
          </w:p>
        </w:tc>
        <w:tc>
          <w:tcPr>
            <w:tcW w:w="689" w:type="pct"/>
            <w:shd w:val="clear" w:color="auto" w:fill="auto"/>
            <w:vAlign w:val="center"/>
          </w:tcPr>
          <w:p w14:paraId="163961F7">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等线" w:cs="Times New Roman"/>
                <w:color w:val="000000" w:themeColor="text1"/>
                <w:u w:val="single"/>
                <w14:textFill>
                  <w14:solidFill>
                    <w14:schemeClr w14:val="tx1"/>
                  </w14:solidFill>
                </w14:textFill>
              </w:rPr>
              <w:t>4.03</w:t>
            </w:r>
            <w:r>
              <w:rPr>
                <w:rFonts w:ascii="Times New Roman" w:hAnsi="Times New Roman" w:eastAsia="宋体" w:cs="Times New Roman"/>
                <w:color w:val="000000" w:themeColor="text1"/>
                <w:u w:val="single"/>
                <w14:textFill>
                  <w14:solidFill>
                    <w14:schemeClr w14:val="tx1"/>
                  </w14:solidFill>
                </w14:textFill>
              </w:rPr>
              <w:t>×10</w:t>
            </w:r>
            <w:r>
              <w:rPr>
                <w:rFonts w:ascii="Times New Roman" w:hAnsi="Times New Roman" w:eastAsia="等线" w:cs="Times New Roman"/>
                <w:color w:val="000000" w:themeColor="text1"/>
                <w:u w:val="single"/>
                <w:vertAlign w:val="superscript"/>
                <w14:textFill>
                  <w14:solidFill>
                    <w14:schemeClr w14:val="tx1"/>
                  </w14:solidFill>
                </w14:textFill>
              </w:rPr>
              <w:t>1</w:t>
            </w:r>
            <w:r>
              <w:rPr>
                <w:rFonts w:hint="eastAsia" w:ascii="Times New Roman" w:hAnsi="Times New Roman" w:eastAsia="等线" w:cs="Times New Roman"/>
                <w:color w:val="000000" w:themeColor="text1"/>
                <w:u w:val="single"/>
                <w:vertAlign w:val="superscript"/>
                <w14:textFill>
                  <w14:solidFill>
                    <w14:schemeClr w14:val="tx1"/>
                  </w14:solidFill>
                </w14:textFill>
              </w:rPr>
              <w:t>0</w:t>
            </w:r>
          </w:p>
        </w:tc>
      </w:tr>
      <w:tr w14:paraId="2BE3ED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1" w:type="pct"/>
            <w:vMerge w:val="continue"/>
            <w:shd w:val="clear" w:color="auto" w:fill="auto"/>
            <w:vAlign w:val="center"/>
          </w:tcPr>
          <w:p w14:paraId="0CCA547E">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p>
        </w:tc>
        <w:tc>
          <w:tcPr>
            <w:tcW w:w="503" w:type="pct"/>
            <w:shd w:val="clear" w:color="auto" w:fill="auto"/>
            <w:vAlign w:val="center"/>
          </w:tcPr>
          <w:p w14:paraId="491815CD">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vertAlign w:val="superscript"/>
                <w14:textFill>
                  <w14:solidFill>
                    <w14:schemeClr w14:val="tx1"/>
                  </w14:solidFill>
                </w14:textFill>
              </w:rPr>
              <w:t>226</w:t>
            </w:r>
            <w:r>
              <w:rPr>
                <w:rFonts w:ascii="Times New Roman" w:hAnsi="Times New Roman" w:eastAsia="宋体" w:cs="Times New Roman"/>
                <w:color w:val="000000" w:themeColor="text1"/>
                <w:u w:val="single"/>
                <w14:textFill>
                  <w14:solidFill>
                    <w14:schemeClr w14:val="tx1"/>
                  </w14:solidFill>
                </w14:textFill>
              </w:rPr>
              <w:t>Ra</w:t>
            </w:r>
          </w:p>
        </w:tc>
        <w:tc>
          <w:tcPr>
            <w:tcW w:w="694" w:type="pct"/>
            <w:shd w:val="clear" w:color="auto" w:fill="auto"/>
            <w:vAlign w:val="center"/>
          </w:tcPr>
          <w:p w14:paraId="3C0943DF">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等线" w:cs="Times New Roman"/>
                <w:color w:val="000000" w:themeColor="text1"/>
                <w:u w:val="single"/>
                <w14:textFill>
                  <w14:solidFill>
                    <w14:schemeClr w14:val="tx1"/>
                  </w14:solidFill>
                </w14:textFill>
              </w:rPr>
              <w:t>1470.7</w:t>
            </w:r>
          </w:p>
        </w:tc>
        <w:tc>
          <w:tcPr>
            <w:tcW w:w="691" w:type="pct"/>
            <w:shd w:val="clear" w:color="auto" w:fill="auto"/>
            <w:vAlign w:val="center"/>
          </w:tcPr>
          <w:p w14:paraId="4A7D9927">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等线" w:cs="Times New Roman"/>
                <w:color w:val="000000" w:themeColor="text1"/>
                <w:u w:val="single"/>
                <w14:textFill>
                  <w14:solidFill>
                    <w14:schemeClr w14:val="tx1"/>
                  </w14:solidFill>
                </w14:textFill>
              </w:rPr>
              <w:t>3.53</w:t>
            </w:r>
            <w:r>
              <w:rPr>
                <w:rFonts w:ascii="Times New Roman" w:hAnsi="Times New Roman" w:eastAsia="宋体" w:cs="Times New Roman"/>
                <w:color w:val="000000" w:themeColor="text1"/>
                <w:u w:val="single"/>
                <w14:textFill>
                  <w14:solidFill>
                    <w14:schemeClr w14:val="tx1"/>
                  </w14:solidFill>
                </w14:textFill>
              </w:rPr>
              <w:t>×10</w:t>
            </w:r>
            <w:r>
              <w:rPr>
                <w:rFonts w:ascii="Times New Roman" w:hAnsi="Times New Roman" w:eastAsia="等线" w:cs="Times New Roman"/>
                <w:color w:val="000000" w:themeColor="text1"/>
                <w:u w:val="single"/>
                <w:vertAlign w:val="superscript"/>
                <w14:textFill>
                  <w14:solidFill>
                    <w14:schemeClr w14:val="tx1"/>
                  </w14:solidFill>
                </w14:textFill>
              </w:rPr>
              <w:t>1</w:t>
            </w:r>
            <w:r>
              <w:rPr>
                <w:rFonts w:hint="eastAsia" w:ascii="Times New Roman" w:hAnsi="Times New Roman" w:eastAsia="等线" w:cs="Times New Roman"/>
                <w:color w:val="000000" w:themeColor="text1"/>
                <w:u w:val="single"/>
                <w:vertAlign w:val="superscript"/>
                <w14:textFill>
                  <w14:solidFill>
                    <w14:schemeClr w14:val="tx1"/>
                  </w14:solidFill>
                </w14:textFill>
              </w:rPr>
              <w:t>1</w:t>
            </w:r>
          </w:p>
        </w:tc>
        <w:tc>
          <w:tcPr>
            <w:tcW w:w="630" w:type="pct"/>
            <w:vMerge w:val="continue"/>
            <w:shd w:val="clear" w:color="auto" w:fill="auto"/>
            <w:vAlign w:val="center"/>
          </w:tcPr>
          <w:p w14:paraId="4F695086">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p>
        </w:tc>
        <w:tc>
          <w:tcPr>
            <w:tcW w:w="514" w:type="pct"/>
            <w:shd w:val="clear" w:color="auto" w:fill="auto"/>
            <w:vAlign w:val="center"/>
          </w:tcPr>
          <w:p w14:paraId="1642F8FA">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vertAlign w:val="superscript"/>
                <w14:textFill>
                  <w14:solidFill>
                    <w14:schemeClr w14:val="tx1"/>
                  </w14:solidFill>
                </w14:textFill>
              </w:rPr>
              <w:t>226</w:t>
            </w:r>
            <w:r>
              <w:rPr>
                <w:rFonts w:ascii="Times New Roman" w:hAnsi="Times New Roman" w:eastAsia="宋体" w:cs="Times New Roman"/>
                <w:color w:val="000000" w:themeColor="text1"/>
                <w:u w:val="single"/>
                <w14:textFill>
                  <w14:solidFill>
                    <w14:schemeClr w14:val="tx1"/>
                  </w14:solidFill>
                </w14:textFill>
              </w:rPr>
              <w:t>Ra</w:t>
            </w:r>
          </w:p>
        </w:tc>
        <w:tc>
          <w:tcPr>
            <w:tcW w:w="668" w:type="pct"/>
            <w:shd w:val="clear" w:color="auto" w:fill="auto"/>
            <w:vAlign w:val="center"/>
          </w:tcPr>
          <w:p w14:paraId="22564F8F">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等线" w:cs="Times New Roman"/>
                <w:color w:val="000000" w:themeColor="text1"/>
                <w:u w:val="single"/>
                <w14:textFill>
                  <w14:solidFill>
                    <w14:schemeClr w14:val="tx1"/>
                  </w14:solidFill>
                </w14:textFill>
              </w:rPr>
              <w:t>227.2</w:t>
            </w:r>
          </w:p>
        </w:tc>
        <w:tc>
          <w:tcPr>
            <w:tcW w:w="689" w:type="pct"/>
            <w:shd w:val="clear" w:color="auto" w:fill="auto"/>
            <w:vAlign w:val="center"/>
          </w:tcPr>
          <w:p w14:paraId="6436F863">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等线" w:cs="Times New Roman"/>
                <w:color w:val="000000" w:themeColor="text1"/>
                <w:u w:val="single"/>
                <w14:textFill>
                  <w14:solidFill>
                    <w14:schemeClr w14:val="tx1"/>
                  </w14:solidFill>
                </w14:textFill>
              </w:rPr>
              <w:t>3.75</w:t>
            </w:r>
            <w:r>
              <w:rPr>
                <w:rFonts w:ascii="Times New Roman" w:hAnsi="Times New Roman" w:eastAsia="宋体" w:cs="Times New Roman"/>
                <w:color w:val="000000" w:themeColor="text1"/>
                <w:u w:val="single"/>
                <w14:textFill>
                  <w14:solidFill>
                    <w14:schemeClr w14:val="tx1"/>
                  </w14:solidFill>
                </w14:textFill>
              </w:rPr>
              <w:t>×10</w:t>
            </w:r>
            <w:r>
              <w:rPr>
                <w:rFonts w:ascii="Times New Roman" w:hAnsi="Times New Roman" w:eastAsia="等线" w:cs="Times New Roman"/>
                <w:color w:val="000000" w:themeColor="text1"/>
                <w:u w:val="single"/>
                <w:vertAlign w:val="superscript"/>
                <w14:textFill>
                  <w14:solidFill>
                    <w14:schemeClr w14:val="tx1"/>
                  </w14:solidFill>
                </w14:textFill>
              </w:rPr>
              <w:t>1</w:t>
            </w:r>
            <w:r>
              <w:rPr>
                <w:rFonts w:hint="eastAsia" w:ascii="Times New Roman" w:hAnsi="Times New Roman" w:eastAsia="等线" w:cs="Times New Roman"/>
                <w:color w:val="000000" w:themeColor="text1"/>
                <w:u w:val="single"/>
                <w:vertAlign w:val="superscript"/>
                <w14:textFill>
                  <w14:solidFill>
                    <w14:schemeClr w14:val="tx1"/>
                  </w14:solidFill>
                </w14:textFill>
              </w:rPr>
              <w:t>0</w:t>
            </w:r>
          </w:p>
        </w:tc>
      </w:tr>
      <w:tr w14:paraId="035CD7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1" w:type="pct"/>
            <w:vMerge w:val="continue"/>
            <w:shd w:val="clear" w:color="auto" w:fill="auto"/>
            <w:vAlign w:val="center"/>
          </w:tcPr>
          <w:p w14:paraId="620F5AF9">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p>
        </w:tc>
        <w:tc>
          <w:tcPr>
            <w:tcW w:w="503" w:type="pct"/>
            <w:shd w:val="clear" w:color="auto" w:fill="auto"/>
            <w:vAlign w:val="center"/>
          </w:tcPr>
          <w:p w14:paraId="0221EB10">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vertAlign w:val="superscript"/>
                <w14:textFill>
                  <w14:solidFill>
                    <w14:schemeClr w14:val="tx1"/>
                  </w14:solidFill>
                </w14:textFill>
              </w:rPr>
              <w:t>232</w:t>
            </w:r>
            <w:r>
              <w:rPr>
                <w:rFonts w:ascii="Times New Roman" w:hAnsi="Times New Roman" w:eastAsia="宋体" w:cs="Times New Roman"/>
                <w:color w:val="000000" w:themeColor="text1"/>
                <w:u w:val="single"/>
                <w14:textFill>
                  <w14:solidFill>
                    <w14:schemeClr w14:val="tx1"/>
                  </w14:solidFill>
                </w14:textFill>
              </w:rPr>
              <w:t>Th</w:t>
            </w:r>
          </w:p>
        </w:tc>
        <w:tc>
          <w:tcPr>
            <w:tcW w:w="694" w:type="pct"/>
            <w:shd w:val="clear" w:color="auto" w:fill="auto"/>
            <w:vAlign w:val="center"/>
          </w:tcPr>
          <w:p w14:paraId="6A4367CD">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等线" w:cs="Times New Roman"/>
                <w:color w:val="000000" w:themeColor="text1"/>
                <w:u w:val="single"/>
                <w14:textFill>
                  <w14:solidFill>
                    <w14:schemeClr w14:val="tx1"/>
                  </w14:solidFill>
                </w14:textFill>
              </w:rPr>
              <w:t>1734.8</w:t>
            </w:r>
          </w:p>
        </w:tc>
        <w:tc>
          <w:tcPr>
            <w:tcW w:w="691" w:type="pct"/>
            <w:shd w:val="clear" w:color="auto" w:fill="auto"/>
            <w:vAlign w:val="center"/>
          </w:tcPr>
          <w:p w14:paraId="36F21D02">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等线" w:cs="Times New Roman"/>
                <w:color w:val="000000" w:themeColor="text1"/>
                <w:u w:val="single"/>
                <w14:textFill>
                  <w14:solidFill>
                    <w14:schemeClr w14:val="tx1"/>
                  </w14:solidFill>
                </w14:textFill>
              </w:rPr>
              <w:t>4.16</w:t>
            </w:r>
            <w:r>
              <w:rPr>
                <w:rFonts w:ascii="Times New Roman" w:hAnsi="Times New Roman" w:eastAsia="宋体" w:cs="Times New Roman"/>
                <w:color w:val="000000" w:themeColor="text1"/>
                <w:u w:val="single"/>
                <w14:textFill>
                  <w14:solidFill>
                    <w14:schemeClr w14:val="tx1"/>
                  </w14:solidFill>
                </w14:textFill>
              </w:rPr>
              <w:t>×10</w:t>
            </w:r>
            <w:r>
              <w:rPr>
                <w:rFonts w:ascii="Times New Roman" w:hAnsi="Times New Roman" w:eastAsia="等线" w:cs="Times New Roman"/>
                <w:color w:val="000000" w:themeColor="text1"/>
                <w:u w:val="single"/>
                <w:vertAlign w:val="superscript"/>
                <w14:textFill>
                  <w14:solidFill>
                    <w14:schemeClr w14:val="tx1"/>
                  </w14:solidFill>
                </w14:textFill>
              </w:rPr>
              <w:t>1</w:t>
            </w:r>
            <w:r>
              <w:rPr>
                <w:rFonts w:hint="eastAsia" w:ascii="Times New Roman" w:hAnsi="Times New Roman" w:eastAsia="等线" w:cs="Times New Roman"/>
                <w:color w:val="000000" w:themeColor="text1"/>
                <w:u w:val="single"/>
                <w:vertAlign w:val="superscript"/>
                <w14:textFill>
                  <w14:solidFill>
                    <w14:schemeClr w14:val="tx1"/>
                  </w14:solidFill>
                </w14:textFill>
              </w:rPr>
              <w:t>1</w:t>
            </w:r>
          </w:p>
        </w:tc>
        <w:tc>
          <w:tcPr>
            <w:tcW w:w="630" w:type="pct"/>
            <w:vMerge w:val="continue"/>
            <w:shd w:val="clear" w:color="auto" w:fill="auto"/>
            <w:vAlign w:val="center"/>
          </w:tcPr>
          <w:p w14:paraId="014FB809">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p>
        </w:tc>
        <w:tc>
          <w:tcPr>
            <w:tcW w:w="514" w:type="pct"/>
            <w:shd w:val="clear" w:color="auto" w:fill="auto"/>
            <w:vAlign w:val="center"/>
          </w:tcPr>
          <w:p w14:paraId="6A53F0BB">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vertAlign w:val="superscript"/>
                <w14:textFill>
                  <w14:solidFill>
                    <w14:schemeClr w14:val="tx1"/>
                  </w14:solidFill>
                </w14:textFill>
              </w:rPr>
              <w:t>232</w:t>
            </w:r>
            <w:r>
              <w:rPr>
                <w:rFonts w:ascii="Times New Roman" w:hAnsi="Times New Roman" w:eastAsia="宋体" w:cs="Times New Roman"/>
                <w:color w:val="000000" w:themeColor="text1"/>
                <w:u w:val="single"/>
                <w14:textFill>
                  <w14:solidFill>
                    <w14:schemeClr w14:val="tx1"/>
                  </w14:solidFill>
                </w14:textFill>
              </w:rPr>
              <w:t>Th</w:t>
            </w:r>
          </w:p>
        </w:tc>
        <w:tc>
          <w:tcPr>
            <w:tcW w:w="668" w:type="pct"/>
            <w:shd w:val="clear" w:color="auto" w:fill="auto"/>
            <w:vAlign w:val="center"/>
          </w:tcPr>
          <w:p w14:paraId="3147305E">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等线" w:cs="Times New Roman"/>
                <w:color w:val="000000" w:themeColor="text1"/>
                <w:u w:val="single"/>
                <w14:textFill>
                  <w14:solidFill>
                    <w14:schemeClr w14:val="tx1"/>
                  </w14:solidFill>
                </w14:textFill>
              </w:rPr>
              <w:t>267.1</w:t>
            </w:r>
          </w:p>
        </w:tc>
        <w:tc>
          <w:tcPr>
            <w:tcW w:w="689" w:type="pct"/>
            <w:shd w:val="clear" w:color="auto" w:fill="auto"/>
            <w:vAlign w:val="center"/>
          </w:tcPr>
          <w:p w14:paraId="131763D0">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等线" w:cs="Times New Roman"/>
                <w:color w:val="000000" w:themeColor="text1"/>
                <w:u w:val="single"/>
                <w14:textFill>
                  <w14:solidFill>
                    <w14:schemeClr w14:val="tx1"/>
                  </w14:solidFill>
                </w14:textFill>
              </w:rPr>
              <w:t>4.41</w:t>
            </w:r>
            <w:r>
              <w:rPr>
                <w:rFonts w:ascii="Times New Roman" w:hAnsi="Times New Roman" w:eastAsia="宋体" w:cs="Times New Roman"/>
                <w:color w:val="000000" w:themeColor="text1"/>
                <w:u w:val="single"/>
                <w14:textFill>
                  <w14:solidFill>
                    <w14:schemeClr w14:val="tx1"/>
                  </w14:solidFill>
                </w14:textFill>
              </w:rPr>
              <w:t>×10</w:t>
            </w:r>
            <w:r>
              <w:rPr>
                <w:rFonts w:ascii="Times New Roman" w:hAnsi="Times New Roman" w:eastAsia="等线" w:cs="Times New Roman"/>
                <w:color w:val="000000" w:themeColor="text1"/>
                <w:u w:val="single"/>
                <w:vertAlign w:val="superscript"/>
                <w14:textFill>
                  <w14:solidFill>
                    <w14:schemeClr w14:val="tx1"/>
                  </w14:solidFill>
                </w14:textFill>
              </w:rPr>
              <w:t>1</w:t>
            </w:r>
            <w:r>
              <w:rPr>
                <w:rFonts w:hint="eastAsia" w:ascii="Times New Roman" w:hAnsi="Times New Roman" w:eastAsia="等线" w:cs="Times New Roman"/>
                <w:color w:val="000000" w:themeColor="text1"/>
                <w:u w:val="single"/>
                <w:vertAlign w:val="superscript"/>
                <w14:textFill>
                  <w14:solidFill>
                    <w14:schemeClr w14:val="tx1"/>
                  </w14:solidFill>
                </w14:textFill>
              </w:rPr>
              <w:t>0</w:t>
            </w:r>
          </w:p>
        </w:tc>
      </w:tr>
      <w:tr w14:paraId="14099D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1" w:type="pct"/>
            <w:vMerge w:val="restart"/>
            <w:vAlign w:val="center"/>
          </w:tcPr>
          <w:p w14:paraId="1BD6CBF2">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w:t>
            </w:r>
          </w:p>
        </w:tc>
        <w:tc>
          <w:tcPr>
            <w:tcW w:w="503" w:type="pct"/>
            <w:shd w:val="clear" w:color="auto" w:fill="auto"/>
            <w:vAlign w:val="center"/>
          </w:tcPr>
          <w:p w14:paraId="1A5ABDE3">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w:t>
            </w:r>
          </w:p>
        </w:tc>
        <w:tc>
          <w:tcPr>
            <w:tcW w:w="694" w:type="pct"/>
            <w:shd w:val="clear" w:color="auto" w:fill="auto"/>
            <w:vAlign w:val="center"/>
          </w:tcPr>
          <w:p w14:paraId="26335F12">
            <w:pPr>
              <w:adjustRightInd w:val="0"/>
              <w:snapToGrid w:val="0"/>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w:t>
            </w:r>
          </w:p>
        </w:tc>
        <w:tc>
          <w:tcPr>
            <w:tcW w:w="691" w:type="pct"/>
            <w:shd w:val="clear" w:color="auto" w:fill="auto"/>
            <w:vAlign w:val="center"/>
          </w:tcPr>
          <w:p w14:paraId="1BD2F275">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w:t>
            </w:r>
          </w:p>
        </w:tc>
        <w:tc>
          <w:tcPr>
            <w:tcW w:w="630" w:type="pct"/>
            <w:vMerge w:val="restart"/>
            <w:shd w:val="clear" w:color="auto" w:fill="auto"/>
            <w:vAlign w:val="center"/>
          </w:tcPr>
          <w:p w14:paraId="06AC3FD5">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锆中矿</w:t>
            </w:r>
          </w:p>
          <w:p w14:paraId="1919933E">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71769.9</w:t>
            </w:r>
            <w:r>
              <w:rPr>
                <w:rFonts w:ascii="Times New Roman" w:hAnsi="Times New Roman" w:eastAsia="宋体" w:cs="Times New Roman"/>
                <w:color w:val="000000" w:themeColor="text1"/>
                <w:u w:val="single"/>
                <w14:textFill>
                  <w14:solidFill>
                    <w14:schemeClr w14:val="tx1"/>
                  </w14:solidFill>
                </w14:textFill>
              </w:rPr>
              <w:t>t/a</w:t>
            </w:r>
          </w:p>
        </w:tc>
        <w:tc>
          <w:tcPr>
            <w:tcW w:w="514" w:type="pct"/>
            <w:shd w:val="clear" w:color="auto" w:fill="auto"/>
            <w:vAlign w:val="center"/>
          </w:tcPr>
          <w:p w14:paraId="0532623B">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vertAlign w:val="superscript"/>
                <w14:textFill>
                  <w14:solidFill>
                    <w14:schemeClr w14:val="tx1"/>
                  </w14:solidFill>
                </w14:textFill>
              </w:rPr>
              <w:t>238</w:t>
            </w:r>
            <w:r>
              <w:rPr>
                <w:rFonts w:ascii="Times New Roman" w:hAnsi="Times New Roman" w:eastAsia="宋体" w:cs="Times New Roman"/>
                <w:color w:val="000000" w:themeColor="text1"/>
                <w:u w:val="single"/>
                <w14:textFill>
                  <w14:solidFill>
                    <w14:schemeClr w14:val="tx1"/>
                  </w14:solidFill>
                </w14:textFill>
              </w:rPr>
              <w:t>U</w:t>
            </w:r>
          </w:p>
        </w:tc>
        <w:tc>
          <w:tcPr>
            <w:tcW w:w="668" w:type="pct"/>
            <w:shd w:val="clear" w:color="auto" w:fill="auto"/>
            <w:vAlign w:val="center"/>
          </w:tcPr>
          <w:p w14:paraId="78EF2774">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等线" w:cs="Times New Roman"/>
                <w:color w:val="000000" w:themeColor="text1"/>
                <w:u w:val="single"/>
                <w14:textFill>
                  <w14:solidFill>
                    <w14:schemeClr w14:val="tx1"/>
                  </w14:solidFill>
                </w14:textFill>
              </w:rPr>
              <w:t>2933.</w:t>
            </w:r>
            <w:r>
              <w:rPr>
                <w:rFonts w:hint="eastAsia" w:ascii="Times New Roman" w:hAnsi="Times New Roman" w:eastAsia="等线" w:cs="Times New Roman"/>
                <w:color w:val="000000" w:themeColor="text1"/>
                <w:u w:val="single"/>
                <w14:textFill>
                  <w14:solidFill>
                    <w14:schemeClr w14:val="tx1"/>
                  </w14:solidFill>
                </w14:textFill>
              </w:rPr>
              <w:t>2</w:t>
            </w:r>
          </w:p>
        </w:tc>
        <w:tc>
          <w:tcPr>
            <w:tcW w:w="689" w:type="pct"/>
            <w:shd w:val="clear" w:color="auto" w:fill="auto"/>
            <w:vAlign w:val="center"/>
          </w:tcPr>
          <w:p w14:paraId="09C98BEC">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等线" w:cs="Times New Roman"/>
                <w:color w:val="000000" w:themeColor="text1"/>
                <w:u w:val="single"/>
                <w14:textFill>
                  <w14:solidFill>
                    <w14:schemeClr w14:val="tx1"/>
                  </w14:solidFill>
                </w14:textFill>
              </w:rPr>
              <w:t>2.11</w:t>
            </w:r>
            <w:r>
              <w:rPr>
                <w:rFonts w:ascii="Times New Roman" w:hAnsi="Times New Roman" w:eastAsia="宋体" w:cs="Times New Roman"/>
                <w:color w:val="000000" w:themeColor="text1"/>
                <w:u w:val="single"/>
                <w14:textFill>
                  <w14:solidFill>
                    <w14:schemeClr w14:val="tx1"/>
                  </w14:solidFill>
                </w14:textFill>
              </w:rPr>
              <w:t>×10</w:t>
            </w:r>
            <w:r>
              <w:rPr>
                <w:rFonts w:ascii="Times New Roman" w:hAnsi="Times New Roman" w:eastAsia="等线" w:cs="Times New Roman"/>
                <w:color w:val="000000" w:themeColor="text1"/>
                <w:u w:val="single"/>
                <w:vertAlign w:val="superscript"/>
                <w14:textFill>
                  <w14:solidFill>
                    <w14:schemeClr w14:val="tx1"/>
                  </w14:solidFill>
                </w14:textFill>
              </w:rPr>
              <w:t>1</w:t>
            </w:r>
            <w:r>
              <w:rPr>
                <w:rFonts w:hint="eastAsia" w:ascii="Times New Roman" w:hAnsi="Times New Roman" w:eastAsia="等线" w:cs="Times New Roman"/>
                <w:color w:val="000000" w:themeColor="text1"/>
                <w:u w:val="single"/>
                <w:vertAlign w:val="superscript"/>
                <w14:textFill>
                  <w14:solidFill>
                    <w14:schemeClr w14:val="tx1"/>
                  </w14:solidFill>
                </w14:textFill>
              </w:rPr>
              <w:t>1</w:t>
            </w:r>
          </w:p>
        </w:tc>
      </w:tr>
      <w:tr w14:paraId="2381D1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1" w:type="pct"/>
            <w:vMerge w:val="continue"/>
            <w:vAlign w:val="center"/>
          </w:tcPr>
          <w:p w14:paraId="4FDCA30B">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p>
        </w:tc>
        <w:tc>
          <w:tcPr>
            <w:tcW w:w="503" w:type="pct"/>
            <w:shd w:val="clear" w:color="auto" w:fill="auto"/>
            <w:vAlign w:val="center"/>
          </w:tcPr>
          <w:p w14:paraId="5E67CA77">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w:t>
            </w:r>
          </w:p>
        </w:tc>
        <w:tc>
          <w:tcPr>
            <w:tcW w:w="694" w:type="pct"/>
            <w:shd w:val="clear" w:color="auto" w:fill="auto"/>
            <w:vAlign w:val="center"/>
          </w:tcPr>
          <w:p w14:paraId="4ECF1F88">
            <w:pPr>
              <w:adjustRightInd w:val="0"/>
              <w:snapToGrid w:val="0"/>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w:t>
            </w:r>
          </w:p>
        </w:tc>
        <w:tc>
          <w:tcPr>
            <w:tcW w:w="691" w:type="pct"/>
            <w:shd w:val="clear" w:color="auto" w:fill="auto"/>
            <w:vAlign w:val="center"/>
          </w:tcPr>
          <w:p w14:paraId="7AF9783F">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w:t>
            </w:r>
          </w:p>
        </w:tc>
        <w:tc>
          <w:tcPr>
            <w:tcW w:w="630" w:type="pct"/>
            <w:vMerge w:val="continue"/>
            <w:shd w:val="clear" w:color="auto" w:fill="auto"/>
            <w:vAlign w:val="center"/>
          </w:tcPr>
          <w:p w14:paraId="4F8712E7">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p>
        </w:tc>
        <w:tc>
          <w:tcPr>
            <w:tcW w:w="514" w:type="pct"/>
            <w:shd w:val="clear" w:color="auto" w:fill="auto"/>
            <w:vAlign w:val="center"/>
          </w:tcPr>
          <w:p w14:paraId="0BED183D">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vertAlign w:val="superscript"/>
                <w14:textFill>
                  <w14:solidFill>
                    <w14:schemeClr w14:val="tx1"/>
                  </w14:solidFill>
                </w14:textFill>
              </w:rPr>
              <w:t>226</w:t>
            </w:r>
            <w:r>
              <w:rPr>
                <w:rFonts w:ascii="Times New Roman" w:hAnsi="Times New Roman" w:eastAsia="宋体" w:cs="Times New Roman"/>
                <w:color w:val="000000" w:themeColor="text1"/>
                <w:u w:val="single"/>
                <w14:textFill>
                  <w14:solidFill>
                    <w14:schemeClr w14:val="tx1"/>
                  </w14:solidFill>
                </w14:textFill>
              </w:rPr>
              <w:t>Ra</w:t>
            </w:r>
          </w:p>
        </w:tc>
        <w:tc>
          <w:tcPr>
            <w:tcW w:w="668" w:type="pct"/>
            <w:shd w:val="clear" w:color="auto" w:fill="auto"/>
            <w:vAlign w:val="center"/>
          </w:tcPr>
          <w:p w14:paraId="21C79A5A">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等线" w:cs="Times New Roman"/>
                <w:color w:val="000000" w:themeColor="text1"/>
                <w:u w:val="single"/>
                <w14:textFill>
                  <w14:solidFill>
                    <w14:schemeClr w14:val="tx1"/>
                  </w14:solidFill>
                </w14:textFill>
              </w:rPr>
              <w:t>3258</w:t>
            </w:r>
            <w:r>
              <w:rPr>
                <w:rFonts w:hint="eastAsia" w:ascii="Times New Roman" w:hAnsi="Times New Roman" w:eastAsia="等线" w:cs="Times New Roman"/>
                <w:color w:val="000000" w:themeColor="text1"/>
                <w:u w:val="single"/>
                <w14:textFill>
                  <w14:solidFill>
                    <w14:schemeClr w14:val="tx1"/>
                  </w14:solidFill>
                </w14:textFill>
              </w:rPr>
              <w:t>.0</w:t>
            </w:r>
          </w:p>
        </w:tc>
        <w:tc>
          <w:tcPr>
            <w:tcW w:w="689" w:type="pct"/>
            <w:shd w:val="clear" w:color="auto" w:fill="auto"/>
            <w:vAlign w:val="center"/>
          </w:tcPr>
          <w:p w14:paraId="01793F66">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等线" w:cs="Times New Roman"/>
                <w:color w:val="000000" w:themeColor="text1"/>
                <w:u w:val="single"/>
                <w14:textFill>
                  <w14:solidFill>
                    <w14:schemeClr w14:val="tx1"/>
                  </w14:solidFill>
                </w14:textFill>
              </w:rPr>
              <w:t>2.34</w:t>
            </w:r>
            <w:r>
              <w:rPr>
                <w:rFonts w:ascii="Times New Roman" w:hAnsi="Times New Roman" w:eastAsia="宋体" w:cs="Times New Roman"/>
                <w:color w:val="000000" w:themeColor="text1"/>
                <w:u w:val="single"/>
                <w14:textFill>
                  <w14:solidFill>
                    <w14:schemeClr w14:val="tx1"/>
                  </w14:solidFill>
                </w14:textFill>
              </w:rPr>
              <w:t>×10</w:t>
            </w:r>
            <w:r>
              <w:rPr>
                <w:rFonts w:ascii="Times New Roman" w:hAnsi="Times New Roman" w:eastAsia="等线" w:cs="Times New Roman"/>
                <w:color w:val="000000" w:themeColor="text1"/>
                <w:u w:val="single"/>
                <w:vertAlign w:val="superscript"/>
                <w14:textFill>
                  <w14:solidFill>
                    <w14:schemeClr w14:val="tx1"/>
                  </w14:solidFill>
                </w14:textFill>
              </w:rPr>
              <w:t>1</w:t>
            </w:r>
            <w:r>
              <w:rPr>
                <w:rFonts w:hint="eastAsia" w:ascii="Times New Roman" w:hAnsi="Times New Roman" w:eastAsia="等线" w:cs="Times New Roman"/>
                <w:color w:val="000000" w:themeColor="text1"/>
                <w:u w:val="single"/>
                <w:vertAlign w:val="superscript"/>
                <w14:textFill>
                  <w14:solidFill>
                    <w14:schemeClr w14:val="tx1"/>
                  </w14:solidFill>
                </w14:textFill>
              </w:rPr>
              <w:t>1</w:t>
            </w:r>
          </w:p>
        </w:tc>
      </w:tr>
      <w:tr w14:paraId="0CAFF9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1" w:type="pct"/>
            <w:vMerge w:val="continue"/>
            <w:vAlign w:val="center"/>
          </w:tcPr>
          <w:p w14:paraId="46442EC8">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p>
        </w:tc>
        <w:tc>
          <w:tcPr>
            <w:tcW w:w="503" w:type="pct"/>
            <w:shd w:val="clear" w:color="auto" w:fill="auto"/>
            <w:vAlign w:val="center"/>
          </w:tcPr>
          <w:p w14:paraId="40C3810A">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w:t>
            </w:r>
          </w:p>
        </w:tc>
        <w:tc>
          <w:tcPr>
            <w:tcW w:w="694" w:type="pct"/>
            <w:shd w:val="clear" w:color="auto" w:fill="auto"/>
            <w:vAlign w:val="center"/>
          </w:tcPr>
          <w:p w14:paraId="273A3EA4">
            <w:pPr>
              <w:adjustRightInd w:val="0"/>
              <w:snapToGrid w:val="0"/>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w:t>
            </w:r>
          </w:p>
        </w:tc>
        <w:tc>
          <w:tcPr>
            <w:tcW w:w="691" w:type="pct"/>
            <w:shd w:val="clear" w:color="auto" w:fill="auto"/>
            <w:vAlign w:val="center"/>
          </w:tcPr>
          <w:p w14:paraId="0081E389">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w:t>
            </w:r>
          </w:p>
        </w:tc>
        <w:tc>
          <w:tcPr>
            <w:tcW w:w="630" w:type="pct"/>
            <w:vMerge w:val="continue"/>
            <w:shd w:val="clear" w:color="auto" w:fill="auto"/>
            <w:vAlign w:val="center"/>
          </w:tcPr>
          <w:p w14:paraId="1202BCF7">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p>
        </w:tc>
        <w:tc>
          <w:tcPr>
            <w:tcW w:w="514" w:type="pct"/>
            <w:shd w:val="clear" w:color="auto" w:fill="auto"/>
            <w:vAlign w:val="center"/>
          </w:tcPr>
          <w:p w14:paraId="0E17FA12">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vertAlign w:val="superscript"/>
                <w14:textFill>
                  <w14:solidFill>
                    <w14:schemeClr w14:val="tx1"/>
                  </w14:solidFill>
                </w14:textFill>
              </w:rPr>
              <w:t>232</w:t>
            </w:r>
            <w:r>
              <w:rPr>
                <w:rFonts w:ascii="Times New Roman" w:hAnsi="Times New Roman" w:eastAsia="宋体" w:cs="Times New Roman"/>
                <w:color w:val="000000" w:themeColor="text1"/>
                <w:u w:val="single"/>
                <w14:textFill>
                  <w14:solidFill>
                    <w14:schemeClr w14:val="tx1"/>
                  </w14:solidFill>
                </w14:textFill>
              </w:rPr>
              <w:t>Th</w:t>
            </w:r>
          </w:p>
        </w:tc>
        <w:tc>
          <w:tcPr>
            <w:tcW w:w="668" w:type="pct"/>
            <w:shd w:val="clear" w:color="auto" w:fill="auto"/>
            <w:vAlign w:val="center"/>
          </w:tcPr>
          <w:p w14:paraId="48E13534">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等线" w:cs="Times New Roman"/>
                <w:color w:val="000000" w:themeColor="text1"/>
                <w:u w:val="single"/>
                <w14:textFill>
                  <w14:solidFill>
                    <w14:schemeClr w14:val="tx1"/>
                  </w14:solidFill>
                </w14:textFill>
              </w:rPr>
              <w:t>2175.</w:t>
            </w:r>
            <w:r>
              <w:rPr>
                <w:rFonts w:hint="eastAsia" w:ascii="Times New Roman" w:hAnsi="Times New Roman" w:eastAsia="等线" w:cs="Times New Roman"/>
                <w:color w:val="000000" w:themeColor="text1"/>
                <w:u w:val="single"/>
                <w14:textFill>
                  <w14:solidFill>
                    <w14:schemeClr w14:val="tx1"/>
                  </w14:solidFill>
                </w14:textFill>
              </w:rPr>
              <w:t>1</w:t>
            </w:r>
          </w:p>
        </w:tc>
        <w:tc>
          <w:tcPr>
            <w:tcW w:w="689" w:type="pct"/>
            <w:shd w:val="clear" w:color="auto" w:fill="auto"/>
            <w:vAlign w:val="center"/>
          </w:tcPr>
          <w:p w14:paraId="02C2F7FB">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等线" w:cs="Times New Roman"/>
                <w:color w:val="000000" w:themeColor="text1"/>
                <w:u w:val="single"/>
                <w14:textFill>
                  <w14:solidFill>
                    <w14:schemeClr w14:val="tx1"/>
                  </w14:solidFill>
                </w14:textFill>
              </w:rPr>
              <w:t>1.56</w:t>
            </w:r>
            <w:r>
              <w:rPr>
                <w:rFonts w:ascii="Times New Roman" w:hAnsi="Times New Roman" w:eastAsia="宋体" w:cs="Times New Roman"/>
                <w:color w:val="000000" w:themeColor="text1"/>
                <w:u w:val="single"/>
                <w14:textFill>
                  <w14:solidFill>
                    <w14:schemeClr w14:val="tx1"/>
                  </w14:solidFill>
                </w14:textFill>
              </w:rPr>
              <w:t>×10</w:t>
            </w:r>
            <w:r>
              <w:rPr>
                <w:rFonts w:ascii="Times New Roman" w:hAnsi="Times New Roman" w:eastAsia="等线" w:cs="Times New Roman"/>
                <w:color w:val="000000" w:themeColor="text1"/>
                <w:u w:val="single"/>
                <w:vertAlign w:val="superscript"/>
                <w14:textFill>
                  <w14:solidFill>
                    <w14:schemeClr w14:val="tx1"/>
                  </w14:solidFill>
                </w14:textFill>
              </w:rPr>
              <w:t>1</w:t>
            </w:r>
            <w:r>
              <w:rPr>
                <w:rFonts w:hint="eastAsia" w:ascii="Times New Roman" w:hAnsi="Times New Roman" w:eastAsia="等线" w:cs="Times New Roman"/>
                <w:color w:val="000000" w:themeColor="text1"/>
                <w:u w:val="single"/>
                <w:vertAlign w:val="superscript"/>
                <w14:textFill>
                  <w14:solidFill>
                    <w14:schemeClr w14:val="tx1"/>
                  </w14:solidFill>
                </w14:textFill>
              </w:rPr>
              <w:t>1</w:t>
            </w:r>
          </w:p>
        </w:tc>
      </w:tr>
      <w:tr w14:paraId="0552F6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1" w:type="pct"/>
            <w:vMerge w:val="restart"/>
            <w:shd w:val="clear" w:color="auto" w:fill="auto"/>
            <w:vAlign w:val="center"/>
          </w:tcPr>
          <w:p w14:paraId="55F62403">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w:t>
            </w:r>
          </w:p>
        </w:tc>
        <w:tc>
          <w:tcPr>
            <w:tcW w:w="503" w:type="pct"/>
            <w:shd w:val="clear" w:color="auto" w:fill="auto"/>
            <w:vAlign w:val="center"/>
          </w:tcPr>
          <w:p w14:paraId="5ED06590">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w:t>
            </w:r>
          </w:p>
        </w:tc>
        <w:tc>
          <w:tcPr>
            <w:tcW w:w="694" w:type="pct"/>
            <w:shd w:val="clear" w:color="auto" w:fill="auto"/>
            <w:vAlign w:val="center"/>
          </w:tcPr>
          <w:p w14:paraId="7BD53819">
            <w:pPr>
              <w:adjustRightInd w:val="0"/>
              <w:snapToGrid w:val="0"/>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w:t>
            </w:r>
          </w:p>
        </w:tc>
        <w:tc>
          <w:tcPr>
            <w:tcW w:w="691" w:type="pct"/>
            <w:shd w:val="clear" w:color="auto" w:fill="auto"/>
            <w:vAlign w:val="center"/>
          </w:tcPr>
          <w:p w14:paraId="3DD621C6">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w:t>
            </w:r>
          </w:p>
        </w:tc>
        <w:tc>
          <w:tcPr>
            <w:tcW w:w="630" w:type="pct"/>
            <w:vMerge w:val="restart"/>
            <w:shd w:val="clear" w:color="auto" w:fill="auto"/>
            <w:vAlign w:val="center"/>
          </w:tcPr>
          <w:p w14:paraId="5ADA8B29">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排放的粉尘</w:t>
            </w:r>
          </w:p>
          <w:p w14:paraId="0D1982C2">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5.49</w:t>
            </w:r>
            <w:r>
              <w:rPr>
                <w:rFonts w:ascii="Times New Roman" w:hAnsi="Times New Roman" w:eastAsia="宋体" w:cs="Times New Roman"/>
                <w:color w:val="000000" w:themeColor="text1"/>
                <w:u w:val="single"/>
                <w14:textFill>
                  <w14:solidFill>
                    <w14:schemeClr w14:val="tx1"/>
                  </w14:solidFill>
                </w14:textFill>
              </w:rPr>
              <w:t xml:space="preserve"> t/a</w:t>
            </w:r>
          </w:p>
        </w:tc>
        <w:tc>
          <w:tcPr>
            <w:tcW w:w="514" w:type="pct"/>
            <w:shd w:val="clear" w:color="auto" w:fill="auto"/>
            <w:vAlign w:val="center"/>
          </w:tcPr>
          <w:p w14:paraId="26B9FE4E">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vertAlign w:val="superscript"/>
                <w14:textFill>
                  <w14:solidFill>
                    <w14:schemeClr w14:val="tx1"/>
                  </w14:solidFill>
                </w14:textFill>
              </w:rPr>
              <w:t>238</w:t>
            </w:r>
            <w:r>
              <w:rPr>
                <w:rFonts w:ascii="Times New Roman" w:hAnsi="Times New Roman" w:eastAsia="宋体" w:cs="Times New Roman"/>
                <w:color w:val="000000" w:themeColor="text1"/>
                <w:u w:val="single"/>
                <w14:textFill>
                  <w14:solidFill>
                    <w14:schemeClr w14:val="tx1"/>
                  </w14:solidFill>
                </w14:textFill>
              </w:rPr>
              <w:t>U</w:t>
            </w:r>
          </w:p>
        </w:tc>
        <w:tc>
          <w:tcPr>
            <w:tcW w:w="668" w:type="pct"/>
            <w:shd w:val="clear" w:color="auto" w:fill="auto"/>
            <w:vAlign w:val="center"/>
          </w:tcPr>
          <w:p w14:paraId="485DC828">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等线" w:cs="Times New Roman"/>
                <w:color w:val="000000" w:themeColor="text1"/>
                <w:u w:val="single"/>
                <w14:textFill>
                  <w14:solidFill>
                    <w14:schemeClr w14:val="tx1"/>
                  </w14:solidFill>
                </w14:textFill>
              </w:rPr>
              <w:t>1656.6</w:t>
            </w:r>
          </w:p>
        </w:tc>
        <w:tc>
          <w:tcPr>
            <w:tcW w:w="689" w:type="pct"/>
            <w:shd w:val="clear" w:color="auto" w:fill="auto"/>
            <w:vAlign w:val="center"/>
          </w:tcPr>
          <w:p w14:paraId="50D48DDB">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等线" w:cs="Times New Roman"/>
                <w:color w:val="000000" w:themeColor="text1"/>
                <w:u w:val="single"/>
                <w14:textFill>
                  <w14:solidFill>
                    <w14:schemeClr w14:val="tx1"/>
                  </w14:solidFill>
                </w14:textFill>
              </w:rPr>
              <w:t>9.09</w:t>
            </w:r>
            <w:r>
              <w:rPr>
                <w:rFonts w:ascii="Times New Roman" w:hAnsi="Times New Roman" w:eastAsia="宋体" w:cs="Times New Roman"/>
                <w:color w:val="000000" w:themeColor="text1"/>
                <w:u w:val="single"/>
                <w14:textFill>
                  <w14:solidFill>
                    <w14:schemeClr w14:val="tx1"/>
                  </w14:solidFill>
                </w14:textFill>
              </w:rPr>
              <w:t>×10</w:t>
            </w:r>
            <w:r>
              <w:rPr>
                <w:rFonts w:hint="eastAsia" w:ascii="Times New Roman" w:hAnsi="Times New Roman" w:eastAsia="等线" w:cs="Times New Roman"/>
                <w:color w:val="000000" w:themeColor="text1"/>
                <w:u w:val="single"/>
                <w:vertAlign w:val="superscript"/>
                <w14:textFill>
                  <w14:solidFill>
                    <w14:schemeClr w14:val="tx1"/>
                  </w14:solidFill>
                </w14:textFill>
              </w:rPr>
              <w:t>6</w:t>
            </w:r>
          </w:p>
        </w:tc>
      </w:tr>
      <w:tr w14:paraId="5E0AFA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1" w:type="pct"/>
            <w:vMerge w:val="continue"/>
            <w:vAlign w:val="center"/>
          </w:tcPr>
          <w:p w14:paraId="5AD6EEC8">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p>
        </w:tc>
        <w:tc>
          <w:tcPr>
            <w:tcW w:w="503" w:type="pct"/>
            <w:shd w:val="clear" w:color="auto" w:fill="auto"/>
            <w:vAlign w:val="center"/>
          </w:tcPr>
          <w:p w14:paraId="029359F5">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w:t>
            </w:r>
          </w:p>
        </w:tc>
        <w:tc>
          <w:tcPr>
            <w:tcW w:w="694" w:type="pct"/>
            <w:shd w:val="clear" w:color="auto" w:fill="auto"/>
            <w:vAlign w:val="center"/>
          </w:tcPr>
          <w:p w14:paraId="69EEC3AC">
            <w:pPr>
              <w:adjustRightInd w:val="0"/>
              <w:snapToGrid w:val="0"/>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w:t>
            </w:r>
          </w:p>
        </w:tc>
        <w:tc>
          <w:tcPr>
            <w:tcW w:w="691" w:type="pct"/>
            <w:shd w:val="clear" w:color="auto" w:fill="auto"/>
            <w:vAlign w:val="center"/>
          </w:tcPr>
          <w:p w14:paraId="07D59C1F">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w:t>
            </w:r>
          </w:p>
        </w:tc>
        <w:tc>
          <w:tcPr>
            <w:tcW w:w="630" w:type="pct"/>
            <w:vMerge w:val="continue"/>
            <w:vAlign w:val="center"/>
          </w:tcPr>
          <w:p w14:paraId="28D2F454">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p>
        </w:tc>
        <w:tc>
          <w:tcPr>
            <w:tcW w:w="514" w:type="pct"/>
            <w:shd w:val="clear" w:color="auto" w:fill="auto"/>
            <w:vAlign w:val="center"/>
          </w:tcPr>
          <w:p w14:paraId="3FF414A8">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vertAlign w:val="superscript"/>
                <w14:textFill>
                  <w14:solidFill>
                    <w14:schemeClr w14:val="tx1"/>
                  </w14:solidFill>
                </w14:textFill>
              </w:rPr>
              <w:t>226</w:t>
            </w:r>
            <w:r>
              <w:rPr>
                <w:rFonts w:ascii="Times New Roman" w:hAnsi="Times New Roman" w:eastAsia="宋体" w:cs="Times New Roman"/>
                <w:color w:val="000000" w:themeColor="text1"/>
                <w:u w:val="single"/>
                <w14:textFill>
                  <w14:solidFill>
                    <w14:schemeClr w14:val="tx1"/>
                  </w14:solidFill>
                </w14:textFill>
              </w:rPr>
              <w:t>Ra</w:t>
            </w:r>
          </w:p>
        </w:tc>
        <w:tc>
          <w:tcPr>
            <w:tcW w:w="668" w:type="pct"/>
            <w:shd w:val="clear" w:color="auto" w:fill="auto"/>
            <w:vAlign w:val="center"/>
          </w:tcPr>
          <w:p w14:paraId="11C93837">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等线" w:cs="Times New Roman"/>
                <w:color w:val="000000" w:themeColor="text1"/>
                <w:u w:val="single"/>
                <w14:textFill>
                  <w14:solidFill>
                    <w14:schemeClr w14:val="tx1"/>
                  </w14:solidFill>
                </w14:textFill>
              </w:rPr>
              <w:t>1470.7</w:t>
            </w:r>
          </w:p>
        </w:tc>
        <w:tc>
          <w:tcPr>
            <w:tcW w:w="689" w:type="pct"/>
            <w:shd w:val="clear" w:color="auto" w:fill="auto"/>
            <w:vAlign w:val="center"/>
          </w:tcPr>
          <w:p w14:paraId="6F7E5EE2">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等线" w:cs="Times New Roman"/>
                <w:color w:val="000000" w:themeColor="text1"/>
                <w:u w:val="single"/>
                <w14:textFill>
                  <w14:solidFill>
                    <w14:schemeClr w14:val="tx1"/>
                  </w14:solidFill>
                </w14:textFill>
              </w:rPr>
              <w:t>8.07</w:t>
            </w:r>
            <w:r>
              <w:rPr>
                <w:rFonts w:ascii="Times New Roman" w:hAnsi="Times New Roman" w:eastAsia="宋体" w:cs="Times New Roman"/>
                <w:color w:val="000000" w:themeColor="text1"/>
                <w:u w:val="single"/>
                <w14:textFill>
                  <w14:solidFill>
                    <w14:schemeClr w14:val="tx1"/>
                  </w14:solidFill>
                </w14:textFill>
              </w:rPr>
              <w:t>×10</w:t>
            </w:r>
            <w:r>
              <w:rPr>
                <w:rFonts w:hint="eastAsia" w:ascii="Times New Roman" w:hAnsi="Times New Roman" w:eastAsia="等线" w:cs="Times New Roman"/>
                <w:color w:val="000000" w:themeColor="text1"/>
                <w:u w:val="single"/>
                <w:vertAlign w:val="superscript"/>
                <w14:textFill>
                  <w14:solidFill>
                    <w14:schemeClr w14:val="tx1"/>
                  </w14:solidFill>
                </w14:textFill>
              </w:rPr>
              <w:t>6</w:t>
            </w:r>
          </w:p>
        </w:tc>
      </w:tr>
      <w:tr w14:paraId="02FEEA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1" w:type="pct"/>
            <w:vMerge w:val="continue"/>
            <w:vAlign w:val="center"/>
          </w:tcPr>
          <w:p w14:paraId="662CE777">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p>
        </w:tc>
        <w:tc>
          <w:tcPr>
            <w:tcW w:w="503" w:type="pct"/>
            <w:shd w:val="clear" w:color="auto" w:fill="auto"/>
            <w:vAlign w:val="center"/>
          </w:tcPr>
          <w:p w14:paraId="63B8ACE0">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w:t>
            </w:r>
          </w:p>
        </w:tc>
        <w:tc>
          <w:tcPr>
            <w:tcW w:w="694" w:type="pct"/>
            <w:shd w:val="clear" w:color="auto" w:fill="auto"/>
            <w:vAlign w:val="center"/>
          </w:tcPr>
          <w:p w14:paraId="3ECCF5C0">
            <w:pPr>
              <w:adjustRightInd w:val="0"/>
              <w:snapToGrid w:val="0"/>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w:t>
            </w:r>
          </w:p>
        </w:tc>
        <w:tc>
          <w:tcPr>
            <w:tcW w:w="691" w:type="pct"/>
            <w:shd w:val="clear" w:color="auto" w:fill="auto"/>
            <w:vAlign w:val="center"/>
          </w:tcPr>
          <w:p w14:paraId="57FCA190">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w:t>
            </w:r>
          </w:p>
        </w:tc>
        <w:tc>
          <w:tcPr>
            <w:tcW w:w="630" w:type="pct"/>
            <w:vMerge w:val="continue"/>
            <w:vAlign w:val="center"/>
          </w:tcPr>
          <w:p w14:paraId="11CEF0D9">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p>
        </w:tc>
        <w:tc>
          <w:tcPr>
            <w:tcW w:w="514" w:type="pct"/>
            <w:shd w:val="clear" w:color="auto" w:fill="auto"/>
            <w:vAlign w:val="center"/>
          </w:tcPr>
          <w:p w14:paraId="4AFA7F03">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vertAlign w:val="superscript"/>
                <w14:textFill>
                  <w14:solidFill>
                    <w14:schemeClr w14:val="tx1"/>
                  </w14:solidFill>
                </w14:textFill>
              </w:rPr>
              <w:t>232</w:t>
            </w:r>
            <w:r>
              <w:rPr>
                <w:rFonts w:ascii="Times New Roman" w:hAnsi="Times New Roman" w:eastAsia="宋体" w:cs="Times New Roman"/>
                <w:color w:val="000000" w:themeColor="text1"/>
                <w:u w:val="single"/>
                <w14:textFill>
                  <w14:solidFill>
                    <w14:schemeClr w14:val="tx1"/>
                  </w14:solidFill>
                </w14:textFill>
              </w:rPr>
              <w:t>Th</w:t>
            </w:r>
          </w:p>
        </w:tc>
        <w:tc>
          <w:tcPr>
            <w:tcW w:w="668" w:type="pct"/>
            <w:shd w:val="clear" w:color="auto" w:fill="auto"/>
            <w:vAlign w:val="center"/>
          </w:tcPr>
          <w:p w14:paraId="06E76930">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等线" w:cs="Times New Roman"/>
                <w:color w:val="000000" w:themeColor="text1"/>
                <w:u w:val="single"/>
                <w14:textFill>
                  <w14:solidFill>
                    <w14:schemeClr w14:val="tx1"/>
                  </w14:solidFill>
                </w14:textFill>
              </w:rPr>
              <w:t>1734.8</w:t>
            </w:r>
          </w:p>
        </w:tc>
        <w:tc>
          <w:tcPr>
            <w:tcW w:w="689" w:type="pct"/>
            <w:shd w:val="clear" w:color="auto" w:fill="auto"/>
            <w:vAlign w:val="center"/>
          </w:tcPr>
          <w:p w14:paraId="76BB1AC5">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等线" w:cs="Times New Roman"/>
                <w:color w:val="000000" w:themeColor="text1"/>
                <w:u w:val="single"/>
                <w14:textFill>
                  <w14:solidFill>
                    <w14:schemeClr w14:val="tx1"/>
                  </w14:solidFill>
                </w14:textFill>
              </w:rPr>
              <w:t>9.52</w:t>
            </w:r>
            <w:r>
              <w:rPr>
                <w:rFonts w:ascii="Times New Roman" w:hAnsi="Times New Roman" w:eastAsia="宋体" w:cs="Times New Roman"/>
                <w:color w:val="000000" w:themeColor="text1"/>
                <w:u w:val="single"/>
                <w14:textFill>
                  <w14:solidFill>
                    <w14:schemeClr w14:val="tx1"/>
                  </w14:solidFill>
                </w14:textFill>
              </w:rPr>
              <w:t>×10</w:t>
            </w:r>
            <w:r>
              <w:rPr>
                <w:rFonts w:hint="eastAsia" w:ascii="Times New Roman" w:hAnsi="Times New Roman" w:eastAsia="等线" w:cs="Times New Roman"/>
                <w:color w:val="000000" w:themeColor="text1"/>
                <w:u w:val="single"/>
                <w:vertAlign w:val="superscript"/>
                <w14:textFill>
                  <w14:solidFill>
                    <w14:schemeClr w14:val="tx1"/>
                  </w14:solidFill>
                </w14:textFill>
              </w:rPr>
              <w:t>6</w:t>
            </w:r>
          </w:p>
        </w:tc>
      </w:tr>
      <w:tr w14:paraId="37F576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1" w:type="pct"/>
            <w:vMerge w:val="restart"/>
            <w:shd w:val="clear" w:color="auto" w:fill="auto"/>
            <w:vAlign w:val="center"/>
          </w:tcPr>
          <w:p w14:paraId="087A2914">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合计</w:t>
            </w:r>
          </w:p>
        </w:tc>
        <w:tc>
          <w:tcPr>
            <w:tcW w:w="1197" w:type="pct"/>
            <w:gridSpan w:val="2"/>
            <w:shd w:val="clear" w:color="auto" w:fill="auto"/>
            <w:vAlign w:val="center"/>
          </w:tcPr>
          <w:p w14:paraId="51869AAA">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vertAlign w:val="superscript"/>
                <w14:textFill>
                  <w14:solidFill>
                    <w14:schemeClr w14:val="tx1"/>
                  </w14:solidFill>
                </w14:textFill>
              </w:rPr>
              <w:t>238</w:t>
            </w:r>
            <w:r>
              <w:rPr>
                <w:rFonts w:ascii="Times New Roman" w:hAnsi="Times New Roman" w:eastAsia="宋体" w:cs="Times New Roman"/>
                <w:color w:val="000000" w:themeColor="text1"/>
                <w:u w:val="single"/>
                <w14:textFill>
                  <w14:solidFill>
                    <w14:schemeClr w14:val="tx1"/>
                  </w14:solidFill>
                </w14:textFill>
              </w:rPr>
              <w:t>U</w:t>
            </w:r>
          </w:p>
        </w:tc>
        <w:tc>
          <w:tcPr>
            <w:tcW w:w="691" w:type="pct"/>
            <w:shd w:val="clear" w:color="auto" w:fill="auto"/>
            <w:vAlign w:val="center"/>
          </w:tcPr>
          <w:p w14:paraId="33E857A5">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等线" w:cs="Times New Roman"/>
                <w:color w:val="000000" w:themeColor="text1"/>
                <w:u w:val="single"/>
                <w14:textFill>
                  <w14:solidFill>
                    <w14:schemeClr w14:val="tx1"/>
                  </w14:solidFill>
                </w14:textFill>
              </w:rPr>
              <w:t>3.98</w:t>
            </w:r>
            <w:r>
              <w:rPr>
                <w:rFonts w:ascii="Times New Roman" w:hAnsi="Times New Roman" w:eastAsia="宋体" w:cs="Times New Roman"/>
                <w:color w:val="000000" w:themeColor="text1"/>
                <w:u w:val="single"/>
                <w14:textFill>
                  <w14:solidFill>
                    <w14:schemeClr w14:val="tx1"/>
                  </w14:solidFill>
                </w14:textFill>
              </w:rPr>
              <w:t>×10</w:t>
            </w:r>
            <w:r>
              <w:rPr>
                <w:rFonts w:ascii="Times New Roman" w:hAnsi="Times New Roman" w:eastAsia="等线" w:cs="Times New Roman"/>
                <w:color w:val="000000" w:themeColor="text1"/>
                <w:u w:val="single"/>
                <w:vertAlign w:val="superscript"/>
                <w14:textFill>
                  <w14:solidFill>
                    <w14:schemeClr w14:val="tx1"/>
                  </w14:solidFill>
                </w14:textFill>
              </w:rPr>
              <w:t>1</w:t>
            </w:r>
            <w:r>
              <w:rPr>
                <w:rFonts w:hint="eastAsia" w:ascii="Times New Roman" w:hAnsi="Times New Roman" w:eastAsia="等线" w:cs="Times New Roman"/>
                <w:color w:val="000000" w:themeColor="text1"/>
                <w:u w:val="single"/>
                <w:vertAlign w:val="superscript"/>
                <w14:textFill>
                  <w14:solidFill>
                    <w14:schemeClr w14:val="tx1"/>
                  </w14:solidFill>
                </w14:textFill>
              </w:rPr>
              <w:t>1</w:t>
            </w:r>
          </w:p>
        </w:tc>
        <w:tc>
          <w:tcPr>
            <w:tcW w:w="630" w:type="pct"/>
            <w:vMerge w:val="restart"/>
            <w:shd w:val="clear" w:color="auto" w:fill="auto"/>
            <w:vAlign w:val="center"/>
          </w:tcPr>
          <w:p w14:paraId="73773512">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合计</w:t>
            </w:r>
          </w:p>
        </w:tc>
        <w:tc>
          <w:tcPr>
            <w:tcW w:w="1182" w:type="pct"/>
            <w:gridSpan w:val="2"/>
            <w:shd w:val="clear" w:color="auto" w:fill="auto"/>
            <w:vAlign w:val="center"/>
          </w:tcPr>
          <w:p w14:paraId="3F3BF577">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vertAlign w:val="superscript"/>
                <w14:textFill>
                  <w14:solidFill>
                    <w14:schemeClr w14:val="tx1"/>
                  </w14:solidFill>
                </w14:textFill>
              </w:rPr>
              <w:t>238</w:t>
            </w:r>
            <w:r>
              <w:rPr>
                <w:rFonts w:ascii="Times New Roman" w:hAnsi="Times New Roman" w:eastAsia="宋体" w:cs="Times New Roman"/>
                <w:color w:val="000000" w:themeColor="text1"/>
                <w:u w:val="single"/>
                <w14:textFill>
                  <w14:solidFill>
                    <w14:schemeClr w14:val="tx1"/>
                  </w14:solidFill>
                </w14:textFill>
              </w:rPr>
              <w:t>U</w:t>
            </w:r>
          </w:p>
        </w:tc>
        <w:tc>
          <w:tcPr>
            <w:tcW w:w="689" w:type="pct"/>
            <w:shd w:val="clear" w:color="auto" w:fill="auto"/>
            <w:vAlign w:val="center"/>
          </w:tcPr>
          <w:p w14:paraId="7A44AEDE">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等线" w:cs="Times New Roman"/>
                <w:color w:val="000000" w:themeColor="text1"/>
                <w:u w:val="single"/>
                <w14:textFill>
                  <w14:solidFill>
                    <w14:schemeClr w14:val="tx1"/>
                  </w14:solidFill>
                </w14:textFill>
              </w:rPr>
              <w:t>2.51</w:t>
            </w:r>
            <w:r>
              <w:rPr>
                <w:rFonts w:ascii="Times New Roman" w:hAnsi="Times New Roman" w:eastAsia="宋体" w:cs="Times New Roman"/>
                <w:color w:val="000000" w:themeColor="text1"/>
                <w:u w:val="single"/>
                <w14:textFill>
                  <w14:solidFill>
                    <w14:schemeClr w14:val="tx1"/>
                  </w14:solidFill>
                </w14:textFill>
              </w:rPr>
              <w:t>×10</w:t>
            </w:r>
            <w:r>
              <w:rPr>
                <w:rFonts w:ascii="Times New Roman" w:hAnsi="Times New Roman" w:eastAsia="等线" w:cs="Times New Roman"/>
                <w:color w:val="000000" w:themeColor="text1"/>
                <w:u w:val="single"/>
                <w:vertAlign w:val="superscript"/>
                <w14:textFill>
                  <w14:solidFill>
                    <w14:schemeClr w14:val="tx1"/>
                  </w14:solidFill>
                </w14:textFill>
              </w:rPr>
              <w:t>1</w:t>
            </w:r>
            <w:r>
              <w:rPr>
                <w:rFonts w:hint="eastAsia" w:ascii="Times New Roman" w:hAnsi="Times New Roman" w:eastAsia="等线" w:cs="Times New Roman"/>
                <w:color w:val="000000" w:themeColor="text1"/>
                <w:u w:val="single"/>
                <w:vertAlign w:val="superscript"/>
                <w14:textFill>
                  <w14:solidFill>
                    <w14:schemeClr w14:val="tx1"/>
                  </w14:solidFill>
                </w14:textFill>
              </w:rPr>
              <w:t>1</w:t>
            </w:r>
          </w:p>
        </w:tc>
      </w:tr>
      <w:tr w14:paraId="1C69D3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1" w:type="pct"/>
            <w:vMerge w:val="continue"/>
            <w:vAlign w:val="center"/>
          </w:tcPr>
          <w:p w14:paraId="5EC776E8">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p>
        </w:tc>
        <w:tc>
          <w:tcPr>
            <w:tcW w:w="1197" w:type="pct"/>
            <w:gridSpan w:val="2"/>
            <w:shd w:val="clear" w:color="auto" w:fill="auto"/>
            <w:vAlign w:val="center"/>
          </w:tcPr>
          <w:p w14:paraId="25297873">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vertAlign w:val="superscript"/>
                <w14:textFill>
                  <w14:solidFill>
                    <w14:schemeClr w14:val="tx1"/>
                  </w14:solidFill>
                </w14:textFill>
              </w:rPr>
              <w:t>226</w:t>
            </w:r>
            <w:r>
              <w:rPr>
                <w:rFonts w:ascii="Times New Roman" w:hAnsi="Times New Roman" w:eastAsia="宋体" w:cs="Times New Roman"/>
                <w:color w:val="000000" w:themeColor="text1"/>
                <w:u w:val="single"/>
                <w14:textFill>
                  <w14:solidFill>
                    <w14:schemeClr w14:val="tx1"/>
                  </w14:solidFill>
                </w14:textFill>
              </w:rPr>
              <w:t>Ra</w:t>
            </w:r>
          </w:p>
        </w:tc>
        <w:tc>
          <w:tcPr>
            <w:tcW w:w="691" w:type="pct"/>
            <w:shd w:val="clear" w:color="auto" w:fill="auto"/>
            <w:vAlign w:val="center"/>
          </w:tcPr>
          <w:p w14:paraId="42FEA945">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等线" w:cs="Times New Roman"/>
                <w:color w:val="000000" w:themeColor="text1"/>
                <w:u w:val="single"/>
                <w14:textFill>
                  <w14:solidFill>
                    <w14:schemeClr w14:val="tx1"/>
                  </w14:solidFill>
                </w14:textFill>
              </w:rPr>
              <w:t>3.53</w:t>
            </w:r>
            <w:r>
              <w:rPr>
                <w:rFonts w:ascii="Times New Roman" w:hAnsi="Times New Roman" w:eastAsia="宋体" w:cs="Times New Roman"/>
                <w:color w:val="000000" w:themeColor="text1"/>
                <w:u w:val="single"/>
                <w14:textFill>
                  <w14:solidFill>
                    <w14:schemeClr w14:val="tx1"/>
                  </w14:solidFill>
                </w14:textFill>
              </w:rPr>
              <w:t>×10</w:t>
            </w:r>
            <w:r>
              <w:rPr>
                <w:rFonts w:ascii="Times New Roman" w:hAnsi="Times New Roman" w:eastAsia="等线" w:cs="Times New Roman"/>
                <w:color w:val="000000" w:themeColor="text1"/>
                <w:u w:val="single"/>
                <w:vertAlign w:val="superscript"/>
                <w14:textFill>
                  <w14:solidFill>
                    <w14:schemeClr w14:val="tx1"/>
                  </w14:solidFill>
                </w14:textFill>
              </w:rPr>
              <w:t>1</w:t>
            </w:r>
            <w:r>
              <w:rPr>
                <w:rFonts w:hint="eastAsia" w:ascii="Times New Roman" w:hAnsi="Times New Roman" w:eastAsia="等线" w:cs="Times New Roman"/>
                <w:color w:val="000000" w:themeColor="text1"/>
                <w:u w:val="single"/>
                <w:vertAlign w:val="superscript"/>
                <w14:textFill>
                  <w14:solidFill>
                    <w14:schemeClr w14:val="tx1"/>
                  </w14:solidFill>
                </w14:textFill>
              </w:rPr>
              <w:t>1</w:t>
            </w:r>
          </w:p>
        </w:tc>
        <w:tc>
          <w:tcPr>
            <w:tcW w:w="630" w:type="pct"/>
            <w:vMerge w:val="continue"/>
            <w:vAlign w:val="center"/>
          </w:tcPr>
          <w:p w14:paraId="3EB09F92">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p>
        </w:tc>
        <w:tc>
          <w:tcPr>
            <w:tcW w:w="1182" w:type="pct"/>
            <w:gridSpan w:val="2"/>
            <w:shd w:val="clear" w:color="auto" w:fill="auto"/>
            <w:vAlign w:val="center"/>
          </w:tcPr>
          <w:p w14:paraId="18E68646">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vertAlign w:val="superscript"/>
                <w14:textFill>
                  <w14:solidFill>
                    <w14:schemeClr w14:val="tx1"/>
                  </w14:solidFill>
                </w14:textFill>
              </w:rPr>
              <w:t>226</w:t>
            </w:r>
            <w:r>
              <w:rPr>
                <w:rFonts w:ascii="Times New Roman" w:hAnsi="Times New Roman" w:eastAsia="宋体" w:cs="Times New Roman"/>
                <w:color w:val="000000" w:themeColor="text1"/>
                <w:u w:val="single"/>
                <w14:textFill>
                  <w14:solidFill>
                    <w14:schemeClr w14:val="tx1"/>
                  </w14:solidFill>
                </w14:textFill>
              </w:rPr>
              <w:t>Ra</w:t>
            </w:r>
          </w:p>
        </w:tc>
        <w:tc>
          <w:tcPr>
            <w:tcW w:w="689" w:type="pct"/>
            <w:shd w:val="clear" w:color="auto" w:fill="auto"/>
            <w:vAlign w:val="center"/>
          </w:tcPr>
          <w:p w14:paraId="5EB9E3ED">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等线" w:cs="Times New Roman"/>
                <w:color w:val="000000" w:themeColor="text1"/>
                <w:u w:val="single"/>
                <w14:textFill>
                  <w14:solidFill>
                    <w14:schemeClr w14:val="tx1"/>
                  </w14:solidFill>
                </w14:textFill>
              </w:rPr>
              <w:t>2.71</w:t>
            </w:r>
            <w:r>
              <w:rPr>
                <w:rFonts w:ascii="Times New Roman" w:hAnsi="Times New Roman" w:eastAsia="宋体" w:cs="Times New Roman"/>
                <w:color w:val="000000" w:themeColor="text1"/>
                <w:u w:val="single"/>
                <w14:textFill>
                  <w14:solidFill>
                    <w14:schemeClr w14:val="tx1"/>
                  </w14:solidFill>
                </w14:textFill>
              </w:rPr>
              <w:t>×10</w:t>
            </w:r>
            <w:r>
              <w:rPr>
                <w:rFonts w:ascii="Times New Roman" w:hAnsi="Times New Roman" w:eastAsia="等线" w:cs="Times New Roman"/>
                <w:color w:val="000000" w:themeColor="text1"/>
                <w:u w:val="single"/>
                <w:vertAlign w:val="superscript"/>
                <w14:textFill>
                  <w14:solidFill>
                    <w14:schemeClr w14:val="tx1"/>
                  </w14:solidFill>
                </w14:textFill>
              </w:rPr>
              <w:t>1</w:t>
            </w:r>
            <w:r>
              <w:rPr>
                <w:rFonts w:hint="eastAsia" w:ascii="Times New Roman" w:hAnsi="Times New Roman" w:eastAsia="等线" w:cs="Times New Roman"/>
                <w:color w:val="000000" w:themeColor="text1"/>
                <w:u w:val="single"/>
                <w:vertAlign w:val="superscript"/>
                <w14:textFill>
                  <w14:solidFill>
                    <w14:schemeClr w14:val="tx1"/>
                  </w14:solidFill>
                </w14:textFill>
              </w:rPr>
              <w:t>1</w:t>
            </w:r>
          </w:p>
        </w:tc>
      </w:tr>
      <w:tr w14:paraId="4BFBD8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1" w:type="pct"/>
            <w:vMerge w:val="continue"/>
            <w:vAlign w:val="center"/>
          </w:tcPr>
          <w:p w14:paraId="22DB8FB5">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p>
        </w:tc>
        <w:tc>
          <w:tcPr>
            <w:tcW w:w="1197" w:type="pct"/>
            <w:gridSpan w:val="2"/>
            <w:shd w:val="clear" w:color="auto" w:fill="auto"/>
            <w:vAlign w:val="center"/>
          </w:tcPr>
          <w:p w14:paraId="5C24D3B7">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vertAlign w:val="superscript"/>
                <w14:textFill>
                  <w14:solidFill>
                    <w14:schemeClr w14:val="tx1"/>
                  </w14:solidFill>
                </w14:textFill>
              </w:rPr>
              <w:t>232</w:t>
            </w:r>
            <w:r>
              <w:rPr>
                <w:rFonts w:ascii="Times New Roman" w:hAnsi="Times New Roman" w:eastAsia="宋体" w:cs="Times New Roman"/>
                <w:color w:val="000000" w:themeColor="text1"/>
                <w:u w:val="single"/>
                <w14:textFill>
                  <w14:solidFill>
                    <w14:schemeClr w14:val="tx1"/>
                  </w14:solidFill>
                </w14:textFill>
              </w:rPr>
              <w:t>Th</w:t>
            </w:r>
          </w:p>
        </w:tc>
        <w:tc>
          <w:tcPr>
            <w:tcW w:w="691" w:type="pct"/>
            <w:shd w:val="clear" w:color="auto" w:fill="auto"/>
            <w:vAlign w:val="center"/>
          </w:tcPr>
          <w:p w14:paraId="0BDAFFD5">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等线" w:cs="Times New Roman"/>
                <w:color w:val="000000" w:themeColor="text1"/>
                <w:u w:val="single"/>
                <w14:textFill>
                  <w14:solidFill>
                    <w14:schemeClr w14:val="tx1"/>
                  </w14:solidFill>
                </w14:textFill>
              </w:rPr>
              <w:t>4.16</w:t>
            </w:r>
            <w:r>
              <w:rPr>
                <w:rFonts w:ascii="Times New Roman" w:hAnsi="Times New Roman" w:eastAsia="宋体" w:cs="Times New Roman"/>
                <w:color w:val="000000" w:themeColor="text1"/>
                <w:u w:val="single"/>
                <w14:textFill>
                  <w14:solidFill>
                    <w14:schemeClr w14:val="tx1"/>
                  </w14:solidFill>
                </w14:textFill>
              </w:rPr>
              <w:t>×10</w:t>
            </w:r>
            <w:r>
              <w:rPr>
                <w:rFonts w:ascii="Times New Roman" w:hAnsi="Times New Roman" w:eastAsia="等线" w:cs="Times New Roman"/>
                <w:color w:val="000000" w:themeColor="text1"/>
                <w:u w:val="single"/>
                <w:vertAlign w:val="superscript"/>
                <w14:textFill>
                  <w14:solidFill>
                    <w14:schemeClr w14:val="tx1"/>
                  </w14:solidFill>
                </w14:textFill>
              </w:rPr>
              <w:t>1</w:t>
            </w:r>
            <w:r>
              <w:rPr>
                <w:rFonts w:hint="eastAsia" w:ascii="Times New Roman" w:hAnsi="Times New Roman" w:eastAsia="等线" w:cs="Times New Roman"/>
                <w:color w:val="000000" w:themeColor="text1"/>
                <w:u w:val="single"/>
                <w:vertAlign w:val="superscript"/>
                <w14:textFill>
                  <w14:solidFill>
                    <w14:schemeClr w14:val="tx1"/>
                  </w14:solidFill>
                </w14:textFill>
              </w:rPr>
              <w:t>1</w:t>
            </w:r>
          </w:p>
        </w:tc>
        <w:tc>
          <w:tcPr>
            <w:tcW w:w="630" w:type="pct"/>
            <w:vMerge w:val="continue"/>
            <w:vAlign w:val="center"/>
          </w:tcPr>
          <w:p w14:paraId="6B953484">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p>
        </w:tc>
        <w:tc>
          <w:tcPr>
            <w:tcW w:w="1182" w:type="pct"/>
            <w:gridSpan w:val="2"/>
            <w:shd w:val="clear" w:color="auto" w:fill="auto"/>
            <w:vAlign w:val="center"/>
          </w:tcPr>
          <w:p w14:paraId="560C9740">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vertAlign w:val="superscript"/>
                <w14:textFill>
                  <w14:solidFill>
                    <w14:schemeClr w14:val="tx1"/>
                  </w14:solidFill>
                </w14:textFill>
              </w:rPr>
              <w:t>232</w:t>
            </w:r>
            <w:r>
              <w:rPr>
                <w:rFonts w:ascii="Times New Roman" w:hAnsi="Times New Roman" w:eastAsia="宋体" w:cs="Times New Roman"/>
                <w:color w:val="000000" w:themeColor="text1"/>
                <w:u w:val="single"/>
                <w14:textFill>
                  <w14:solidFill>
                    <w14:schemeClr w14:val="tx1"/>
                  </w14:solidFill>
                </w14:textFill>
              </w:rPr>
              <w:t>Th</w:t>
            </w:r>
          </w:p>
        </w:tc>
        <w:tc>
          <w:tcPr>
            <w:tcW w:w="689" w:type="pct"/>
            <w:shd w:val="clear" w:color="auto" w:fill="auto"/>
            <w:vAlign w:val="center"/>
          </w:tcPr>
          <w:p w14:paraId="3C135049">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等线" w:cs="Times New Roman"/>
                <w:color w:val="000000" w:themeColor="text1"/>
                <w:u w:val="single"/>
                <w14:textFill>
                  <w14:solidFill>
                    <w14:schemeClr w14:val="tx1"/>
                  </w14:solidFill>
                </w14:textFill>
              </w:rPr>
              <w:t>2.00</w:t>
            </w:r>
            <w:r>
              <w:rPr>
                <w:rFonts w:ascii="Times New Roman" w:hAnsi="Times New Roman" w:eastAsia="宋体" w:cs="Times New Roman"/>
                <w:color w:val="000000" w:themeColor="text1"/>
                <w:u w:val="single"/>
                <w14:textFill>
                  <w14:solidFill>
                    <w14:schemeClr w14:val="tx1"/>
                  </w14:solidFill>
                </w14:textFill>
              </w:rPr>
              <w:t>×10</w:t>
            </w:r>
            <w:r>
              <w:rPr>
                <w:rFonts w:ascii="Times New Roman" w:hAnsi="Times New Roman" w:eastAsia="等线" w:cs="Times New Roman"/>
                <w:color w:val="000000" w:themeColor="text1"/>
                <w:u w:val="single"/>
                <w:vertAlign w:val="superscript"/>
                <w14:textFill>
                  <w14:solidFill>
                    <w14:schemeClr w14:val="tx1"/>
                  </w14:solidFill>
                </w14:textFill>
              </w:rPr>
              <w:t>1</w:t>
            </w:r>
            <w:r>
              <w:rPr>
                <w:rFonts w:hint="eastAsia" w:ascii="Times New Roman" w:hAnsi="Times New Roman" w:eastAsia="等线" w:cs="Times New Roman"/>
                <w:color w:val="000000" w:themeColor="text1"/>
                <w:u w:val="single"/>
                <w:vertAlign w:val="superscript"/>
                <w14:textFill>
                  <w14:solidFill>
                    <w14:schemeClr w14:val="tx1"/>
                  </w14:solidFill>
                </w14:textFill>
              </w:rPr>
              <w:t>1</w:t>
            </w:r>
          </w:p>
        </w:tc>
      </w:tr>
      <w:bookmarkEnd w:id="47"/>
    </w:tbl>
    <w:p w14:paraId="17B86FD0">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p>
    <w:p w14:paraId="19A63B68">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p>
    <w:p w14:paraId="1941CB24">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sectPr>
          <w:pgSz w:w="16838" w:h="11906" w:orient="landscape"/>
          <w:pgMar w:top="1800" w:right="1440" w:bottom="1800" w:left="1440" w:header="851" w:footer="992" w:gutter="0"/>
          <w:cols w:space="425" w:num="1"/>
          <w:docGrid w:type="lines" w:linePitch="312" w:charSpace="0"/>
        </w:sectPr>
      </w:pPr>
    </w:p>
    <w:p w14:paraId="0C1AED10">
      <w:pPr>
        <w:spacing w:after="0" w:line="36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olor w:val="000000" w:themeColor="text1"/>
          <w:spacing w:val="-2"/>
          <w:sz w:val="24"/>
          <w:szCs w:val="24"/>
          <w14:textFill>
            <w14:solidFill>
              <w14:schemeClr w14:val="tx1"/>
            </w14:solidFill>
          </w14:textFill>
        </w:rPr>
        <mc:AlternateContent>
          <mc:Choice Requires="wpc">
            <w:drawing>
              <wp:inline distT="0" distB="0" distL="0" distR="0">
                <wp:extent cx="4991100" cy="3990975"/>
                <wp:effectExtent l="0" t="0" r="0" b="0"/>
                <wp:docPr id="1718549912" name="画布 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3035901" name="矩形 10"/>
                        <wps:cNvSpPr>
                          <a:spLocks noChangeArrowheads="1"/>
                        </wps:cNvSpPr>
                        <wps:spPr bwMode="auto">
                          <a:xfrm>
                            <a:off x="743185" y="75995"/>
                            <a:ext cx="799184" cy="295980"/>
                          </a:xfrm>
                          <a:prstGeom prst="rect">
                            <a:avLst/>
                          </a:prstGeom>
                          <a:solidFill>
                            <a:srgbClr val="FFFFFF"/>
                          </a:solidFill>
                          <a:ln>
                            <a:noFill/>
                          </a:ln>
                          <a:effectLst/>
                        </wps:spPr>
                        <wps:txbx>
                          <w:txbxContent>
                            <w:p w14:paraId="0BFA0D99">
                              <w:pPr>
                                <w:jc w:val="center"/>
                              </w:pPr>
                              <w:r>
                                <w:rPr>
                                  <w:rFonts w:hint="eastAsia"/>
                                </w:rPr>
                                <w:t>原料毛矿</w:t>
                              </w:r>
                            </w:p>
                          </w:txbxContent>
                        </wps:txbx>
                        <wps:bodyPr rot="0" vert="horz" wrap="square" lIns="91440" tIns="45720" rIns="91440" bIns="45720" anchor="t" anchorCtr="0" upright="1">
                          <a:noAutofit/>
                        </wps:bodyPr>
                      </wps:wsp>
                      <wps:wsp>
                        <wps:cNvPr id="1194564044" name="矩形 11"/>
                        <wps:cNvSpPr>
                          <a:spLocks noChangeArrowheads="1"/>
                        </wps:cNvSpPr>
                        <wps:spPr bwMode="auto">
                          <a:xfrm>
                            <a:off x="2023159" y="562362"/>
                            <a:ext cx="958381" cy="291980"/>
                          </a:xfrm>
                          <a:prstGeom prst="rect">
                            <a:avLst/>
                          </a:prstGeom>
                          <a:solidFill>
                            <a:srgbClr val="FFFFFF"/>
                          </a:solidFill>
                          <a:ln w="9525" cmpd="sng">
                            <a:solidFill>
                              <a:srgbClr val="000000"/>
                            </a:solidFill>
                            <a:miter lim="800000"/>
                          </a:ln>
                          <a:effectLst/>
                        </wps:spPr>
                        <wps:txbx>
                          <w:txbxContent>
                            <w:p w14:paraId="766C47C6">
                              <w:pPr>
                                <w:jc w:val="center"/>
                              </w:pPr>
                              <w:r>
                                <w:rPr>
                                  <w:rFonts w:hint="eastAsia"/>
                                </w:rPr>
                                <w:t>原料堆场</w:t>
                              </w:r>
                            </w:p>
                          </w:txbxContent>
                        </wps:txbx>
                        <wps:bodyPr rot="0" vert="horz" wrap="square" lIns="91440" tIns="45720" rIns="91440" bIns="45720" anchor="t" anchorCtr="0" upright="1">
                          <a:noAutofit/>
                        </wps:bodyPr>
                      </wps:wsp>
                      <wps:wsp>
                        <wps:cNvPr id="303993710" name="矩形 14"/>
                        <wps:cNvSpPr>
                          <a:spLocks noChangeArrowheads="1"/>
                        </wps:cNvSpPr>
                        <wps:spPr bwMode="auto">
                          <a:xfrm>
                            <a:off x="2031365" y="1722120"/>
                            <a:ext cx="951865" cy="291465"/>
                          </a:xfrm>
                          <a:prstGeom prst="rect">
                            <a:avLst/>
                          </a:prstGeom>
                          <a:solidFill>
                            <a:srgbClr val="FFFFFF"/>
                          </a:solidFill>
                          <a:ln w="9525" cmpd="sng">
                            <a:solidFill>
                              <a:srgbClr val="000000"/>
                            </a:solidFill>
                            <a:miter lim="800000"/>
                          </a:ln>
                          <a:effectLst/>
                        </wps:spPr>
                        <wps:txbx>
                          <w:txbxContent>
                            <w:p w14:paraId="32B46EAB">
                              <w:pPr>
                                <w:jc w:val="center"/>
                              </w:pPr>
                              <w:r>
                                <w:rPr>
                                  <w:rFonts w:hint="eastAsia"/>
                                </w:rPr>
                                <w:t>烘干、磁选</w:t>
                              </w:r>
                            </w:p>
                          </w:txbxContent>
                        </wps:txbx>
                        <wps:bodyPr rot="0" vert="horz" wrap="square" lIns="91440" tIns="45720" rIns="91440" bIns="45720" anchor="t" anchorCtr="0" upright="1">
                          <a:noAutofit/>
                        </wps:bodyPr>
                      </wps:wsp>
                      <wps:wsp>
                        <wps:cNvPr id="800540853" name="矩形 15"/>
                        <wps:cNvSpPr>
                          <a:spLocks noChangeArrowheads="1"/>
                        </wps:cNvSpPr>
                        <wps:spPr bwMode="auto">
                          <a:xfrm>
                            <a:off x="1038225" y="2632710"/>
                            <a:ext cx="950595" cy="290830"/>
                          </a:xfrm>
                          <a:prstGeom prst="rect">
                            <a:avLst/>
                          </a:prstGeom>
                          <a:solidFill>
                            <a:srgbClr val="FFFFFF"/>
                          </a:solidFill>
                          <a:ln w="9525" cmpd="sng">
                            <a:solidFill>
                              <a:srgbClr val="000000"/>
                            </a:solidFill>
                            <a:miter lim="800000"/>
                          </a:ln>
                          <a:effectLst/>
                        </wps:spPr>
                        <wps:txbx>
                          <w:txbxContent>
                            <w:p w14:paraId="45B15A26">
                              <w:pPr>
                                <w:jc w:val="center"/>
                              </w:pPr>
                              <w:r>
                                <w:rPr>
                                  <w:rFonts w:hint="eastAsia"/>
                                </w:rPr>
                                <w:t>精矿堆场</w:t>
                              </w:r>
                            </w:p>
                          </w:txbxContent>
                        </wps:txbx>
                        <wps:bodyPr rot="0" vert="horz" wrap="square" lIns="91440" tIns="45720" rIns="91440" bIns="45720" anchor="t" anchorCtr="0" upright="1">
                          <a:noAutofit/>
                        </wps:bodyPr>
                      </wps:wsp>
                      <wps:wsp>
                        <wps:cNvPr id="1664788932" name="矩形 16"/>
                        <wps:cNvSpPr>
                          <a:spLocks noChangeArrowheads="1"/>
                        </wps:cNvSpPr>
                        <wps:spPr bwMode="auto">
                          <a:xfrm>
                            <a:off x="2957830" y="2633980"/>
                            <a:ext cx="952500" cy="292100"/>
                          </a:xfrm>
                          <a:prstGeom prst="rect">
                            <a:avLst/>
                          </a:prstGeom>
                          <a:solidFill>
                            <a:srgbClr val="FFFFFF"/>
                          </a:solidFill>
                          <a:ln w="9525" cmpd="sng">
                            <a:solidFill>
                              <a:srgbClr val="000000"/>
                            </a:solidFill>
                            <a:miter lim="800000"/>
                          </a:ln>
                          <a:effectLst/>
                        </wps:spPr>
                        <wps:txbx>
                          <w:txbxContent>
                            <w:p w14:paraId="01B6B7C7">
                              <w:pPr>
                                <w:jc w:val="center"/>
                              </w:pPr>
                              <w:r>
                                <w:rPr>
                                  <w:rFonts w:hint="eastAsia"/>
                                </w:rPr>
                                <w:t>锆中矿堆场</w:t>
                              </w:r>
                            </w:p>
                          </w:txbxContent>
                        </wps:txbx>
                        <wps:bodyPr rot="0" vert="horz" wrap="square" lIns="91440" tIns="45720" rIns="91440" bIns="45720" anchor="t" anchorCtr="0" upright="1">
                          <a:noAutofit/>
                        </wps:bodyPr>
                      </wps:wsp>
                      <wps:wsp>
                        <wps:cNvPr id="908491468" name="自选图形 18"/>
                        <wps:cNvCnPr>
                          <a:cxnSpLocks noChangeShapeType="1"/>
                        </wps:cNvCnPr>
                        <wps:spPr bwMode="auto">
                          <a:xfrm>
                            <a:off x="1541569" y="188787"/>
                            <a:ext cx="960781" cy="373575"/>
                          </a:xfrm>
                          <a:prstGeom prst="bentConnector2">
                            <a:avLst/>
                          </a:prstGeom>
                          <a:noFill/>
                          <a:ln w="9525" cmpd="sng">
                            <a:solidFill>
                              <a:srgbClr val="000000"/>
                            </a:solidFill>
                            <a:miter lim="800000"/>
                            <a:tailEnd type="arrow" w="med" len="med"/>
                          </a:ln>
                          <a:effectLst/>
                        </wps:spPr>
                        <wps:bodyPr/>
                      </wps:wsp>
                      <wps:wsp>
                        <wps:cNvPr id="1063365481" name="自选图形 22"/>
                        <wps:cNvCnPr>
                          <a:cxnSpLocks noChangeShapeType="1"/>
                          <a:endCxn id="303993710" idx="0"/>
                        </wps:cNvCnPr>
                        <wps:spPr bwMode="auto">
                          <a:xfrm>
                            <a:off x="2502350" y="854343"/>
                            <a:ext cx="5080" cy="868045"/>
                          </a:xfrm>
                          <a:prstGeom prst="straightConnector1">
                            <a:avLst/>
                          </a:prstGeom>
                          <a:noFill/>
                          <a:ln w="9525" cmpd="sng">
                            <a:solidFill>
                              <a:srgbClr val="000000"/>
                            </a:solidFill>
                            <a:miter lim="800000"/>
                            <a:tailEnd type="arrow" w="med" len="med"/>
                          </a:ln>
                          <a:effectLst/>
                        </wps:spPr>
                        <wps:bodyPr/>
                      </wps:wsp>
                      <wps:wsp>
                        <wps:cNvPr id="1976986526" name="自选图形 25"/>
                        <wps:cNvCnPr>
                          <a:cxnSpLocks noChangeShapeType="1"/>
                        </wps:cNvCnPr>
                        <wps:spPr bwMode="auto">
                          <a:xfrm rot="5400000">
                            <a:off x="1703070" y="1823720"/>
                            <a:ext cx="619125" cy="998220"/>
                          </a:xfrm>
                          <a:prstGeom prst="bentConnector3">
                            <a:avLst>
                              <a:gd name="adj1" fmla="val 50000"/>
                            </a:avLst>
                          </a:prstGeom>
                          <a:noFill/>
                          <a:ln w="9525" cmpd="sng">
                            <a:solidFill>
                              <a:srgbClr val="000000"/>
                            </a:solidFill>
                            <a:miter lim="800000"/>
                            <a:tailEnd type="arrow" w="med" len="med"/>
                          </a:ln>
                          <a:effectLst/>
                        </wps:spPr>
                        <wps:bodyPr/>
                      </wps:wsp>
                      <wps:wsp>
                        <wps:cNvPr id="1393173891" name="自选图形 26"/>
                        <wps:cNvCnPr>
                          <a:cxnSpLocks noChangeShapeType="1"/>
                        </wps:cNvCnPr>
                        <wps:spPr bwMode="auto">
                          <a:xfrm rot="5400000" flipV="1">
                            <a:off x="2660650" y="1861185"/>
                            <a:ext cx="621030" cy="920750"/>
                          </a:xfrm>
                          <a:prstGeom prst="bentConnector3">
                            <a:avLst>
                              <a:gd name="adj1" fmla="val 49949"/>
                            </a:avLst>
                          </a:prstGeom>
                          <a:noFill/>
                          <a:ln w="9525" cmpd="sng">
                            <a:solidFill>
                              <a:srgbClr val="000000"/>
                            </a:solidFill>
                            <a:miter lim="800000"/>
                            <a:tailEnd type="arrow" w="med" len="med"/>
                          </a:ln>
                          <a:effectLst/>
                        </wps:spPr>
                        <wps:bodyPr/>
                      </wps:wsp>
                      <wps:wsp>
                        <wps:cNvPr id="2128691018" name="矩形 33"/>
                        <wps:cNvSpPr>
                          <a:spLocks noChangeArrowheads="1"/>
                        </wps:cNvSpPr>
                        <wps:spPr bwMode="auto">
                          <a:xfrm>
                            <a:off x="988695" y="2033905"/>
                            <a:ext cx="1071880" cy="292735"/>
                          </a:xfrm>
                          <a:prstGeom prst="rect">
                            <a:avLst/>
                          </a:prstGeom>
                          <a:noFill/>
                          <a:ln>
                            <a:noFill/>
                          </a:ln>
                          <a:effectLst/>
                        </wps:spPr>
                        <wps:txbx>
                          <w:txbxContent>
                            <w:p w14:paraId="101C350C">
                              <w:pPr>
                                <w:jc w:val="center"/>
                              </w:pPr>
                              <w:r>
                                <w:rPr>
                                  <w:rFonts w:hint="eastAsia"/>
                                </w:rPr>
                                <w:t>钛铁精矿</w:t>
                              </w:r>
                            </w:p>
                          </w:txbxContent>
                        </wps:txbx>
                        <wps:bodyPr rot="0" vert="horz" wrap="square" lIns="91440" tIns="45720" rIns="91440" bIns="45720" anchor="t" anchorCtr="0" upright="1">
                          <a:noAutofit/>
                        </wps:bodyPr>
                      </wps:wsp>
                      <wps:wsp>
                        <wps:cNvPr id="1686920125" name="矩形 34"/>
                        <wps:cNvSpPr>
                          <a:spLocks noChangeArrowheads="1"/>
                        </wps:cNvSpPr>
                        <wps:spPr bwMode="auto">
                          <a:xfrm>
                            <a:off x="3056890" y="2035810"/>
                            <a:ext cx="1068070" cy="292735"/>
                          </a:xfrm>
                          <a:prstGeom prst="rect">
                            <a:avLst/>
                          </a:prstGeom>
                          <a:noFill/>
                          <a:ln>
                            <a:noFill/>
                          </a:ln>
                          <a:effectLst/>
                        </wps:spPr>
                        <wps:txbx>
                          <w:txbxContent>
                            <w:p w14:paraId="1932F332">
                              <w:pPr>
                                <w:jc w:val="center"/>
                              </w:pPr>
                              <w:r>
                                <w:rPr>
                                  <w:rFonts w:hint="eastAsia"/>
                                </w:rPr>
                                <w:t>锆中矿</w:t>
                              </w:r>
                            </w:p>
                          </w:txbxContent>
                        </wps:txbx>
                        <wps:bodyPr rot="0" vert="horz" wrap="square" lIns="91440" tIns="45720" rIns="91440" bIns="45720" anchor="t" anchorCtr="0" upright="1">
                          <a:noAutofit/>
                        </wps:bodyPr>
                      </wps:wsp>
                      <wps:wsp>
                        <wps:cNvPr id="1323892651" name="自选图形 40"/>
                        <wps:cNvCnPr>
                          <a:cxnSpLocks noChangeShapeType="1"/>
                        </wps:cNvCnPr>
                        <wps:spPr bwMode="auto">
                          <a:xfrm flipV="1">
                            <a:off x="2998470" y="460375"/>
                            <a:ext cx="314960" cy="304800"/>
                          </a:xfrm>
                          <a:prstGeom prst="curvedConnector3">
                            <a:avLst>
                              <a:gd name="adj1" fmla="val 50102"/>
                            </a:avLst>
                          </a:prstGeom>
                          <a:noFill/>
                          <a:ln w="9525" cmpd="sng">
                            <a:solidFill>
                              <a:srgbClr val="000000"/>
                            </a:solidFill>
                            <a:prstDash val="dash"/>
                            <a:miter lim="800000"/>
                            <a:tailEnd type="arrow" w="med" len="med"/>
                          </a:ln>
                          <a:effectLst/>
                        </wps:spPr>
                        <wps:bodyPr/>
                      </wps:wsp>
                      <wps:wsp>
                        <wps:cNvPr id="2098041583" name="矩形 41"/>
                        <wps:cNvSpPr>
                          <a:spLocks noChangeArrowheads="1"/>
                        </wps:cNvSpPr>
                        <wps:spPr bwMode="auto">
                          <a:xfrm>
                            <a:off x="3293110" y="154305"/>
                            <a:ext cx="1444625" cy="677545"/>
                          </a:xfrm>
                          <a:prstGeom prst="rect">
                            <a:avLst/>
                          </a:prstGeom>
                          <a:noFill/>
                          <a:ln>
                            <a:noFill/>
                          </a:ln>
                          <a:effectLst/>
                        </wps:spPr>
                        <wps:txbx>
                          <w:txbxContent>
                            <w:p w14:paraId="24B2F70B">
                              <w:pPr>
                                <w:spacing w:after="0" w:line="240" w:lineRule="auto"/>
                                <w:rPr>
                                  <w:rFonts w:ascii="Times New Roman" w:hAnsi="Times New Roman" w:cs="Times New Roman"/>
                                </w:rPr>
                              </w:pPr>
                              <w:r>
                                <w:rPr>
                                  <w:rFonts w:ascii="Times New Roman" w:hAnsi="Times New Roman" w:cs="Times New Roman"/>
                                  <w:vertAlign w:val="superscript"/>
                                </w:rPr>
                                <w:t>238</w:t>
                              </w:r>
                              <w:r>
                                <w:rPr>
                                  <w:rFonts w:ascii="Times New Roman" w:hAnsi="Times New Roman" w:cs="Times New Roman"/>
                                </w:rPr>
                                <w:t>U：</w:t>
                              </w:r>
                              <w:r>
                                <w:rPr>
                                  <w:rFonts w:hint="eastAsia" w:ascii="Times New Roman" w:hAnsi="Times New Roman" w:cs="Times New Roman"/>
                                </w:rPr>
                                <w:t xml:space="preserve"> 3.98×10</w:t>
                              </w:r>
                              <w:r>
                                <w:rPr>
                                  <w:rFonts w:hint="eastAsia" w:ascii="Times New Roman" w:hAnsi="Times New Roman" w:cs="Times New Roman"/>
                                  <w:vertAlign w:val="superscript"/>
                                </w:rPr>
                                <w:t>11</w:t>
                              </w:r>
                            </w:p>
                            <w:p w14:paraId="00BC3465">
                              <w:pPr>
                                <w:spacing w:after="0" w:line="240" w:lineRule="auto"/>
                                <w:rPr>
                                  <w:rFonts w:ascii="Times New Roman" w:hAnsi="Times New Roman" w:cs="Times New Roman"/>
                                </w:rPr>
                              </w:pPr>
                              <w:r>
                                <w:rPr>
                                  <w:rFonts w:ascii="Times New Roman" w:hAnsi="Times New Roman" w:cs="Times New Roman"/>
                                  <w:vertAlign w:val="superscript"/>
                                </w:rPr>
                                <w:t>266</w:t>
                              </w:r>
                              <w:r>
                                <w:rPr>
                                  <w:rFonts w:ascii="Times New Roman" w:hAnsi="Times New Roman" w:cs="Times New Roman"/>
                                </w:rPr>
                                <w:t>Ra：</w:t>
                              </w:r>
                              <w:r>
                                <w:rPr>
                                  <w:rFonts w:hint="eastAsia" w:ascii="Times New Roman" w:hAnsi="Times New Roman" w:cs="Times New Roman"/>
                                </w:rPr>
                                <w:t>3.53×10</w:t>
                              </w:r>
                              <w:r>
                                <w:rPr>
                                  <w:rFonts w:hint="eastAsia" w:ascii="Times New Roman" w:hAnsi="Times New Roman" w:cs="Times New Roman"/>
                                  <w:vertAlign w:val="superscript"/>
                                </w:rPr>
                                <w:t>11</w:t>
                              </w:r>
                            </w:p>
                            <w:p w14:paraId="4F32C089">
                              <w:pPr>
                                <w:spacing w:after="0" w:line="240" w:lineRule="auto"/>
                                <w:rPr>
                                  <w:rFonts w:ascii="Times New Roman" w:hAnsi="Times New Roman" w:cs="Times New Roman"/>
                                </w:rPr>
                              </w:pPr>
                              <w:r>
                                <w:rPr>
                                  <w:rFonts w:ascii="Times New Roman" w:hAnsi="Times New Roman" w:cs="Times New Roman"/>
                                  <w:vertAlign w:val="superscript"/>
                                </w:rPr>
                                <w:t>232</w:t>
                              </w:r>
                              <w:r>
                                <w:rPr>
                                  <w:rFonts w:ascii="Times New Roman" w:hAnsi="Times New Roman" w:cs="Times New Roman"/>
                                </w:rPr>
                                <w:t>Th：</w:t>
                              </w:r>
                              <w:r>
                                <w:rPr>
                                  <w:rFonts w:hint="eastAsia" w:ascii="Times New Roman" w:hAnsi="Times New Roman" w:cs="Times New Roman"/>
                                </w:rPr>
                                <w:t>4.16×10</w:t>
                              </w:r>
                              <w:r>
                                <w:rPr>
                                  <w:rFonts w:hint="eastAsia" w:ascii="Times New Roman" w:hAnsi="Times New Roman" w:cs="Times New Roman"/>
                                  <w:vertAlign w:val="superscript"/>
                                </w:rPr>
                                <w:t>11</w:t>
                              </w:r>
                            </w:p>
                          </w:txbxContent>
                        </wps:txbx>
                        <wps:bodyPr rot="0" vert="horz" wrap="square" lIns="91440" tIns="45720" rIns="91440" bIns="45720" anchor="t" anchorCtr="0" upright="1">
                          <a:noAutofit/>
                        </wps:bodyPr>
                      </wps:wsp>
                      <wps:wsp>
                        <wps:cNvPr id="738103476" name="矩形 47"/>
                        <wps:cNvSpPr>
                          <a:spLocks noChangeArrowheads="1"/>
                        </wps:cNvSpPr>
                        <wps:spPr bwMode="auto">
                          <a:xfrm>
                            <a:off x="100330" y="1186180"/>
                            <a:ext cx="1828165" cy="280035"/>
                          </a:xfrm>
                          <a:prstGeom prst="rect">
                            <a:avLst/>
                          </a:prstGeom>
                          <a:noFill/>
                          <a:ln>
                            <a:noFill/>
                          </a:ln>
                          <a:effectLst/>
                        </wps:spPr>
                        <wps:txbx>
                          <w:txbxContent>
                            <w:p w14:paraId="5290ABCE">
                              <w:pPr>
                                <w:jc w:val="center"/>
                              </w:pPr>
                              <w:r>
                                <w:rPr>
                                  <w:rFonts w:hint="eastAsia"/>
                                </w:rPr>
                                <w:t>放射性粉尘、氡、γ</w:t>
                              </w:r>
                            </w:p>
                          </w:txbxContent>
                        </wps:txbx>
                        <wps:bodyPr rot="0" vert="horz" wrap="square" lIns="91440" tIns="45720" rIns="91440" bIns="45720" anchor="t" anchorCtr="0" upright="1">
                          <a:noAutofit/>
                        </wps:bodyPr>
                      </wps:wsp>
                      <wps:wsp>
                        <wps:cNvPr id="3" name="自选图形 40"/>
                        <wps:cNvCnPr>
                          <a:cxnSpLocks noChangeShapeType="1"/>
                          <a:stCxn id="1664788932" idx="2"/>
                        </wps:cNvCnPr>
                        <wps:spPr bwMode="auto">
                          <a:xfrm rot="5400000">
                            <a:off x="3108960" y="2933700"/>
                            <a:ext cx="333375" cy="317500"/>
                          </a:xfrm>
                          <a:prstGeom prst="curvedConnector3">
                            <a:avLst>
                              <a:gd name="adj1" fmla="val 50000"/>
                            </a:avLst>
                          </a:prstGeom>
                          <a:noFill/>
                          <a:ln w="9525" cmpd="sng">
                            <a:solidFill>
                              <a:srgbClr val="000000"/>
                            </a:solidFill>
                            <a:prstDash val="dash"/>
                            <a:miter lim="800000"/>
                            <a:tailEnd type="arrow" w="med" len="med"/>
                          </a:ln>
                          <a:effectLst/>
                        </wps:spPr>
                        <wps:bodyPr/>
                      </wps:wsp>
                      <wps:wsp>
                        <wps:cNvPr id="6" name="自选图形 40"/>
                        <wps:cNvCnPr>
                          <a:cxnSpLocks noChangeShapeType="1"/>
                        </wps:cNvCnPr>
                        <wps:spPr bwMode="auto">
                          <a:xfrm rot="5400000">
                            <a:off x="1170940" y="2952750"/>
                            <a:ext cx="333375" cy="317500"/>
                          </a:xfrm>
                          <a:prstGeom prst="curvedConnector3">
                            <a:avLst>
                              <a:gd name="adj1" fmla="val 50000"/>
                            </a:avLst>
                          </a:prstGeom>
                          <a:noFill/>
                          <a:ln w="9525" cmpd="sng">
                            <a:solidFill>
                              <a:srgbClr val="000000"/>
                            </a:solidFill>
                            <a:prstDash val="dash"/>
                            <a:miter lim="800000"/>
                            <a:tailEnd type="arrow" w="med" len="med"/>
                          </a:ln>
                          <a:effectLst/>
                        </wps:spPr>
                        <wps:bodyPr/>
                      </wps:wsp>
                      <wps:wsp>
                        <wps:cNvPr id="13" name="肘形连接符 13"/>
                        <wps:cNvCnPr/>
                        <wps:spPr>
                          <a:xfrm rot="16200000" flipV="1">
                            <a:off x="1847850" y="1227455"/>
                            <a:ext cx="1307465" cy="1505585"/>
                          </a:xfrm>
                          <a:prstGeom prst="bentConnector2">
                            <a:avLst/>
                          </a:prstGeom>
                          <a:ln>
                            <a:solidFill>
                              <a:schemeClr val="tx1"/>
                            </a:solidFill>
                            <a:prstDash val="sysDot"/>
                            <a:tailEnd type="arrow"/>
                          </a:ln>
                        </wps:spPr>
                        <wps:style>
                          <a:lnRef idx="2">
                            <a:schemeClr val="accent1"/>
                          </a:lnRef>
                          <a:fillRef idx="0">
                            <a:srgbClr val="FFFFFF"/>
                          </a:fillRef>
                          <a:effectRef idx="0">
                            <a:srgbClr val="FFFFFF"/>
                          </a:effectRef>
                          <a:fontRef idx="minor">
                            <a:schemeClr val="tx1"/>
                          </a:fontRef>
                        </wps:style>
                        <wps:bodyPr/>
                      </wps:wsp>
                      <wps:wsp>
                        <wps:cNvPr id="14" name="肘形连接符 14"/>
                        <wps:cNvCnPr/>
                        <wps:spPr>
                          <a:xfrm rot="16200000" flipV="1">
                            <a:off x="978535" y="1737995"/>
                            <a:ext cx="1172210" cy="628650"/>
                          </a:xfrm>
                          <a:prstGeom prst="bentConnector3">
                            <a:avLst>
                              <a:gd name="adj1" fmla="val 73835"/>
                            </a:avLst>
                          </a:prstGeom>
                          <a:ln>
                            <a:solidFill>
                              <a:schemeClr val="tx1"/>
                            </a:solidFill>
                            <a:prstDash val="sysDot"/>
                            <a:tailEnd type="arrow"/>
                          </a:ln>
                        </wps:spPr>
                        <wps:style>
                          <a:lnRef idx="2">
                            <a:schemeClr val="accent1"/>
                          </a:lnRef>
                          <a:fillRef idx="0">
                            <a:srgbClr val="FFFFFF"/>
                          </a:fillRef>
                          <a:effectRef idx="0">
                            <a:srgbClr val="FFFFFF"/>
                          </a:effectRef>
                          <a:fontRef idx="minor">
                            <a:schemeClr val="tx1"/>
                          </a:fontRef>
                        </wps:style>
                        <wps:bodyPr/>
                      </wps:wsp>
                      <wps:wsp>
                        <wps:cNvPr id="17" name="肘形连接符 17"/>
                        <wps:cNvCnPr/>
                        <wps:spPr>
                          <a:xfrm rot="10800000" flipV="1">
                            <a:off x="1261745" y="699770"/>
                            <a:ext cx="735330" cy="485775"/>
                          </a:xfrm>
                          <a:prstGeom prst="bentConnector2">
                            <a:avLst/>
                          </a:prstGeom>
                          <a:ln>
                            <a:solidFill>
                              <a:schemeClr val="tx1"/>
                            </a:solidFill>
                            <a:prstDash val="sysDot"/>
                            <a:tailEnd type="arrow"/>
                          </a:ln>
                        </wps:spPr>
                        <wps:style>
                          <a:lnRef idx="2">
                            <a:schemeClr val="accent1"/>
                          </a:lnRef>
                          <a:fillRef idx="0">
                            <a:srgbClr val="FFFFFF"/>
                          </a:fillRef>
                          <a:effectRef idx="0">
                            <a:srgbClr val="FFFFFF"/>
                          </a:effectRef>
                          <a:fontRef idx="minor">
                            <a:schemeClr val="tx1"/>
                          </a:fontRef>
                        </wps:style>
                        <wps:bodyPr/>
                      </wps:wsp>
                      <wps:wsp>
                        <wps:cNvPr id="18" name="矩形 41"/>
                        <wps:cNvSpPr>
                          <a:spLocks noChangeArrowheads="1"/>
                        </wps:cNvSpPr>
                        <wps:spPr bwMode="auto">
                          <a:xfrm>
                            <a:off x="2740660" y="3267075"/>
                            <a:ext cx="1444625" cy="677545"/>
                          </a:xfrm>
                          <a:prstGeom prst="rect">
                            <a:avLst/>
                          </a:prstGeom>
                          <a:noFill/>
                          <a:ln>
                            <a:noFill/>
                          </a:ln>
                          <a:effectLst/>
                        </wps:spPr>
                        <wps:txbx>
                          <w:txbxContent>
                            <w:p w14:paraId="30026471">
                              <w:pPr>
                                <w:spacing w:after="0" w:line="240" w:lineRule="auto"/>
                                <w:rPr>
                                  <w:rFonts w:ascii="Times New Roman" w:hAnsi="Times New Roman" w:cs="Times New Roman"/>
                                </w:rPr>
                              </w:pPr>
                              <w:r>
                                <w:rPr>
                                  <w:rFonts w:ascii="Times New Roman" w:hAnsi="Times New Roman" w:cs="Times New Roman"/>
                                  <w:vertAlign w:val="superscript"/>
                                </w:rPr>
                                <w:t>238</w:t>
                              </w:r>
                              <w:r>
                                <w:rPr>
                                  <w:rFonts w:ascii="Times New Roman" w:hAnsi="Times New Roman" w:cs="Times New Roman"/>
                                </w:rPr>
                                <w:t>U：</w:t>
                              </w:r>
                              <w:r>
                                <w:rPr>
                                  <w:rFonts w:hint="eastAsia" w:ascii="Times New Roman" w:hAnsi="Times New Roman" w:cs="Times New Roman"/>
                                </w:rPr>
                                <w:t xml:space="preserve"> 2.11×10</w:t>
                              </w:r>
                              <w:r>
                                <w:rPr>
                                  <w:rFonts w:hint="eastAsia" w:ascii="Times New Roman" w:hAnsi="Times New Roman" w:cs="Times New Roman"/>
                                  <w:vertAlign w:val="superscript"/>
                                </w:rPr>
                                <w:t>11</w:t>
                              </w:r>
                            </w:p>
                            <w:p w14:paraId="66D408E2">
                              <w:pPr>
                                <w:spacing w:after="0" w:line="240" w:lineRule="auto"/>
                                <w:rPr>
                                  <w:rFonts w:ascii="Times New Roman" w:hAnsi="Times New Roman" w:cs="Times New Roman"/>
                                </w:rPr>
                              </w:pPr>
                              <w:r>
                                <w:rPr>
                                  <w:rFonts w:ascii="Times New Roman" w:hAnsi="Times New Roman" w:cs="Times New Roman"/>
                                  <w:vertAlign w:val="superscript"/>
                                </w:rPr>
                                <w:t>266</w:t>
                              </w:r>
                              <w:r>
                                <w:rPr>
                                  <w:rFonts w:ascii="Times New Roman" w:hAnsi="Times New Roman" w:cs="Times New Roman"/>
                                </w:rPr>
                                <w:t>Ra：</w:t>
                              </w:r>
                              <w:r>
                                <w:rPr>
                                  <w:rFonts w:hint="eastAsia" w:ascii="Times New Roman" w:hAnsi="Times New Roman" w:cs="Times New Roman"/>
                                </w:rPr>
                                <w:t>2.34×10</w:t>
                              </w:r>
                              <w:r>
                                <w:rPr>
                                  <w:rFonts w:hint="eastAsia" w:ascii="Times New Roman" w:hAnsi="Times New Roman" w:cs="Times New Roman"/>
                                  <w:vertAlign w:val="superscript"/>
                                </w:rPr>
                                <w:t>11</w:t>
                              </w:r>
                            </w:p>
                            <w:p w14:paraId="6F65AB07">
                              <w:pPr>
                                <w:spacing w:after="0" w:line="240" w:lineRule="auto"/>
                                <w:rPr>
                                  <w:rFonts w:ascii="Times New Roman" w:hAnsi="Times New Roman" w:cs="Times New Roman"/>
                                </w:rPr>
                              </w:pPr>
                              <w:r>
                                <w:rPr>
                                  <w:rFonts w:ascii="Times New Roman" w:hAnsi="Times New Roman" w:cs="Times New Roman"/>
                                  <w:vertAlign w:val="superscript"/>
                                </w:rPr>
                                <w:t>232</w:t>
                              </w:r>
                              <w:r>
                                <w:rPr>
                                  <w:rFonts w:ascii="Times New Roman" w:hAnsi="Times New Roman" w:cs="Times New Roman"/>
                                </w:rPr>
                                <w:t>Th：</w:t>
                              </w:r>
                              <w:r>
                                <w:rPr>
                                  <w:rFonts w:hint="eastAsia" w:ascii="Times New Roman" w:hAnsi="Times New Roman" w:cs="Times New Roman"/>
                                </w:rPr>
                                <w:t>1.56×10</w:t>
                              </w:r>
                              <w:r>
                                <w:rPr>
                                  <w:rFonts w:hint="eastAsia" w:ascii="Times New Roman" w:hAnsi="Times New Roman" w:cs="Times New Roman"/>
                                  <w:vertAlign w:val="superscript"/>
                                </w:rPr>
                                <w:t>11</w:t>
                              </w:r>
                            </w:p>
                          </w:txbxContent>
                        </wps:txbx>
                        <wps:bodyPr rot="0" vert="horz" wrap="square" lIns="91440" tIns="45720" rIns="91440" bIns="45720" anchor="t" anchorCtr="0" upright="1">
                          <a:noAutofit/>
                        </wps:bodyPr>
                      </wps:wsp>
                      <wps:wsp>
                        <wps:cNvPr id="19" name="矩形 41"/>
                        <wps:cNvSpPr>
                          <a:spLocks noChangeArrowheads="1"/>
                        </wps:cNvSpPr>
                        <wps:spPr bwMode="auto">
                          <a:xfrm>
                            <a:off x="577215" y="3272790"/>
                            <a:ext cx="1444625" cy="677545"/>
                          </a:xfrm>
                          <a:prstGeom prst="rect">
                            <a:avLst/>
                          </a:prstGeom>
                          <a:noFill/>
                          <a:ln>
                            <a:noFill/>
                          </a:ln>
                          <a:effectLst/>
                        </wps:spPr>
                        <wps:txbx>
                          <w:txbxContent>
                            <w:p w14:paraId="1E384611">
                              <w:pPr>
                                <w:spacing w:after="0" w:line="240" w:lineRule="auto"/>
                                <w:rPr>
                                  <w:rFonts w:ascii="Times New Roman" w:hAnsi="Times New Roman" w:cs="Times New Roman"/>
                                </w:rPr>
                              </w:pPr>
                              <w:r>
                                <w:rPr>
                                  <w:rFonts w:ascii="Times New Roman" w:hAnsi="Times New Roman" w:cs="Times New Roman"/>
                                  <w:vertAlign w:val="superscript"/>
                                </w:rPr>
                                <w:t>238</w:t>
                              </w:r>
                              <w:r>
                                <w:rPr>
                                  <w:rFonts w:ascii="Times New Roman" w:hAnsi="Times New Roman" w:cs="Times New Roman"/>
                                </w:rPr>
                                <w:t>U：</w:t>
                              </w:r>
                              <w:r>
                                <w:rPr>
                                  <w:rFonts w:hint="eastAsia" w:ascii="Times New Roman" w:hAnsi="Times New Roman" w:cs="Times New Roman"/>
                                </w:rPr>
                                <w:t xml:space="preserve"> 4.03×10</w:t>
                              </w:r>
                              <w:r>
                                <w:rPr>
                                  <w:rFonts w:hint="eastAsia" w:ascii="Times New Roman" w:hAnsi="Times New Roman" w:cs="Times New Roman"/>
                                  <w:vertAlign w:val="superscript"/>
                                </w:rPr>
                                <w:t>10</w:t>
                              </w:r>
                            </w:p>
                            <w:p w14:paraId="6FE4C10E">
                              <w:pPr>
                                <w:spacing w:after="0" w:line="240" w:lineRule="auto"/>
                                <w:rPr>
                                  <w:rFonts w:ascii="Times New Roman" w:hAnsi="Times New Roman" w:cs="Times New Roman"/>
                                </w:rPr>
                              </w:pPr>
                              <w:r>
                                <w:rPr>
                                  <w:rFonts w:ascii="Times New Roman" w:hAnsi="Times New Roman" w:cs="Times New Roman"/>
                                  <w:vertAlign w:val="superscript"/>
                                </w:rPr>
                                <w:t>266</w:t>
                              </w:r>
                              <w:r>
                                <w:rPr>
                                  <w:rFonts w:ascii="Times New Roman" w:hAnsi="Times New Roman" w:cs="Times New Roman"/>
                                </w:rPr>
                                <w:t>Ra：</w:t>
                              </w:r>
                              <w:r>
                                <w:rPr>
                                  <w:rFonts w:hint="eastAsia" w:ascii="Times New Roman" w:hAnsi="Times New Roman" w:cs="Times New Roman"/>
                                </w:rPr>
                                <w:t>3.75×10</w:t>
                              </w:r>
                              <w:r>
                                <w:rPr>
                                  <w:rFonts w:hint="eastAsia" w:ascii="Times New Roman" w:hAnsi="Times New Roman" w:cs="Times New Roman"/>
                                  <w:vertAlign w:val="superscript"/>
                                </w:rPr>
                                <w:t>10</w:t>
                              </w:r>
                            </w:p>
                            <w:p w14:paraId="35CF2FD8">
                              <w:pPr>
                                <w:spacing w:after="0" w:line="240" w:lineRule="auto"/>
                                <w:rPr>
                                  <w:rFonts w:ascii="Times New Roman" w:hAnsi="Times New Roman" w:cs="Times New Roman"/>
                                </w:rPr>
                              </w:pPr>
                              <w:r>
                                <w:rPr>
                                  <w:rFonts w:ascii="Times New Roman" w:hAnsi="Times New Roman" w:cs="Times New Roman"/>
                                  <w:vertAlign w:val="superscript"/>
                                </w:rPr>
                                <w:t>232</w:t>
                              </w:r>
                              <w:r>
                                <w:rPr>
                                  <w:rFonts w:ascii="Times New Roman" w:hAnsi="Times New Roman" w:cs="Times New Roman"/>
                                </w:rPr>
                                <w:t>Th：</w:t>
                              </w:r>
                              <w:r>
                                <w:rPr>
                                  <w:rFonts w:hint="eastAsia" w:ascii="Times New Roman" w:hAnsi="Times New Roman" w:cs="Times New Roman"/>
                                </w:rPr>
                                <w:t>4.41×10</w:t>
                              </w:r>
                              <w:r>
                                <w:rPr>
                                  <w:rFonts w:hint="eastAsia" w:ascii="Times New Roman" w:hAnsi="Times New Roman" w:cs="Times New Roman"/>
                                  <w:vertAlign w:val="superscript"/>
                                </w:rPr>
                                <w:t>10</w:t>
                              </w:r>
                            </w:p>
                          </w:txbxContent>
                        </wps:txbx>
                        <wps:bodyPr rot="0" vert="horz" wrap="square" lIns="91440" tIns="45720" rIns="91440" bIns="45720" anchor="t" anchorCtr="0" upright="1">
                          <a:noAutofit/>
                        </wps:bodyPr>
                      </wps:wsp>
                      <wps:wsp>
                        <wps:cNvPr id="20" name="矩形 41"/>
                        <wps:cNvSpPr>
                          <a:spLocks noChangeArrowheads="1"/>
                        </wps:cNvSpPr>
                        <wps:spPr bwMode="auto">
                          <a:xfrm>
                            <a:off x="45085" y="353695"/>
                            <a:ext cx="1444625" cy="677545"/>
                          </a:xfrm>
                          <a:prstGeom prst="rect">
                            <a:avLst/>
                          </a:prstGeom>
                          <a:noFill/>
                          <a:ln>
                            <a:noFill/>
                          </a:ln>
                          <a:effectLst/>
                        </wps:spPr>
                        <wps:txbx>
                          <w:txbxContent>
                            <w:p w14:paraId="782C1C3F">
                              <w:pPr>
                                <w:spacing w:after="0" w:line="240" w:lineRule="auto"/>
                                <w:rPr>
                                  <w:rFonts w:ascii="Times New Roman" w:hAnsi="Times New Roman" w:cs="Times New Roman"/>
                                </w:rPr>
                              </w:pPr>
                              <w:r>
                                <w:rPr>
                                  <w:rFonts w:ascii="Times New Roman" w:hAnsi="Times New Roman" w:cs="Times New Roman"/>
                                  <w:vertAlign w:val="superscript"/>
                                </w:rPr>
                                <w:t>238</w:t>
                              </w:r>
                              <w:r>
                                <w:rPr>
                                  <w:rFonts w:ascii="Times New Roman" w:hAnsi="Times New Roman" w:cs="Times New Roman"/>
                                </w:rPr>
                                <w:t>U：</w:t>
                              </w:r>
                              <w:r>
                                <w:rPr>
                                  <w:rFonts w:hint="eastAsia" w:ascii="Times New Roman" w:hAnsi="Times New Roman" w:cs="Times New Roman"/>
                                </w:rPr>
                                <w:t>9.09×10</w:t>
                              </w:r>
                              <w:r>
                                <w:rPr>
                                  <w:rFonts w:hint="eastAsia" w:ascii="Times New Roman" w:hAnsi="Times New Roman" w:cs="Times New Roman"/>
                                  <w:vertAlign w:val="superscript"/>
                                </w:rPr>
                                <w:t>6</w:t>
                              </w:r>
                            </w:p>
                            <w:p w14:paraId="4F44937F">
                              <w:pPr>
                                <w:spacing w:after="0" w:line="240" w:lineRule="auto"/>
                                <w:rPr>
                                  <w:rFonts w:ascii="Times New Roman" w:hAnsi="Times New Roman" w:cs="Times New Roman"/>
                                </w:rPr>
                              </w:pPr>
                              <w:r>
                                <w:rPr>
                                  <w:rFonts w:ascii="Times New Roman" w:hAnsi="Times New Roman" w:cs="Times New Roman"/>
                                  <w:vertAlign w:val="superscript"/>
                                </w:rPr>
                                <w:t>266</w:t>
                              </w:r>
                              <w:r>
                                <w:rPr>
                                  <w:rFonts w:ascii="Times New Roman" w:hAnsi="Times New Roman" w:cs="Times New Roman"/>
                                </w:rPr>
                                <w:t>Ra：</w:t>
                              </w:r>
                              <w:r>
                                <w:rPr>
                                  <w:rFonts w:hint="eastAsia" w:ascii="Times New Roman" w:hAnsi="Times New Roman" w:cs="Times New Roman"/>
                                </w:rPr>
                                <w:t>8.07×10</w:t>
                              </w:r>
                              <w:r>
                                <w:rPr>
                                  <w:rFonts w:hint="eastAsia" w:ascii="Times New Roman" w:hAnsi="Times New Roman" w:cs="Times New Roman"/>
                                  <w:vertAlign w:val="superscript"/>
                                </w:rPr>
                                <w:t>6</w:t>
                              </w:r>
                            </w:p>
                            <w:p w14:paraId="14DB5DA9">
                              <w:pPr>
                                <w:spacing w:after="0" w:line="240" w:lineRule="auto"/>
                                <w:rPr>
                                  <w:rFonts w:ascii="Times New Roman" w:hAnsi="Times New Roman" w:cs="Times New Roman"/>
                                </w:rPr>
                              </w:pPr>
                              <w:r>
                                <w:rPr>
                                  <w:rFonts w:ascii="Times New Roman" w:hAnsi="Times New Roman" w:cs="Times New Roman"/>
                                  <w:vertAlign w:val="superscript"/>
                                </w:rPr>
                                <w:t>232</w:t>
                              </w:r>
                              <w:r>
                                <w:rPr>
                                  <w:rFonts w:ascii="Times New Roman" w:hAnsi="Times New Roman" w:cs="Times New Roman"/>
                                </w:rPr>
                                <w:t>Th：</w:t>
                              </w:r>
                              <w:r>
                                <w:rPr>
                                  <w:rFonts w:hint="eastAsia" w:ascii="Times New Roman" w:hAnsi="Times New Roman" w:cs="Times New Roman"/>
                                </w:rPr>
                                <w:t>9.52×10</w:t>
                              </w:r>
                              <w:r>
                                <w:rPr>
                                  <w:rFonts w:hint="eastAsia" w:ascii="Times New Roman" w:hAnsi="Times New Roman" w:cs="Times New Roman"/>
                                  <w:vertAlign w:val="superscript"/>
                                </w:rPr>
                                <w:t>6</w:t>
                              </w:r>
                            </w:p>
                          </w:txbxContent>
                        </wps:txbx>
                        <wps:bodyPr rot="0" vert="horz" wrap="square" lIns="91440" tIns="45720" rIns="91440" bIns="45720" anchor="t" anchorCtr="0" upright="1">
                          <a:noAutofit/>
                        </wps:bodyPr>
                      </wps:wsp>
                      <wps:wsp>
                        <wps:cNvPr id="21" name="自选图形 40"/>
                        <wps:cNvCnPr>
                          <a:cxnSpLocks noChangeShapeType="1"/>
                        </wps:cNvCnPr>
                        <wps:spPr bwMode="auto">
                          <a:xfrm rot="16200000" flipV="1">
                            <a:off x="499745" y="1025525"/>
                            <a:ext cx="241935" cy="184785"/>
                          </a:xfrm>
                          <a:prstGeom prst="curvedConnector3">
                            <a:avLst>
                              <a:gd name="adj1" fmla="val 49869"/>
                            </a:avLst>
                          </a:prstGeom>
                          <a:noFill/>
                          <a:ln w="9525" cmpd="sng">
                            <a:solidFill>
                              <a:srgbClr val="000000"/>
                            </a:solidFill>
                            <a:prstDash val="dash"/>
                            <a:miter lim="800000"/>
                            <a:tailEnd type="arrow" w="med" len="med"/>
                          </a:ln>
                          <a:effectLst/>
                        </wps:spPr>
                        <wps:bodyPr/>
                      </wps:wsp>
                    </wpc:wpc>
                  </a:graphicData>
                </a:graphic>
              </wp:inline>
            </w:drawing>
          </mc:Choice>
          <mc:Fallback>
            <w:pict>
              <v:group id="画布 16" o:spid="_x0000_s1026" o:spt="203" style="height:314.25pt;width:393pt;" coordsize="4991100,3990975" editas="canvas" o:gfxdata="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">
                <o:lock v:ext="edit" aspectratio="f"/>
                <v:shape id="画布 16" o:spid="_x0000_s1026" style="position:absolute;left:0;top:0;height:3990975;width:4991100;" filled="f" stroked="f" coordsize="21600,21600" o:gfxdata="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">
                  <v:fill on="f" focussize="0,0"/>
                  <v:stroke on="f"/>
                  <v:imagedata o:title=""/>
                  <o:lock v:ext="edit" aspectratio="t"/>
                </v:shape>
                <v:rect id="矩形 10" o:spid="_x0000_s1026" o:spt="1" style="position:absolute;left:743185;top:75995;height:295980;width:799184;" fillcolor="#FFFFFF" filled="t" stroked="f" coordsize="21600,21600" o:gfxdata="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IF8Im1AAAAAUBAAAPAAAAAAAAAAEAIAAAACIAAABkcnMvZG93bnJldi54&#10;bWxQSwECFAAUAAAACACHTuJAksFVoDcCAABQBAAADgAAAAAAAAABACAAAAAjAQAAZHJzL2Uyb0Rv&#10;Yy54bWxQSwUGAAAAAAYABgBZAQAAzAUAAAAA&#10;">
                  <v:fill on="t" focussize="0,0"/>
                  <v:stroke on="f"/>
                  <v:imagedata o:title=""/>
                  <o:lock v:ext="edit" aspectratio="f"/>
                  <v:textbox>
                    <w:txbxContent>
                      <w:p w14:paraId="0BFA0D99">
                        <w:pPr>
                          <w:jc w:val="center"/>
                        </w:pPr>
                        <w:r>
                          <w:rPr>
                            <w:rFonts w:hint="eastAsia"/>
                          </w:rPr>
                          <w:t>原料毛矿</w:t>
                        </w:r>
                      </w:p>
                    </w:txbxContent>
                  </v:textbox>
                </v:rect>
                <v:rect id="矩形 11" o:spid="_x0000_s1026" o:spt="1" style="position:absolute;left:2023159;top:562362;height:291980;width:958381;" fillcolor="#FFFFFF" filled="t" stroked="t" coordsize="21600,21600" o:gfxdata="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Au4NeNQAAAAF&#10;AQAADwAAAAAAAAABACAAAAAiAAAAZHJzL2Rvd25yZXYueG1sUEsBAhQAFAAAAAgAh07iQHD/0B9Z&#10;AgAApwQAAA4AAAAAAAAAAQAgAAAAIwEAAGRycy9lMm9Eb2MueG1sUEsFBgAAAAAGAAYAWQEAAO4F&#10;AAAAAA==&#10;">
                  <v:fill on="t" focussize="0,0"/>
                  <v:stroke color="#000000" miterlimit="8" joinstyle="miter"/>
                  <v:imagedata o:title=""/>
                  <o:lock v:ext="edit" aspectratio="f"/>
                  <v:textbox>
                    <w:txbxContent>
                      <w:p w14:paraId="766C47C6">
                        <w:pPr>
                          <w:jc w:val="center"/>
                        </w:pPr>
                        <w:r>
                          <w:rPr>
                            <w:rFonts w:hint="eastAsia"/>
                          </w:rPr>
                          <w:t>原料堆场</w:t>
                        </w:r>
                      </w:p>
                    </w:txbxContent>
                  </v:textbox>
                </v:rect>
                <v:rect id="矩形 14" o:spid="_x0000_s1026" o:spt="1" style="position:absolute;left:2031365;top:1722120;height:291465;width:951865;" fillcolor="#FFFFFF" filled="t" stroked="t" coordsize="21600,21600" o:gfxdata="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C7g141AAAAAUBAAAPAAAA&#10;AAAAAAEAIAAAACIAAABkcnMvZG93bnJldi54bWxQSwECFAAUAAAACACHTuJACuF7PFICAACnBAAA&#10;DgAAAAAAAAABACAAAAAjAQAAZHJzL2Uyb0RvYy54bWxQSwUGAAAAAAYABgBZAQAA5wUAAAAA&#10;">
                  <v:fill on="t" focussize="0,0"/>
                  <v:stroke color="#000000" miterlimit="8" joinstyle="miter"/>
                  <v:imagedata o:title=""/>
                  <o:lock v:ext="edit" aspectratio="f"/>
                  <v:textbox>
                    <w:txbxContent>
                      <w:p w14:paraId="32B46EAB">
                        <w:pPr>
                          <w:jc w:val="center"/>
                        </w:pPr>
                        <w:r>
                          <w:rPr>
                            <w:rFonts w:hint="eastAsia"/>
                          </w:rPr>
                          <w:t>烘干、磁选</w:t>
                        </w:r>
                      </w:p>
                    </w:txbxContent>
                  </v:textbox>
                </v:rect>
                <v:rect id="矩形 15" o:spid="_x0000_s1026" o:spt="1" style="position:absolute;left:1038225;top:2632710;height:290830;width:950595;" fillcolor="#FFFFFF" filled="t" stroked="t" coordsize="21600,21600" o:gfxdata="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Au4NeNQAAAAFAQAA&#10;DwAAAAAAAAABACAAAAAiAAAAZHJzL2Rvd25yZXYueG1sUEsBAhQAFAAAAAgAh07iQLMJJgBWAgAA&#10;pwQAAA4AAAAAAAAAAQAgAAAAIwEAAGRycy9lMm9Eb2MueG1sUEsFBgAAAAAGAAYAWQEAAOsFAAAA&#10;AA==&#10;">
                  <v:fill on="t" focussize="0,0"/>
                  <v:stroke color="#000000" miterlimit="8" joinstyle="miter"/>
                  <v:imagedata o:title=""/>
                  <o:lock v:ext="edit" aspectratio="f"/>
                  <v:textbox>
                    <w:txbxContent>
                      <w:p w14:paraId="45B15A26">
                        <w:pPr>
                          <w:jc w:val="center"/>
                        </w:pPr>
                        <w:r>
                          <w:rPr>
                            <w:rFonts w:hint="eastAsia"/>
                          </w:rPr>
                          <w:t>精矿堆场</w:t>
                        </w:r>
                      </w:p>
                    </w:txbxContent>
                  </v:textbox>
                </v:rect>
                <v:rect id="矩形 16" o:spid="_x0000_s1026" o:spt="1" style="position:absolute;left:2957830;top:2633980;height:292100;width:952500;" fillcolor="#FFFFFF" filled="t" stroked="t" coordsize="21600,21600" o:gfxdata="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Au4NeNQAAAAFAQAADwAA&#10;AAAAAAABACAAAAAiAAAAZHJzL2Rvd25yZXYueG1sUEsBAhQAFAAAAAgAh07iQAymh/VTAgAAqAQA&#10;AA4AAAAAAAAAAQAgAAAAIwEAAGRycy9lMm9Eb2MueG1sUEsFBgAAAAAGAAYAWQEAAOgFAAAAAA==&#10;">
                  <v:fill on="t" focussize="0,0"/>
                  <v:stroke color="#000000" miterlimit="8" joinstyle="miter"/>
                  <v:imagedata o:title=""/>
                  <o:lock v:ext="edit" aspectratio="f"/>
                  <v:textbox>
                    <w:txbxContent>
                      <w:p w14:paraId="01B6B7C7">
                        <w:pPr>
                          <w:jc w:val="center"/>
                        </w:pPr>
                        <w:r>
                          <w:rPr>
                            <w:rFonts w:hint="eastAsia"/>
                          </w:rPr>
                          <w:t>锆中矿堆场</w:t>
                        </w:r>
                      </w:p>
                    </w:txbxContent>
                  </v:textbox>
                </v:rect>
                <v:shape id="自选图形 18" o:spid="_x0000_s1026" o:spt="33" type="#_x0000_t33" style="position:absolute;left:1541569;top:188787;height:373575;width:960781;" filled="f" stroked="t" coordsize="21600,21600" o:gfxdata="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8CJJy0wAAAAUBAAAPAAAAAAAAAAEAIAAAACIAAABkcnMvZG93bnJldi54bWxQSwECFAAUAAAA&#10;CACHTuJABNeubiwCAAAaBAAADgAAAAAAAAABACAAAAAiAQAAZHJzL2Uyb0RvYy54bWxQSwUGAAAA&#10;AAYABgBZAQAAwAUAAAAA&#10;">
                  <v:fill on="f" focussize="0,0"/>
                  <v:stroke color="#000000" miterlimit="8" joinstyle="miter" endarrow="open"/>
                  <v:imagedata o:title=""/>
                  <o:lock v:ext="edit" aspectratio="f"/>
                </v:shape>
                <v:shape id="自选图形 22" o:spid="_x0000_s1026" o:spt="32" type="#_x0000_t32" style="position:absolute;left:2502350;top:854343;height:868045;width:5080;" filled="f" stroked="t" coordsize="21600,21600" o:gfxdata="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Zw5Xu9cAAAAFAQAADwAAAAAAAAABACAAAAAiAAAAZHJz&#10;L2Rvd25yZXYueG1sUEsBAhQAFAAAAAgAh07iQGUNL6Q+AgAAPwQAAA4AAAAAAAAAAQAgAAAAJgEA&#10;AGRycy9lMm9Eb2MueG1sUEsFBgAAAAAGAAYAWQEAANYFAAAAAA==&#10;">
                  <v:fill on="f" focussize="0,0"/>
                  <v:stroke color="#000000" miterlimit="8" joinstyle="miter" endarrow="open"/>
                  <v:imagedata o:title=""/>
                  <o:lock v:ext="edit" aspectratio="f"/>
                </v:shape>
                <v:shape id="自选图形 25" o:spid="_x0000_s1026" o:spt="34" type="#_x0000_t34" style="position:absolute;left:1703070;top:1823720;height:998220;width:619125;rotation:5898240f;" filled="f" stroked="t" coordsize="21600,21600" o:gfxdata="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RdQFaNUAAAAFAQAADwAAAAAAAAAB&#10;ACAAAAAiAAAAZHJzL2Rvd25yZXYueG1sUEsBAhQAFAAAAAgAh07iQIg9YG5MAgAAVwQAAA4AAAAA&#10;AAAAAQAgAAAAJAEAAGRycy9lMm9Eb2MueG1sUEsFBgAAAAAGAAYAWQEAAOIFAAAAAA==&#10;" adj="10800">
                  <v:fill on="f" focussize="0,0"/>
                  <v:stroke color="#000000" miterlimit="8" joinstyle="miter" endarrow="open"/>
                  <v:imagedata o:title=""/>
                  <o:lock v:ext="edit" aspectratio="f"/>
                </v:shape>
                <v:shape id="自选图形 26" o:spid="_x0000_s1026" o:spt="34" type="#_x0000_t34" style="position:absolute;left:2660650;top:1861185;flip:y;height:920750;width:621030;rotation:-5898240f;" filled="f" stroked="t" coordsize="21600,21600" o:gfxdata="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KSfUY1AAAAAUBAAAP&#10;AAAAAAAAAAEAIAAAACIAAABkcnMvZG93bnJldi54bWxQSwECFAAUAAAACACHTuJAwkFnrlUCAABh&#10;BAAADgAAAAAAAAABACAAAAAjAQAAZHJzL2Uyb0RvYy54bWxQSwUGAAAAAAYABgBZAQAA6gUAAAAA&#10;" adj="10789">
                  <v:fill on="f" focussize="0,0"/>
                  <v:stroke color="#000000" miterlimit="8" joinstyle="miter" endarrow="open"/>
                  <v:imagedata o:title=""/>
                  <o:lock v:ext="edit" aspectratio="f"/>
                </v:shape>
                <v:rect id="矩形 33" o:spid="_x0000_s1026" o:spt="1" style="position:absolute;left:988695;top:2033905;height:292735;width:1071880;" filled="f" stroked="f" coordsize="21600,21600" o:gfxdata="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eO&#10;F63WAAAABQEAAA8AAAAAAAAAAQAgAAAAIgAAAGRycy9kb3ducmV2LnhtbFBLAQIUABQAAAAIAIdO&#10;4kDUyZpZJQIAACsEAAAOAAAAAAAAAAEAIAAAACUBAABkcnMvZTJvRG9jLnhtbFBLBQYAAAAABgAG&#10;AFkBAAC8BQAAAAA=&#10;">
                  <v:fill on="f" focussize="0,0"/>
                  <v:stroke on="f"/>
                  <v:imagedata o:title=""/>
                  <o:lock v:ext="edit" aspectratio="f"/>
                  <v:textbox>
                    <w:txbxContent>
                      <w:p w14:paraId="101C350C">
                        <w:pPr>
                          <w:jc w:val="center"/>
                        </w:pPr>
                        <w:r>
                          <w:rPr>
                            <w:rFonts w:hint="eastAsia"/>
                          </w:rPr>
                          <w:t>钛铁精矿</w:t>
                        </w:r>
                      </w:p>
                    </w:txbxContent>
                  </v:textbox>
                </v:rect>
                <v:rect id="矩形 34" o:spid="_x0000_s1026" o:spt="1" style="position:absolute;left:3056890;top:2035810;height:292735;width:1068070;" filled="f" stroked="f" coordsize="21600,21600" o:gfxdata="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eO&#10;F63WAAAABQEAAA8AAAAAAAAAAQAgAAAAIgAAAGRycy9kb3ducmV2LnhtbFBLAQIUABQAAAAIAIdO&#10;4kDcwePKJQIAACwEAAAOAAAAAAAAAAEAIAAAACUBAABkcnMvZTJvRG9jLnhtbFBLBQYAAAAABgAG&#10;AFkBAAC8BQAAAAA=&#10;">
                  <v:fill on="f" focussize="0,0"/>
                  <v:stroke on="f"/>
                  <v:imagedata o:title=""/>
                  <o:lock v:ext="edit" aspectratio="f"/>
                  <v:textbox>
                    <w:txbxContent>
                      <w:p w14:paraId="1932F332">
                        <w:pPr>
                          <w:jc w:val="center"/>
                        </w:pPr>
                        <w:r>
                          <w:rPr>
                            <w:rFonts w:hint="eastAsia"/>
                          </w:rPr>
                          <w:t>锆中矿</w:t>
                        </w:r>
                      </w:p>
                    </w:txbxContent>
                  </v:textbox>
                </v:rect>
                <v:shape id="自选图形 40" o:spid="_x0000_s1026" o:spt="38" type="#_x0000_t38" style="position:absolute;left:2998470;top:460375;flip:y;height:304800;width:314960;" filled="f" stroked="t" coordsize="21600,21600" o:gfxdata="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9tc1P&#10;1QAAAAUBAAAPAAAAAAAAAAEAIAAAACIAAABkcnMvZG93bnJldi54bWxQSwECFAAUAAAACACHTuJA&#10;+5CIoF0CAABsBAAADgAAAAAAAAABACAAAAAkAQAAZHJzL2Uyb0RvYy54bWxQSwUGAAAAAAYABgBZ&#10;AQAA8wUAAAAA&#10;" adj="10822">
                  <v:fill on="f" focussize="0,0"/>
                  <v:stroke color="#000000" miterlimit="8" joinstyle="miter" dashstyle="dash" endarrow="open"/>
                  <v:imagedata o:title=""/>
                  <o:lock v:ext="edit" aspectratio="f"/>
                </v:shape>
                <v:rect id="矩形 41" o:spid="_x0000_s1026" o:spt="1" style="position:absolute;left:3293110;top:154305;height:677545;width:1444625;" filled="f" stroked="f" coordsize="21600,21600" o:gfxdata="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eO&#10;F63WAAAABQEAAA8AAAAAAAAAAQAgAAAAIgAAAGRycy9kb3ducmV2LnhtbFBLAQIUABQAAAAIAIdO&#10;4kBYYUs9JQIAACsEAAAOAAAAAAAAAAEAIAAAACUBAABkcnMvZTJvRG9jLnhtbFBLBQYAAAAABgAG&#10;AFkBAAC8BQAAAAA=&#10;">
                  <v:fill on="f" focussize="0,0"/>
                  <v:stroke on="f"/>
                  <v:imagedata o:title=""/>
                  <o:lock v:ext="edit" aspectratio="f"/>
                  <v:textbox>
                    <w:txbxContent>
                      <w:p w14:paraId="24B2F70B">
                        <w:pPr>
                          <w:spacing w:after="0" w:line="240" w:lineRule="auto"/>
                          <w:rPr>
                            <w:rFonts w:ascii="Times New Roman" w:hAnsi="Times New Roman" w:cs="Times New Roman"/>
                          </w:rPr>
                        </w:pPr>
                        <w:r>
                          <w:rPr>
                            <w:rFonts w:ascii="Times New Roman" w:hAnsi="Times New Roman" w:cs="Times New Roman"/>
                            <w:vertAlign w:val="superscript"/>
                          </w:rPr>
                          <w:t>238</w:t>
                        </w:r>
                        <w:r>
                          <w:rPr>
                            <w:rFonts w:ascii="Times New Roman" w:hAnsi="Times New Roman" w:cs="Times New Roman"/>
                          </w:rPr>
                          <w:t>U：</w:t>
                        </w:r>
                        <w:r>
                          <w:rPr>
                            <w:rFonts w:hint="eastAsia" w:ascii="Times New Roman" w:hAnsi="Times New Roman" w:cs="Times New Roman"/>
                          </w:rPr>
                          <w:t xml:space="preserve"> 3.98×10</w:t>
                        </w:r>
                        <w:r>
                          <w:rPr>
                            <w:rFonts w:hint="eastAsia" w:ascii="Times New Roman" w:hAnsi="Times New Roman" w:cs="Times New Roman"/>
                            <w:vertAlign w:val="superscript"/>
                          </w:rPr>
                          <w:t>11</w:t>
                        </w:r>
                      </w:p>
                      <w:p w14:paraId="00BC3465">
                        <w:pPr>
                          <w:spacing w:after="0" w:line="240" w:lineRule="auto"/>
                          <w:rPr>
                            <w:rFonts w:ascii="Times New Roman" w:hAnsi="Times New Roman" w:cs="Times New Roman"/>
                          </w:rPr>
                        </w:pPr>
                        <w:r>
                          <w:rPr>
                            <w:rFonts w:ascii="Times New Roman" w:hAnsi="Times New Roman" w:cs="Times New Roman"/>
                            <w:vertAlign w:val="superscript"/>
                          </w:rPr>
                          <w:t>266</w:t>
                        </w:r>
                        <w:r>
                          <w:rPr>
                            <w:rFonts w:ascii="Times New Roman" w:hAnsi="Times New Roman" w:cs="Times New Roman"/>
                          </w:rPr>
                          <w:t>Ra：</w:t>
                        </w:r>
                        <w:r>
                          <w:rPr>
                            <w:rFonts w:hint="eastAsia" w:ascii="Times New Roman" w:hAnsi="Times New Roman" w:cs="Times New Roman"/>
                          </w:rPr>
                          <w:t>3.53×10</w:t>
                        </w:r>
                        <w:r>
                          <w:rPr>
                            <w:rFonts w:hint="eastAsia" w:ascii="Times New Roman" w:hAnsi="Times New Roman" w:cs="Times New Roman"/>
                            <w:vertAlign w:val="superscript"/>
                          </w:rPr>
                          <w:t>11</w:t>
                        </w:r>
                      </w:p>
                      <w:p w14:paraId="4F32C089">
                        <w:pPr>
                          <w:spacing w:after="0" w:line="240" w:lineRule="auto"/>
                          <w:rPr>
                            <w:rFonts w:ascii="Times New Roman" w:hAnsi="Times New Roman" w:cs="Times New Roman"/>
                          </w:rPr>
                        </w:pPr>
                        <w:r>
                          <w:rPr>
                            <w:rFonts w:ascii="Times New Roman" w:hAnsi="Times New Roman" w:cs="Times New Roman"/>
                            <w:vertAlign w:val="superscript"/>
                          </w:rPr>
                          <w:t>232</w:t>
                        </w:r>
                        <w:r>
                          <w:rPr>
                            <w:rFonts w:ascii="Times New Roman" w:hAnsi="Times New Roman" w:cs="Times New Roman"/>
                          </w:rPr>
                          <w:t>Th：</w:t>
                        </w:r>
                        <w:r>
                          <w:rPr>
                            <w:rFonts w:hint="eastAsia" w:ascii="Times New Roman" w:hAnsi="Times New Roman" w:cs="Times New Roman"/>
                          </w:rPr>
                          <w:t>4.16×10</w:t>
                        </w:r>
                        <w:r>
                          <w:rPr>
                            <w:rFonts w:hint="eastAsia" w:ascii="Times New Roman" w:hAnsi="Times New Roman" w:cs="Times New Roman"/>
                            <w:vertAlign w:val="superscript"/>
                          </w:rPr>
                          <w:t>11</w:t>
                        </w:r>
                      </w:p>
                    </w:txbxContent>
                  </v:textbox>
                </v:rect>
                <v:rect id="矩形 47" o:spid="_x0000_s1026" o:spt="1" style="position:absolute;left:100330;top:1186180;height:280035;width:1828165;" filled="f" stroked="f" coordsize="21600,21600" o:gfxdata="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x44XrdYA&#10;AAAFAQAADwAAAAAAAAABACAAAAAiAAAAZHJzL2Rvd25yZXYueG1sUEsBAhQAFAAAAAgAh07iQGw5&#10;Jm4hAgAAKgQAAA4AAAAAAAAAAQAgAAAAJQEAAGRycy9lMm9Eb2MueG1sUEsFBgAAAAAGAAYAWQEA&#10;ALgFAAAAAA==&#10;">
                  <v:fill on="f" focussize="0,0"/>
                  <v:stroke on="f"/>
                  <v:imagedata o:title=""/>
                  <o:lock v:ext="edit" aspectratio="f"/>
                  <v:textbox>
                    <w:txbxContent>
                      <w:p w14:paraId="5290ABCE">
                        <w:pPr>
                          <w:jc w:val="center"/>
                        </w:pPr>
                        <w:r>
                          <w:rPr>
                            <w:rFonts w:hint="eastAsia"/>
                          </w:rPr>
                          <w:t>放射性粉尘、氡、γ</w:t>
                        </w:r>
                      </w:p>
                    </w:txbxContent>
                  </v:textbox>
                </v:rect>
                <v:shape id="自选图形 40" o:spid="_x0000_s1026" o:spt="38" type="#_x0000_t38" style="position:absolute;left:3108960;top:2933700;height:317500;width:333375;rotation:5898240f;" filled="f" stroked="t" coordsize="21600,21600" o:gfxdata="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nF8x/tQAAAAFAQAADwAAAAAAAAABACAAAAAiAAAAZHJzL2Rvd25yZXYueG1sUEsBAhQAFAAA&#10;AAgAh07iQDXRyqllAgAAigQAAA4AAAAAAAAAAQAgAAAAIwEAAGRycy9lMm9Eb2MueG1sUEsFBgAA&#10;AAAGAAYAWQEAAPoFAAAAAA==&#10;" adj="10800">
                  <v:fill on="f" focussize="0,0"/>
                  <v:stroke color="#000000" miterlimit="8" joinstyle="miter" dashstyle="dash" endarrow="open"/>
                  <v:imagedata o:title=""/>
                  <o:lock v:ext="edit" aspectratio="f"/>
                </v:shape>
                <v:shape id="自选图形 40" o:spid="_x0000_s1026" o:spt="38" type="#_x0000_t38" style="position:absolute;left:1170940;top:2952750;height:317500;width:333375;rotation:5898240f;" filled="f" stroked="t" coordsize="21600,21600" o:gfxdata="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nF8x/tQAAAAFAQAADwAAAAAA&#10;AAABACAAAAAiAAAAZHJzL2Rvd25yZXYueG1sUEsBAhQAFAAAAAgAh07iQGix1uhQAgAAaAQAAA4A&#10;AAAAAAAAAQAgAAAAIwEAAGRycy9lMm9Eb2MueG1sUEsFBgAAAAAGAAYAWQEAAOUFAAAAAA==&#10;" adj="10800">
                  <v:fill on="f" focussize="0,0"/>
                  <v:stroke color="#000000" miterlimit="8" joinstyle="miter" dashstyle="dash" endarrow="open"/>
                  <v:imagedata o:title=""/>
                  <o:lock v:ext="edit" aspectratio="f"/>
                </v:shape>
                <v:shape id="_x0000_s1026" o:spid="_x0000_s1026" o:spt="33" type="#_x0000_t33" style="position:absolute;left:1847850;top:1227455;flip:y;height:1505585;width:1307465;rotation:5898240f;" filled="f" stroked="t" coordsize="21600,21600" o:gfxdata="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FwGVQ1AAA&#10;AAUBAAAPAAAAAAAAAAEAIAAAACIAAABkcnMvZG93bnJldi54bWxQSwECFAAUAAAACACHTuJAEoXV&#10;zCICAAADBAAADgAAAAAAAAABACAAAAAjAQAAZHJzL2Uyb0RvYy54bWxQSwUGAAAAAAYABgBZAQAA&#10;twUAAAAA&#10;">
                  <v:fill on="f" focussize="0,0"/>
                  <v:stroke weight="1pt" color="#000000 [3213]" miterlimit="8" joinstyle="miter" dashstyle="1 1" endarrow="open"/>
                  <v:imagedata o:title=""/>
                  <o:lock v:ext="edit" aspectratio="f"/>
                </v:shape>
                <v:shape id="_x0000_s1026" o:spid="_x0000_s1026" o:spt="34" type="#_x0000_t34" style="position:absolute;left:978535;top:1737995;flip:y;height:628650;width:1172210;rotation:5898240f;" filled="f" stroked="t" coordsize="21600,21600" o:gfxdata="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0CCEr0wAAAAUBAAAPAAAAAAAAAAEAIAAAACIAAABkcnMvZG93bnJl&#10;di54bWxQSwECFAAUAAAACACHTuJAwIk09zsCAAAuBAAADgAAAAAAAAABACAAAAAiAQAAZHJzL2Uy&#10;b0RvYy54bWxQSwUGAAAAAAYABgBZAQAAzwUAAAAA&#10;" adj="15948">
                  <v:fill on="f" focussize="0,0"/>
                  <v:stroke weight="1pt" color="#000000 [3213]" miterlimit="8" joinstyle="miter" dashstyle="1 1" endarrow="open"/>
                  <v:imagedata o:title=""/>
                  <o:lock v:ext="edit" aspectratio="f"/>
                </v:shape>
                <v:shape id="_x0000_s1026" o:spid="_x0000_s1026" o:spt="33" type="#_x0000_t33" style="position:absolute;left:1261745;top:699770;flip:y;height:485775;width:735330;rotation:11796480f;" filled="f" stroked="t" coordsize="21600,21600" o:gfxdata="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yMzUy1AAA&#10;AAUBAAAPAAAAAAAAAAEAIAAAACIAAABkcnMvZG93bnJldi54bWxQSwECFAAUAAAACACHTuJAuMNQ&#10;wSICAAAABAAADgAAAAAAAAABACAAAAAjAQAAZHJzL2Uyb0RvYy54bWxQSwUGAAAAAAYABgBZAQAA&#10;twUAAAAA&#10;">
                  <v:fill on="f" focussize="0,0"/>
                  <v:stroke weight="1pt" color="#000000 [3213]" miterlimit="8" joinstyle="miter" dashstyle="1 1" endarrow="open"/>
                  <v:imagedata o:title=""/>
                  <o:lock v:ext="edit" aspectratio="f"/>
                </v:shape>
                <v:rect id="矩形 41" o:spid="_x0000_s1026" o:spt="1" style="position:absolute;left:2740660;top:3267075;height:677545;width:1444625;" filled="f" stroked="f" coordsize="21600,21600" o:gfxdata="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44XrdYAAAAF&#10;AQAADwAAAAAAAAABACAAAAAiAAAAZHJzL2Rvd25yZXYueG1sUEsBAhQAFAAAAAgAh07iQPJx43oe&#10;AgAAJAQAAA4AAAAAAAAAAQAgAAAAJQEAAGRycy9lMm9Eb2MueG1sUEsFBgAAAAAGAAYAWQEAALUF&#10;AAAAAA==&#10;">
                  <v:fill on="f" focussize="0,0"/>
                  <v:stroke on="f"/>
                  <v:imagedata o:title=""/>
                  <o:lock v:ext="edit" aspectratio="f"/>
                  <v:textbox>
                    <w:txbxContent>
                      <w:p w14:paraId="30026471">
                        <w:pPr>
                          <w:spacing w:after="0" w:line="240" w:lineRule="auto"/>
                          <w:rPr>
                            <w:rFonts w:ascii="Times New Roman" w:hAnsi="Times New Roman" w:cs="Times New Roman"/>
                          </w:rPr>
                        </w:pPr>
                        <w:r>
                          <w:rPr>
                            <w:rFonts w:ascii="Times New Roman" w:hAnsi="Times New Roman" w:cs="Times New Roman"/>
                            <w:vertAlign w:val="superscript"/>
                          </w:rPr>
                          <w:t>238</w:t>
                        </w:r>
                        <w:r>
                          <w:rPr>
                            <w:rFonts w:ascii="Times New Roman" w:hAnsi="Times New Roman" w:cs="Times New Roman"/>
                          </w:rPr>
                          <w:t>U：</w:t>
                        </w:r>
                        <w:r>
                          <w:rPr>
                            <w:rFonts w:hint="eastAsia" w:ascii="Times New Roman" w:hAnsi="Times New Roman" w:cs="Times New Roman"/>
                          </w:rPr>
                          <w:t xml:space="preserve"> 2.11×10</w:t>
                        </w:r>
                        <w:r>
                          <w:rPr>
                            <w:rFonts w:hint="eastAsia" w:ascii="Times New Roman" w:hAnsi="Times New Roman" w:cs="Times New Roman"/>
                            <w:vertAlign w:val="superscript"/>
                          </w:rPr>
                          <w:t>11</w:t>
                        </w:r>
                      </w:p>
                      <w:p w14:paraId="66D408E2">
                        <w:pPr>
                          <w:spacing w:after="0" w:line="240" w:lineRule="auto"/>
                          <w:rPr>
                            <w:rFonts w:ascii="Times New Roman" w:hAnsi="Times New Roman" w:cs="Times New Roman"/>
                          </w:rPr>
                        </w:pPr>
                        <w:r>
                          <w:rPr>
                            <w:rFonts w:ascii="Times New Roman" w:hAnsi="Times New Roman" w:cs="Times New Roman"/>
                            <w:vertAlign w:val="superscript"/>
                          </w:rPr>
                          <w:t>266</w:t>
                        </w:r>
                        <w:r>
                          <w:rPr>
                            <w:rFonts w:ascii="Times New Roman" w:hAnsi="Times New Roman" w:cs="Times New Roman"/>
                          </w:rPr>
                          <w:t>Ra：</w:t>
                        </w:r>
                        <w:r>
                          <w:rPr>
                            <w:rFonts w:hint="eastAsia" w:ascii="Times New Roman" w:hAnsi="Times New Roman" w:cs="Times New Roman"/>
                          </w:rPr>
                          <w:t>2.34×10</w:t>
                        </w:r>
                        <w:r>
                          <w:rPr>
                            <w:rFonts w:hint="eastAsia" w:ascii="Times New Roman" w:hAnsi="Times New Roman" w:cs="Times New Roman"/>
                            <w:vertAlign w:val="superscript"/>
                          </w:rPr>
                          <w:t>11</w:t>
                        </w:r>
                      </w:p>
                      <w:p w14:paraId="6F65AB07">
                        <w:pPr>
                          <w:spacing w:after="0" w:line="240" w:lineRule="auto"/>
                          <w:rPr>
                            <w:rFonts w:ascii="Times New Roman" w:hAnsi="Times New Roman" w:cs="Times New Roman"/>
                          </w:rPr>
                        </w:pPr>
                        <w:r>
                          <w:rPr>
                            <w:rFonts w:ascii="Times New Roman" w:hAnsi="Times New Roman" w:cs="Times New Roman"/>
                            <w:vertAlign w:val="superscript"/>
                          </w:rPr>
                          <w:t>232</w:t>
                        </w:r>
                        <w:r>
                          <w:rPr>
                            <w:rFonts w:ascii="Times New Roman" w:hAnsi="Times New Roman" w:cs="Times New Roman"/>
                          </w:rPr>
                          <w:t>Th：</w:t>
                        </w:r>
                        <w:r>
                          <w:rPr>
                            <w:rFonts w:hint="eastAsia" w:ascii="Times New Roman" w:hAnsi="Times New Roman" w:cs="Times New Roman"/>
                          </w:rPr>
                          <w:t>1.56×10</w:t>
                        </w:r>
                        <w:r>
                          <w:rPr>
                            <w:rFonts w:hint="eastAsia" w:ascii="Times New Roman" w:hAnsi="Times New Roman" w:cs="Times New Roman"/>
                            <w:vertAlign w:val="superscript"/>
                          </w:rPr>
                          <w:t>11</w:t>
                        </w:r>
                      </w:p>
                    </w:txbxContent>
                  </v:textbox>
                </v:rect>
                <v:rect id="矩形 41" o:spid="_x0000_s1026" o:spt="1" style="position:absolute;left:577215;top:3272790;height:677545;width:1444625;" filled="f" stroked="f" coordsize="21600,21600" o:gfxdata="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Hjhet1gAAAAUB&#10;AAAPAAAAAAAAAAEAIAAAACIAAABkcnMvZG93bnJldi54bWxQSwECFAAUAAAACACHTuJATBSoVh0C&#10;AAAjBAAADgAAAAAAAAABACAAAAAlAQAAZHJzL2Uyb0RvYy54bWxQSwUGAAAAAAYABgBZAQAAtAUA&#10;AAAA&#10;">
                  <v:fill on="f" focussize="0,0"/>
                  <v:stroke on="f"/>
                  <v:imagedata o:title=""/>
                  <o:lock v:ext="edit" aspectratio="f"/>
                  <v:textbox>
                    <w:txbxContent>
                      <w:p w14:paraId="1E384611">
                        <w:pPr>
                          <w:spacing w:after="0" w:line="240" w:lineRule="auto"/>
                          <w:rPr>
                            <w:rFonts w:ascii="Times New Roman" w:hAnsi="Times New Roman" w:cs="Times New Roman"/>
                          </w:rPr>
                        </w:pPr>
                        <w:r>
                          <w:rPr>
                            <w:rFonts w:ascii="Times New Roman" w:hAnsi="Times New Roman" w:cs="Times New Roman"/>
                            <w:vertAlign w:val="superscript"/>
                          </w:rPr>
                          <w:t>238</w:t>
                        </w:r>
                        <w:r>
                          <w:rPr>
                            <w:rFonts w:ascii="Times New Roman" w:hAnsi="Times New Roman" w:cs="Times New Roman"/>
                          </w:rPr>
                          <w:t>U：</w:t>
                        </w:r>
                        <w:r>
                          <w:rPr>
                            <w:rFonts w:hint="eastAsia" w:ascii="Times New Roman" w:hAnsi="Times New Roman" w:cs="Times New Roman"/>
                          </w:rPr>
                          <w:t xml:space="preserve"> 4.03×10</w:t>
                        </w:r>
                        <w:r>
                          <w:rPr>
                            <w:rFonts w:hint="eastAsia" w:ascii="Times New Roman" w:hAnsi="Times New Roman" w:cs="Times New Roman"/>
                            <w:vertAlign w:val="superscript"/>
                          </w:rPr>
                          <w:t>10</w:t>
                        </w:r>
                      </w:p>
                      <w:p w14:paraId="6FE4C10E">
                        <w:pPr>
                          <w:spacing w:after="0" w:line="240" w:lineRule="auto"/>
                          <w:rPr>
                            <w:rFonts w:ascii="Times New Roman" w:hAnsi="Times New Roman" w:cs="Times New Roman"/>
                          </w:rPr>
                        </w:pPr>
                        <w:r>
                          <w:rPr>
                            <w:rFonts w:ascii="Times New Roman" w:hAnsi="Times New Roman" w:cs="Times New Roman"/>
                            <w:vertAlign w:val="superscript"/>
                          </w:rPr>
                          <w:t>266</w:t>
                        </w:r>
                        <w:r>
                          <w:rPr>
                            <w:rFonts w:ascii="Times New Roman" w:hAnsi="Times New Roman" w:cs="Times New Roman"/>
                          </w:rPr>
                          <w:t>Ra：</w:t>
                        </w:r>
                        <w:r>
                          <w:rPr>
                            <w:rFonts w:hint="eastAsia" w:ascii="Times New Roman" w:hAnsi="Times New Roman" w:cs="Times New Roman"/>
                          </w:rPr>
                          <w:t>3.75×10</w:t>
                        </w:r>
                        <w:r>
                          <w:rPr>
                            <w:rFonts w:hint="eastAsia" w:ascii="Times New Roman" w:hAnsi="Times New Roman" w:cs="Times New Roman"/>
                            <w:vertAlign w:val="superscript"/>
                          </w:rPr>
                          <w:t>10</w:t>
                        </w:r>
                      </w:p>
                      <w:p w14:paraId="35CF2FD8">
                        <w:pPr>
                          <w:spacing w:after="0" w:line="240" w:lineRule="auto"/>
                          <w:rPr>
                            <w:rFonts w:ascii="Times New Roman" w:hAnsi="Times New Roman" w:cs="Times New Roman"/>
                          </w:rPr>
                        </w:pPr>
                        <w:r>
                          <w:rPr>
                            <w:rFonts w:ascii="Times New Roman" w:hAnsi="Times New Roman" w:cs="Times New Roman"/>
                            <w:vertAlign w:val="superscript"/>
                          </w:rPr>
                          <w:t>232</w:t>
                        </w:r>
                        <w:r>
                          <w:rPr>
                            <w:rFonts w:ascii="Times New Roman" w:hAnsi="Times New Roman" w:cs="Times New Roman"/>
                          </w:rPr>
                          <w:t>Th：</w:t>
                        </w:r>
                        <w:r>
                          <w:rPr>
                            <w:rFonts w:hint="eastAsia" w:ascii="Times New Roman" w:hAnsi="Times New Roman" w:cs="Times New Roman"/>
                          </w:rPr>
                          <w:t>4.41×10</w:t>
                        </w:r>
                        <w:r>
                          <w:rPr>
                            <w:rFonts w:hint="eastAsia" w:ascii="Times New Roman" w:hAnsi="Times New Roman" w:cs="Times New Roman"/>
                            <w:vertAlign w:val="superscript"/>
                          </w:rPr>
                          <w:t>10</w:t>
                        </w:r>
                      </w:p>
                    </w:txbxContent>
                  </v:textbox>
                </v:rect>
                <v:rect id="矩形 41" o:spid="_x0000_s1026" o:spt="1" style="position:absolute;left:45085;top:353695;height:677545;width:1444625;" filled="f" stroked="f" coordsize="21600,21600" o:gfxdata="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eOF63WAAAABQEA&#10;AA8AAAAAAAAAAQAgAAAAIgAAAGRycy9kb3ducmV2LnhtbFBLAQIUABQAAAAIAIdO4kBnb78cHAIA&#10;ACEEAAAOAAAAAAAAAAEAIAAAACUBAABkcnMvZTJvRG9jLnhtbFBLBQYAAAAABgAGAFkBAACzBQAA&#10;AAA=&#10;">
                  <v:fill on="f" focussize="0,0"/>
                  <v:stroke on="f"/>
                  <v:imagedata o:title=""/>
                  <o:lock v:ext="edit" aspectratio="f"/>
                  <v:textbox>
                    <w:txbxContent>
                      <w:p w14:paraId="782C1C3F">
                        <w:pPr>
                          <w:spacing w:after="0" w:line="240" w:lineRule="auto"/>
                          <w:rPr>
                            <w:rFonts w:ascii="Times New Roman" w:hAnsi="Times New Roman" w:cs="Times New Roman"/>
                          </w:rPr>
                        </w:pPr>
                        <w:r>
                          <w:rPr>
                            <w:rFonts w:ascii="Times New Roman" w:hAnsi="Times New Roman" w:cs="Times New Roman"/>
                            <w:vertAlign w:val="superscript"/>
                          </w:rPr>
                          <w:t>238</w:t>
                        </w:r>
                        <w:r>
                          <w:rPr>
                            <w:rFonts w:ascii="Times New Roman" w:hAnsi="Times New Roman" w:cs="Times New Roman"/>
                          </w:rPr>
                          <w:t>U：</w:t>
                        </w:r>
                        <w:r>
                          <w:rPr>
                            <w:rFonts w:hint="eastAsia" w:ascii="Times New Roman" w:hAnsi="Times New Roman" w:cs="Times New Roman"/>
                          </w:rPr>
                          <w:t>9.09×10</w:t>
                        </w:r>
                        <w:r>
                          <w:rPr>
                            <w:rFonts w:hint="eastAsia" w:ascii="Times New Roman" w:hAnsi="Times New Roman" w:cs="Times New Roman"/>
                            <w:vertAlign w:val="superscript"/>
                          </w:rPr>
                          <w:t>6</w:t>
                        </w:r>
                      </w:p>
                      <w:p w14:paraId="4F44937F">
                        <w:pPr>
                          <w:spacing w:after="0" w:line="240" w:lineRule="auto"/>
                          <w:rPr>
                            <w:rFonts w:ascii="Times New Roman" w:hAnsi="Times New Roman" w:cs="Times New Roman"/>
                          </w:rPr>
                        </w:pPr>
                        <w:r>
                          <w:rPr>
                            <w:rFonts w:ascii="Times New Roman" w:hAnsi="Times New Roman" w:cs="Times New Roman"/>
                            <w:vertAlign w:val="superscript"/>
                          </w:rPr>
                          <w:t>266</w:t>
                        </w:r>
                        <w:r>
                          <w:rPr>
                            <w:rFonts w:ascii="Times New Roman" w:hAnsi="Times New Roman" w:cs="Times New Roman"/>
                          </w:rPr>
                          <w:t>Ra：</w:t>
                        </w:r>
                        <w:r>
                          <w:rPr>
                            <w:rFonts w:hint="eastAsia" w:ascii="Times New Roman" w:hAnsi="Times New Roman" w:cs="Times New Roman"/>
                          </w:rPr>
                          <w:t>8.07×10</w:t>
                        </w:r>
                        <w:r>
                          <w:rPr>
                            <w:rFonts w:hint="eastAsia" w:ascii="Times New Roman" w:hAnsi="Times New Roman" w:cs="Times New Roman"/>
                            <w:vertAlign w:val="superscript"/>
                          </w:rPr>
                          <w:t>6</w:t>
                        </w:r>
                      </w:p>
                      <w:p w14:paraId="14DB5DA9">
                        <w:pPr>
                          <w:spacing w:after="0" w:line="240" w:lineRule="auto"/>
                          <w:rPr>
                            <w:rFonts w:ascii="Times New Roman" w:hAnsi="Times New Roman" w:cs="Times New Roman"/>
                          </w:rPr>
                        </w:pPr>
                        <w:r>
                          <w:rPr>
                            <w:rFonts w:ascii="Times New Roman" w:hAnsi="Times New Roman" w:cs="Times New Roman"/>
                            <w:vertAlign w:val="superscript"/>
                          </w:rPr>
                          <w:t>232</w:t>
                        </w:r>
                        <w:r>
                          <w:rPr>
                            <w:rFonts w:ascii="Times New Roman" w:hAnsi="Times New Roman" w:cs="Times New Roman"/>
                          </w:rPr>
                          <w:t>Th：</w:t>
                        </w:r>
                        <w:r>
                          <w:rPr>
                            <w:rFonts w:hint="eastAsia" w:ascii="Times New Roman" w:hAnsi="Times New Roman" w:cs="Times New Roman"/>
                          </w:rPr>
                          <w:t>9.52×10</w:t>
                        </w:r>
                        <w:r>
                          <w:rPr>
                            <w:rFonts w:hint="eastAsia" w:ascii="Times New Roman" w:hAnsi="Times New Roman" w:cs="Times New Roman"/>
                            <w:vertAlign w:val="superscript"/>
                          </w:rPr>
                          <w:t>6</w:t>
                        </w:r>
                      </w:p>
                    </w:txbxContent>
                  </v:textbox>
                </v:rect>
                <v:shape id="自选图形 40" o:spid="_x0000_s1026" o:spt="38" type="#_x0000_t38" style="position:absolute;left:499745;top:1025525;flip:y;height:184785;width:241935;rotation:5898240f;" filled="f" stroked="t" coordsize="21600,21600" o:gfxdata="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Xkm4&#10;WtUAAAAFAQAADwAAAAAAAAABACAAAAAiAAAAZHJzL2Rvd25yZXYueG1sUEsBAhQAFAAAAAgAh07i&#10;QAx+7sZeAgAAcwQAAA4AAAAAAAAAAQAgAAAAJAEAAGRycy9lMm9Eb2MueG1sUEsFBgAAAAAGAAYA&#10;WQEAAPQFAAAAAA==&#10;" adj="10772">
                  <v:fill on="f" focussize="0,0"/>
                  <v:stroke color="#000000" miterlimit="8" joinstyle="miter" dashstyle="dash" endarrow="open"/>
                  <v:imagedata o:title=""/>
                  <o:lock v:ext="edit" aspectratio="f"/>
                </v:shape>
                <w10:wrap type="none"/>
                <w10:anchorlock/>
              </v:group>
            </w:pict>
          </mc:Fallback>
        </mc:AlternateContent>
      </w:r>
    </w:p>
    <w:p w14:paraId="00052F25">
      <w:pPr>
        <w:spacing w:after="0" w:line="360" w:lineRule="auto"/>
        <w:jc w:val="center"/>
        <w:rPr>
          <w:rFonts w:ascii="Times New Roman" w:hAnsi="Times New Roman" w:cs="Times New Roman"/>
          <w:b/>
          <w:color w:val="000000" w:themeColor="text1"/>
          <w:spacing w:val="-2"/>
          <w:sz w:val="24"/>
          <w:szCs w:val="24"/>
          <w14:textFill>
            <w14:solidFill>
              <w14:schemeClr w14:val="tx1"/>
            </w14:solidFill>
          </w14:textFill>
        </w:rPr>
      </w:pPr>
      <w:r>
        <w:rPr>
          <w:rFonts w:ascii="Times New Roman" w:hAnsi="Times New Roman" w:cs="Times New Roman"/>
          <w:b/>
          <w:color w:val="000000" w:themeColor="text1"/>
          <w:spacing w:val="-2"/>
          <w:sz w:val="24"/>
          <w:szCs w:val="24"/>
          <w14:textFill>
            <w14:solidFill>
              <w14:schemeClr w14:val="tx1"/>
            </w14:solidFill>
          </w14:textFill>
        </w:rPr>
        <w:t>图2.1-</w:t>
      </w:r>
      <w:r>
        <w:rPr>
          <w:rFonts w:hint="eastAsia" w:ascii="Times New Roman" w:hAnsi="Times New Roman" w:cs="Times New Roman"/>
          <w:b/>
          <w:color w:val="000000" w:themeColor="text1"/>
          <w:spacing w:val="-2"/>
          <w:sz w:val="24"/>
          <w:szCs w:val="24"/>
          <w14:textFill>
            <w14:solidFill>
              <w14:schemeClr w14:val="tx1"/>
            </w14:solidFill>
          </w14:textFill>
        </w:rPr>
        <w:t>3</w:t>
      </w:r>
      <w:r>
        <w:rPr>
          <w:rFonts w:ascii="Times New Roman" w:hAnsi="Times New Roman" w:cs="Times New Roman"/>
          <w:b/>
          <w:color w:val="000000" w:themeColor="text1"/>
          <w:spacing w:val="-2"/>
          <w:sz w:val="24"/>
          <w:szCs w:val="24"/>
          <w14:textFill>
            <w14:solidFill>
              <w14:schemeClr w14:val="tx1"/>
            </w14:solidFill>
          </w14:textFill>
        </w:rPr>
        <w:t xml:space="preserve"> 核素平衡图</w:t>
      </w:r>
    </w:p>
    <w:p w14:paraId="61EE57FC">
      <w:pPr>
        <w:pStyle w:val="2"/>
        <w:rPr>
          <w:color w:val="000000" w:themeColor="text1"/>
          <w14:textFill>
            <w14:solidFill>
              <w14:schemeClr w14:val="tx1"/>
            </w14:solidFill>
          </w14:textFill>
        </w:rPr>
      </w:pPr>
    </w:p>
    <w:p w14:paraId="0FB24B92">
      <w:pPr>
        <w:pStyle w:val="4"/>
        <w:widowControl w:val="0"/>
        <w:numPr>
          <w:ilvl w:val="1"/>
          <w:numId w:val="1"/>
        </w:numPr>
        <w:spacing w:before="0" w:line="360" w:lineRule="auto"/>
        <w:ind w:left="0" w:firstLine="0"/>
        <w:jc w:val="both"/>
        <w:rPr>
          <w:rFonts w:ascii="Times New Roman" w:hAnsi="Times New Roman" w:eastAsia="黑体" w:cs="Times New Roman"/>
          <w:b/>
          <w:bCs/>
          <w:color w:val="000000" w:themeColor="text1"/>
          <w:kern w:val="2"/>
          <w:sz w:val="28"/>
          <w:szCs w:val="32"/>
          <w14:textFill>
            <w14:solidFill>
              <w14:schemeClr w14:val="tx1"/>
            </w14:solidFill>
          </w14:textFill>
        </w:rPr>
      </w:pPr>
      <w:bookmarkStart w:id="48" w:name="_Toc187653464"/>
      <w:bookmarkStart w:id="49" w:name="_Toc78822651"/>
      <w:r>
        <w:rPr>
          <w:rFonts w:ascii="Times New Roman" w:hAnsi="Times New Roman" w:eastAsia="黑体" w:cs="Times New Roman"/>
          <w:b/>
          <w:bCs/>
          <w:color w:val="000000" w:themeColor="text1"/>
          <w:kern w:val="2"/>
          <w:sz w:val="28"/>
          <w:szCs w:val="32"/>
          <w14:textFill>
            <w14:solidFill>
              <w14:schemeClr w14:val="tx1"/>
            </w14:solidFill>
          </w14:textFill>
        </w:rPr>
        <w:t>废物管理及排放源项</w:t>
      </w:r>
      <w:bookmarkEnd w:id="48"/>
      <w:bookmarkEnd w:id="49"/>
    </w:p>
    <w:p w14:paraId="4609EC64">
      <w:pPr>
        <w:pStyle w:val="5"/>
        <w:widowControl w:val="0"/>
        <w:numPr>
          <w:ilvl w:val="2"/>
          <w:numId w:val="1"/>
        </w:numPr>
        <w:spacing w:before="0" w:line="360" w:lineRule="auto"/>
        <w:jc w:val="both"/>
        <w:rPr>
          <w:rFonts w:ascii="Times New Roman" w:hAnsi="Times New Roman" w:eastAsia="黑体" w:cs="Times New Roman"/>
          <w:b/>
          <w:bCs/>
          <w:caps w:val="0"/>
          <w:color w:val="000000" w:themeColor="text1"/>
          <w:kern w:val="2"/>
          <w:sz w:val="24"/>
          <w:szCs w:val="32"/>
          <w14:textFill>
            <w14:solidFill>
              <w14:schemeClr w14:val="tx1"/>
            </w14:solidFill>
          </w14:textFill>
        </w:rPr>
      </w:pPr>
      <w:bookmarkStart w:id="50" w:name="_Toc78822652"/>
      <w:r>
        <w:rPr>
          <w:rFonts w:ascii="Times New Roman" w:hAnsi="Times New Roman" w:eastAsia="黑体" w:cs="Times New Roman"/>
          <w:b/>
          <w:bCs/>
          <w:caps w:val="0"/>
          <w:color w:val="000000" w:themeColor="text1"/>
          <w:kern w:val="2"/>
          <w:sz w:val="24"/>
          <w:szCs w:val="32"/>
          <w14:textFill>
            <w14:solidFill>
              <w14:schemeClr w14:val="tx1"/>
            </w14:solidFill>
          </w14:textFill>
        </w:rPr>
        <w:t>气载流出物</w:t>
      </w:r>
      <w:bookmarkEnd w:id="50"/>
    </w:p>
    <w:p w14:paraId="05BE95B1">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bookmarkStart w:id="51" w:name="_Hlk186744908"/>
      <w:r>
        <w:rPr>
          <w:rFonts w:hint="eastAsia" w:ascii="Times New Roman" w:hAnsi="Times New Roman" w:eastAsia="宋体" w:cs="Times New Roman"/>
          <w:color w:val="000000" w:themeColor="text1"/>
          <w:spacing w:val="-2"/>
          <w:sz w:val="24"/>
          <w:szCs w:val="20"/>
          <w14:textFill>
            <w14:solidFill>
              <w14:schemeClr w14:val="tx1"/>
            </w14:solidFill>
          </w14:textFill>
        </w:rPr>
        <w:t>项目气载流出物主要是烘干炉烟气及选矿过程中含放射性核素衰变排出的含有氡及氡子体的放射性废气及含铀、钍粉尘。</w:t>
      </w:r>
      <w:bookmarkEnd w:id="51"/>
      <w:r>
        <w:rPr>
          <w:rFonts w:hint="eastAsia" w:ascii="Times New Roman" w:hAnsi="Times New Roman" w:eastAsia="宋体" w:cs="Times New Roman"/>
          <w:color w:val="000000" w:themeColor="text1"/>
          <w:spacing w:val="-2"/>
          <w:sz w:val="24"/>
          <w:szCs w:val="20"/>
          <w14:textFill>
            <w14:solidFill>
              <w14:schemeClr w14:val="tx1"/>
            </w14:solidFill>
          </w14:textFill>
        </w:rPr>
        <w:t>氡产生源为项目涉及的物料，含铀、钍粉尘主要来源生产车间粉尘。</w:t>
      </w:r>
    </w:p>
    <w:p w14:paraId="7B816736">
      <w:pPr>
        <w:pStyle w:val="6"/>
        <w:widowControl w:val="0"/>
        <w:numPr>
          <w:ilvl w:val="3"/>
          <w:numId w:val="1"/>
        </w:numPr>
        <w:spacing w:before="0" w:line="360" w:lineRule="auto"/>
        <w:ind w:left="0" w:firstLine="0"/>
        <w:jc w:val="both"/>
        <w:rPr>
          <w:rFonts w:ascii="Times New Roman" w:hAnsi="Times New Roman" w:eastAsia="黑体" w:cs="Times New Roman"/>
          <w:bCs/>
          <w:i w:val="0"/>
          <w:iCs w:val="0"/>
          <w:color w:val="000000" w:themeColor="text1"/>
          <w:kern w:val="2"/>
          <w:sz w:val="24"/>
          <w14:textFill>
            <w14:solidFill>
              <w14:schemeClr w14:val="tx1"/>
            </w14:solidFill>
          </w14:textFill>
        </w:rPr>
      </w:pPr>
      <w:r>
        <w:rPr>
          <w:rFonts w:ascii="Times New Roman" w:hAnsi="Times New Roman" w:eastAsia="黑体" w:cs="Times New Roman"/>
          <w:bCs/>
          <w:i w:val="0"/>
          <w:iCs w:val="0"/>
          <w:color w:val="000000" w:themeColor="text1"/>
          <w:kern w:val="2"/>
          <w:sz w:val="24"/>
          <w14:textFill>
            <w14:solidFill>
              <w14:schemeClr w14:val="tx1"/>
            </w14:solidFill>
          </w14:textFill>
        </w:rPr>
        <w:t>氡浓度</w:t>
      </w:r>
    </w:p>
    <w:p w14:paraId="41E701B3">
      <w:pPr>
        <w:spacing w:after="0" w:line="360" w:lineRule="auto"/>
        <w:ind w:firstLine="480" w:firstLineChars="200"/>
        <w:rPr>
          <w:rFonts w:ascii="Times New Roman" w:hAnsi="Times New Roman" w:cs="Times New Roman"/>
          <w:color w:val="000000" w:themeColor="text1"/>
          <w:sz w:val="24"/>
          <w:szCs w:val="24"/>
          <w:u w:val="single"/>
          <w14:textFill>
            <w14:solidFill>
              <w14:schemeClr w14:val="tx1"/>
            </w14:solidFill>
          </w14:textFill>
        </w:rPr>
      </w:pPr>
      <w:r>
        <w:rPr>
          <w:rFonts w:hint="eastAsia" w:ascii="Times New Roman" w:hAnsi="Times New Roman" w:cs="Times New Roman"/>
          <w:color w:val="000000" w:themeColor="text1"/>
          <w:sz w:val="24"/>
          <w:szCs w:val="24"/>
          <w:u w:val="single"/>
          <w14:textFill>
            <w14:solidFill>
              <w14:schemeClr w14:val="tx1"/>
            </w14:solidFill>
          </w14:textFill>
        </w:rPr>
        <w:t>项目氡浓度根据EJ/T 1090-1998《铀矿冶设施所造成的气态（载）放射性与有毒性源项的确定》中4.2.3及4.2.4进行估算。</w:t>
      </w:r>
    </w:p>
    <w:p w14:paraId="34505E99">
      <w:pPr>
        <w:spacing w:after="0" w:line="360" w:lineRule="auto"/>
        <w:ind w:firstLine="482" w:firstLineChars="200"/>
        <w:rPr>
          <w:rFonts w:ascii="Times New Roman" w:hAnsi="Times New Roman" w:cs="Times New Roman"/>
          <w:b/>
          <w:bCs/>
          <w:color w:val="000000" w:themeColor="text1"/>
          <w:sz w:val="24"/>
          <w:szCs w:val="24"/>
          <w:u w:val="single"/>
          <w14:textFill>
            <w14:solidFill>
              <w14:schemeClr w14:val="tx1"/>
            </w14:solidFill>
          </w14:textFill>
        </w:rPr>
      </w:pPr>
      <w:r>
        <w:rPr>
          <w:rFonts w:hint="eastAsia" w:ascii="Times New Roman" w:hAnsi="Times New Roman" w:cs="Times New Roman"/>
          <w:b/>
          <w:bCs/>
          <w:color w:val="000000" w:themeColor="text1"/>
          <w:sz w:val="24"/>
          <w:szCs w:val="24"/>
          <w:u w:val="single"/>
          <w14:textFill>
            <w14:solidFill>
              <w14:schemeClr w14:val="tx1"/>
            </w14:solidFill>
          </w14:textFill>
        </w:rPr>
        <w:t>（1）氡堆置排放</w:t>
      </w:r>
    </w:p>
    <w:p w14:paraId="4DD06051">
      <w:pPr>
        <w:spacing w:after="0" w:line="360" w:lineRule="auto"/>
        <w:ind w:firstLine="480" w:firstLineChars="200"/>
        <w:rPr>
          <w:rFonts w:ascii="Times New Roman" w:hAnsi="Times New Roman" w:cs="Times New Roman"/>
          <w:color w:val="000000" w:themeColor="text1"/>
          <w:sz w:val="24"/>
          <w:szCs w:val="24"/>
          <w:u w:val="single"/>
          <w14:textFill>
            <w14:solidFill>
              <w14:schemeClr w14:val="tx1"/>
            </w14:solidFill>
          </w14:textFill>
        </w:rPr>
      </w:pPr>
      <w:r>
        <w:rPr>
          <w:rFonts w:hint="eastAsia" w:ascii="Times New Roman" w:hAnsi="Times New Roman" w:cs="Times New Roman"/>
          <w:color w:val="000000" w:themeColor="text1"/>
          <w:sz w:val="24"/>
          <w:szCs w:val="24"/>
          <w:u w:val="single"/>
          <w14:textFill>
            <w14:solidFill>
              <w14:schemeClr w14:val="tx1"/>
            </w14:solidFill>
          </w14:textFill>
        </w:rPr>
        <w:t>项目原料毛矿、产品精矿、副产品中矿堆置排放采用以下公式进行估算。</w:t>
      </w:r>
    </w:p>
    <w:p w14:paraId="27C9D4E2">
      <w:pPr>
        <w:spacing w:line="360" w:lineRule="auto"/>
        <w:ind w:firstLine="480" w:firstLineChars="200"/>
        <w:jc w:val="center"/>
        <w:rPr>
          <w:rFonts w:ascii="Times New Roman" w:hAnsi="Times New Roman"/>
          <w:color w:val="000000" w:themeColor="text1"/>
          <w:sz w:val="24"/>
          <w:szCs w:val="24"/>
          <w14:textFill>
            <w14:solidFill>
              <w14:schemeClr w14:val="tx1"/>
            </w14:solidFill>
          </w14:textFill>
        </w:rPr>
      </w:pPr>
      <m:oMathPara>
        <m:oMath>
          <m:sSub>
            <m:sSubPr>
              <m:ctrlPr>
                <w:rPr>
                  <w:rFonts w:ascii="Cambria Math" w:hAnsi="Cambria Math"/>
                  <w:i/>
                  <w:color w:val="000000" w:themeColor="text1"/>
                  <w:sz w:val="24"/>
                  <w:szCs w:val="24"/>
                  <w14:textFill>
                    <w14:solidFill>
                      <w14:schemeClr w14:val="tx1"/>
                    </w14:solidFill>
                  </w14:textFill>
                </w:rPr>
              </m:ctrlPr>
            </m:sSubPr>
            <m:e>
              <m:r>
                <m:rPr/>
                <w:rPr>
                  <w:rFonts w:hint="eastAsia" w:ascii="Cambria Math" w:hAnsi="Cambria Math"/>
                  <w:color w:val="000000" w:themeColor="text1"/>
                  <w:sz w:val="24"/>
                  <w:szCs w:val="24"/>
                  <w14:textFill>
                    <w14:solidFill>
                      <w14:schemeClr w14:val="tx1"/>
                    </w14:solidFill>
                  </w14:textFill>
                </w:rPr>
                <m:t>S</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p</m:t>
              </m:r>
              <m:r>
                <m:rPr/>
                <w:rPr>
                  <w:rFonts w:hint="eastAsia" w:ascii="Cambria Math" w:hAnsi="Cambria Math"/>
                  <w:color w:val="000000" w:themeColor="text1"/>
                  <w:sz w:val="24"/>
                  <w:szCs w:val="24"/>
                  <w14:textFill>
                    <w14:solidFill>
                      <w14:schemeClr w14:val="tx1"/>
                    </w14:solidFill>
                  </w14:textFill>
                </w:rPr>
                <m:t>R</m:t>
              </m:r>
              <m:ctrlPr>
                <w:rPr>
                  <w:rFonts w:ascii="Cambria Math" w:hAnsi="Cambria Math"/>
                  <w:i/>
                  <w:color w:val="000000" w:themeColor="text1"/>
                  <w:sz w:val="24"/>
                  <w:szCs w:val="24"/>
                  <w14:textFill>
                    <w14:solidFill>
                      <w14:schemeClr w14:val="tx1"/>
                    </w14:solidFill>
                  </w14:textFill>
                </w:rPr>
              </m:ctrlPr>
            </m:sub>
          </m:sSub>
          <m:r>
            <m:rPr/>
            <w:rPr>
              <w:rFonts w:ascii="Cambria Math" w:hAnsi="Cambria Math"/>
              <w:color w:val="000000" w:themeColor="text1"/>
              <w:sz w:val="24"/>
              <w:szCs w:val="24"/>
              <w14:textFill>
                <w14:solidFill>
                  <w14:schemeClr w14:val="tx1"/>
                </w14:solidFill>
              </w14:textFill>
            </w:rPr>
            <m:t>=3.15×</m:t>
          </m:r>
          <m:sSup>
            <m:sSupPr>
              <m:ctrlPr>
                <w:rPr>
                  <w:rFonts w:ascii="Cambria Math" w:hAnsi="Cambria Math"/>
                  <w:i/>
                  <w:color w:val="000000" w:themeColor="text1"/>
                  <w:sz w:val="24"/>
                  <w:szCs w:val="24"/>
                  <w14:textFill>
                    <w14:solidFill>
                      <w14:schemeClr w14:val="tx1"/>
                    </w14:solidFill>
                  </w14:textFill>
                </w:rPr>
              </m:ctrlPr>
            </m:sSupPr>
            <m:e>
              <m:r>
                <m:rPr/>
                <w:rPr>
                  <w:rFonts w:ascii="Cambria Math" w:hAnsi="Cambria Math"/>
                  <w:color w:val="000000" w:themeColor="text1"/>
                  <w:sz w:val="24"/>
                  <w:szCs w:val="24"/>
                  <w14:textFill>
                    <w14:solidFill>
                      <w14:schemeClr w14:val="tx1"/>
                    </w14:solidFill>
                  </w14:textFill>
                </w:rPr>
                <m:t>10</m:t>
              </m:r>
              <m:ctrlPr>
                <w:rPr>
                  <w:rFonts w:ascii="Cambria Math" w:hAnsi="Cambria Math"/>
                  <w:i/>
                  <w:color w:val="000000" w:themeColor="text1"/>
                  <w:sz w:val="24"/>
                  <w:szCs w:val="24"/>
                  <w14:textFill>
                    <w14:solidFill>
                      <w14:schemeClr w14:val="tx1"/>
                    </w14:solidFill>
                  </w14:textFill>
                </w:rPr>
              </m:ctrlPr>
            </m:e>
            <m:sup>
              <m:r>
                <m:rPr/>
                <w:rPr>
                  <w:rFonts w:ascii="Cambria Math" w:hAnsi="Cambria Math"/>
                  <w:color w:val="000000" w:themeColor="text1"/>
                  <w:sz w:val="24"/>
                  <w:szCs w:val="24"/>
                  <w14:textFill>
                    <w14:solidFill>
                      <w14:schemeClr w14:val="tx1"/>
                    </w14:solidFill>
                  </w14:textFill>
                </w:rPr>
                <m:t>7</m:t>
              </m:r>
              <m:ctrlPr>
                <w:rPr>
                  <w:rFonts w:ascii="Cambria Math" w:hAnsi="Cambria Math"/>
                  <w:i/>
                  <w:color w:val="000000" w:themeColor="text1"/>
                  <w:sz w:val="24"/>
                  <w:szCs w:val="24"/>
                  <w14:textFill>
                    <w14:solidFill>
                      <w14:schemeClr w14:val="tx1"/>
                    </w14:solidFill>
                  </w14:textFill>
                </w:rPr>
              </m:ctrlPr>
            </m:sup>
          </m:sSup>
          <m:r>
            <m:rPr/>
            <w:rPr>
              <w:rFonts w:ascii="Cambria Math" w:hAnsi="Cambria Math"/>
              <w:color w:val="000000" w:themeColor="text1"/>
              <w:sz w:val="24"/>
              <w:szCs w:val="24"/>
              <w14:textFill>
                <w14:solidFill>
                  <w14:schemeClr w14:val="tx1"/>
                </w14:solidFill>
              </w14:textFill>
            </w:rPr>
            <m:t>×</m:t>
          </m:r>
          <m:sSub>
            <m:sSubPr>
              <m:ctrlPr>
                <w:rPr>
                  <w:rFonts w:ascii="Cambria Math" w:hAnsi="Cambria Math"/>
                  <w:i/>
                  <w:color w:val="000000" w:themeColor="text1"/>
                  <w:sz w:val="24"/>
                  <w:szCs w:val="24"/>
                  <w14:textFill>
                    <w14:solidFill>
                      <w14:schemeClr w14:val="tx1"/>
                    </w14:solidFill>
                  </w14:textFill>
                </w:rPr>
              </m:ctrlPr>
            </m:sSubPr>
            <m:e>
              <m:r>
                <m:rPr/>
                <w:rPr>
                  <w:rFonts w:hint="eastAsia" w:ascii="Cambria Math" w:hAnsi="Cambria Math"/>
                  <w:color w:val="000000" w:themeColor="text1"/>
                  <w:sz w:val="24"/>
                  <w:szCs w:val="24"/>
                  <w14:textFill>
                    <w14:solidFill>
                      <w14:schemeClr w14:val="tx1"/>
                    </w14:solidFill>
                  </w14:textFill>
                </w:rPr>
                <m:t>A</m:t>
              </m:r>
              <m:ctrlPr>
                <w:rPr>
                  <w:rFonts w:ascii="Cambria Math" w:hAnsi="Cambria Math"/>
                  <w:i/>
                  <w:color w:val="000000" w:themeColor="text1"/>
                  <w:sz w:val="24"/>
                  <w:szCs w:val="24"/>
                  <w14:textFill>
                    <w14:solidFill>
                      <w14:schemeClr w14:val="tx1"/>
                    </w14:solidFill>
                  </w14:textFill>
                </w:rPr>
              </m:ctrlPr>
            </m:e>
            <m:sub>
              <m:r>
                <m:rPr/>
                <w:rPr>
                  <w:rFonts w:hint="eastAsia" w:ascii="Cambria Math" w:hAnsi="Cambria Math"/>
                  <w:color w:val="000000" w:themeColor="text1"/>
                  <w:sz w:val="24"/>
                  <w:szCs w:val="24"/>
                  <w14:textFill>
                    <w14:solidFill>
                      <w14:schemeClr w14:val="tx1"/>
                    </w14:solidFill>
                  </w14:textFill>
                </w:rPr>
                <m:t>t</m:t>
              </m:r>
              <m:ctrlPr>
                <w:rPr>
                  <w:rFonts w:ascii="Cambria Math" w:hAnsi="Cambria Math"/>
                  <w:i/>
                  <w:color w:val="000000" w:themeColor="text1"/>
                  <w:sz w:val="24"/>
                  <w:szCs w:val="24"/>
                  <w14:textFill>
                    <w14:solidFill>
                      <w14:schemeClr w14:val="tx1"/>
                    </w14:solidFill>
                  </w14:textFill>
                </w:rPr>
              </m:ctrlPr>
            </m:sub>
          </m:sSub>
          <m:r>
            <m:rPr/>
            <w:rPr>
              <w:rFonts w:ascii="Cambria Math" w:hAnsi="Cambria Math"/>
              <w:color w:val="000000" w:themeColor="text1"/>
              <w:sz w:val="24"/>
              <w:szCs w:val="24"/>
              <w14:textFill>
                <w14:solidFill>
                  <w14:schemeClr w14:val="tx1"/>
                </w14:solidFill>
              </w14:textFill>
            </w:rPr>
            <m:t>×</m:t>
          </m:r>
          <m:sSub>
            <m:sSubPr>
              <m:ctrlPr>
                <w:rPr>
                  <w:rFonts w:ascii="Cambria Math" w:hAnsi="Cambria Math"/>
                  <w:i/>
                  <w:color w:val="000000" w:themeColor="text1"/>
                  <w:sz w:val="24"/>
                  <w:szCs w:val="24"/>
                  <w14:textFill>
                    <w14:solidFill>
                      <w14:schemeClr w14:val="tx1"/>
                    </w14:solidFill>
                  </w14:textFill>
                </w:rPr>
              </m:ctrlPr>
            </m:sSubPr>
            <m:e>
              <m:r>
                <m:rPr/>
                <w:rPr>
                  <w:rFonts w:hint="eastAsia" w:ascii="Cambria Math" w:hAnsi="Cambria Math"/>
                  <w:color w:val="000000" w:themeColor="text1"/>
                  <w:sz w:val="24"/>
                  <w:szCs w:val="24"/>
                  <w14:textFill>
                    <w14:solidFill>
                      <w14:schemeClr w14:val="tx1"/>
                    </w14:solidFill>
                  </w14:textFill>
                </w:rPr>
                <m:t>E</m:t>
              </m:r>
              <m:ctrlPr>
                <w:rPr>
                  <w:rFonts w:ascii="Cambria Math" w:hAnsi="Cambria Math"/>
                  <w:i/>
                  <w:color w:val="000000" w:themeColor="text1"/>
                  <w:sz w:val="24"/>
                  <w:szCs w:val="24"/>
                  <w14:textFill>
                    <w14:solidFill>
                      <w14:schemeClr w14:val="tx1"/>
                    </w14:solidFill>
                  </w14:textFill>
                </w:rPr>
              </m:ctrlPr>
            </m:e>
            <m:sub>
              <m:r>
                <m:rPr/>
                <w:rPr>
                  <w:rFonts w:hint="eastAsia" w:ascii="Cambria Math" w:hAnsi="Cambria Math"/>
                  <w:color w:val="000000" w:themeColor="text1"/>
                  <w:sz w:val="24"/>
                  <w:szCs w:val="24"/>
                  <w14:textFill>
                    <w14:solidFill>
                      <w14:schemeClr w14:val="tx1"/>
                    </w14:solidFill>
                  </w14:textFill>
                </w:rPr>
                <m:t>p</m:t>
              </m:r>
              <m:ctrlPr>
                <w:rPr>
                  <w:rFonts w:ascii="Cambria Math" w:hAnsi="Cambria Math"/>
                  <w:i/>
                  <w:color w:val="000000" w:themeColor="text1"/>
                  <w:sz w:val="24"/>
                  <w:szCs w:val="24"/>
                  <w14:textFill>
                    <w14:solidFill>
                      <w14:schemeClr w14:val="tx1"/>
                    </w14:solidFill>
                  </w14:textFill>
                </w:rPr>
              </m:ctrlPr>
            </m:sub>
          </m:sSub>
          <m:r>
            <m:rPr/>
            <w:rPr>
              <w:rFonts w:ascii="Cambria Math" w:hAnsi="Cambria Math"/>
              <w:color w:val="000000" w:themeColor="text1"/>
              <w:sz w:val="24"/>
              <w:szCs w:val="24"/>
              <w14:textFill>
                <w14:solidFill>
                  <w14:schemeClr w14:val="tx1"/>
                </w14:solidFill>
              </w14:textFill>
            </w:rPr>
            <m:t>×</m:t>
          </m:r>
          <m:d>
            <m:dPr>
              <m:ctrlPr>
                <w:rPr>
                  <w:rFonts w:ascii="Cambria Math" w:hAnsi="Cambria Math"/>
                  <w:i/>
                  <w:color w:val="000000" w:themeColor="text1"/>
                  <w:sz w:val="24"/>
                  <w:szCs w:val="24"/>
                  <w14:textFill>
                    <w14:solidFill>
                      <w14:schemeClr w14:val="tx1"/>
                    </w14:solidFill>
                  </w14:textFill>
                </w:rPr>
              </m:ctrlPr>
            </m:dPr>
            <m:e>
              <m:r>
                <m:rPr/>
                <w:rPr>
                  <w:rFonts w:ascii="Cambria Math" w:hAnsi="Cambria Math"/>
                  <w:color w:val="000000" w:themeColor="text1"/>
                  <w:sz w:val="24"/>
                  <w:szCs w:val="24"/>
                  <w14:textFill>
                    <w14:solidFill>
                      <w14:schemeClr w14:val="tx1"/>
                    </w14:solidFill>
                  </w14:textFill>
                </w:rPr>
                <m:t>1−</m:t>
              </m:r>
              <m:r>
                <m:rPr/>
                <w:rPr>
                  <w:rFonts w:hint="eastAsia" w:ascii="Cambria Math" w:hAnsi="Cambria Math"/>
                  <w:color w:val="000000" w:themeColor="text1"/>
                  <w:sz w:val="24"/>
                  <w:szCs w:val="24"/>
                  <w14:textFill>
                    <w14:solidFill>
                      <w14:schemeClr w14:val="tx1"/>
                    </w14:solidFill>
                  </w14:textFill>
                </w:rPr>
                <m:t>R</m:t>
              </m:r>
              <m:ctrlPr>
                <w:rPr>
                  <w:rFonts w:ascii="Cambria Math" w:hAnsi="Cambria Math"/>
                  <w:i/>
                  <w:color w:val="000000" w:themeColor="text1"/>
                  <w:sz w:val="24"/>
                  <w:szCs w:val="24"/>
                  <w14:textFill>
                    <w14:solidFill>
                      <w14:schemeClr w14:val="tx1"/>
                    </w14:solidFill>
                  </w14:textFill>
                </w:rPr>
              </m:ctrlPr>
            </m:e>
          </m:d>
        </m:oMath>
      </m:oMathPara>
    </w:p>
    <w:p w14:paraId="04F8B40A">
      <w:pPr>
        <w:autoSpaceDE w:val="0"/>
        <w:autoSpaceDN w:val="0"/>
        <w:adjustRightInd w:val="0"/>
        <w:spacing w:line="360" w:lineRule="auto"/>
        <w:ind w:firstLine="472" w:firstLineChars="200"/>
        <w:rPr>
          <w:rFonts w:ascii="Times New Roman" w:hAnsi="Times New Roman"/>
          <w:color w:val="000000" w:themeColor="text1"/>
          <w:spacing w:val="-2"/>
          <w:sz w:val="24"/>
          <w:szCs w:val="24"/>
          <w:u w:val="single"/>
          <w14:textFill>
            <w14:solidFill>
              <w14:schemeClr w14:val="tx1"/>
            </w14:solidFill>
          </w14:textFill>
        </w:rPr>
      </w:pPr>
      <w:r>
        <w:rPr>
          <w:rFonts w:ascii="Times New Roman" w:hAnsi="Times New Roman"/>
          <w:color w:val="000000" w:themeColor="text1"/>
          <w:spacing w:val="-2"/>
          <w:sz w:val="24"/>
          <w:szCs w:val="24"/>
          <w:u w:val="single"/>
          <w14:textFill>
            <w14:solidFill>
              <w14:schemeClr w14:val="tx1"/>
            </w14:solidFill>
          </w14:textFill>
        </w:rPr>
        <w:t>式中：</w:t>
      </w:r>
    </w:p>
    <w:p w14:paraId="541F9BDE">
      <w:pPr>
        <w:autoSpaceDE w:val="0"/>
        <w:autoSpaceDN w:val="0"/>
        <w:adjustRightInd w:val="0"/>
        <w:spacing w:line="360" w:lineRule="auto"/>
        <w:ind w:firstLine="472" w:firstLineChars="200"/>
        <w:rPr>
          <w:rFonts w:ascii="Times New Roman" w:hAnsi="Times New Roman"/>
          <w:color w:val="000000" w:themeColor="text1"/>
          <w:spacing w:val="-2"/>
          <w:sz w:val="24"/>
          <w:szCs w:val="24"/>
          <w:u w:val="single"/>
          <w14:textFill>
            <w14:solidFill>
              <w14:schemeClr w14:val="tx1"/>
            </w14:solidFill>
          </w14:textFill>
        </w:rPr>
      </w:pPr>
      <w:r>
        <w:rPr>
          <w:rFonts w:hint="eastAsia" w:ascii="Times New Roman" w:hAnsi="Times New Roman"/>
          <w:color w:val="000000" w:themeColor="text1"/>
          <w:spacing w:val="-2"/>
          <w:sz w:val="24"/>
          <w:szCs w:val="24"/>
          <w:u w:val="single"/>
          <w14:textFill>
            <w14:solidFill>
              <w14:schemeClr w14:val="tx1"/>
            </w14:solidFill>
          </w14:textFill>
        </w:rPr>
        <w:t>S</w:t>
      </w:r>
      <w:r>
        <w:rPr>
          <w:rFonts w:hint="eastAsia" w:ascii="Times New Roman" w:hAnsi="Times New Roman"/>
          <w:color w:val="000000" w:themeColor="text1"/>
          <w:spacing w:val="-2"/>
          <w:sz w:val="24"/>
          <w:szCs w:val="24"/>
          <w:u w:val="single"/>
          <w:vertAlign w:val="subscript"/>
          <w14:textFill>
            <w14:solidFill>
              <w14:schemeClr w14:val="tx1"/>
            </w14:solidFill>
          </w14:textFill>
        </w:rPr>
        <w:t>PR</w:t>
      </w:r>
      <w:r>
        <w:rPr>
          <w:rFonts w:ascii="Times New Roman" w:hAnsi="Times New Roman"/>
          <w:color w:val="000000" w:themeColor="text1"/>
          <w:spacing w:val="-2"/>
          <w:sz w:val="24"/>
          <w:szCs w:val="24"/>
          <w:u w:val="single"/>
          <w14:textFill>
            <w14:solidFill>
              <w14:schemeClr w14:val="tx1"/>
            </w14:solidFill>
          </w14:textFill>
        </w:rPr>
        <w:t xml:space="preserve"> ——</w:t>
      </w:r>
      <w:r>
        <w:rPr>
          <w:rFonts w:hint="eastAsia" w:ascii="Times New Roman" w:hAnsi="Times New Roman"/>
          <w:color w:val="000000" w:themeColor="text1"/>
          <w:spacing w:val="-2"/>
          <w:sz w:val="24"/>
          <w:szCs w:val="24"/>
          <w:u w:val="single"/>
          <w14:textFill>
            <w14:solidFill>
              <w14:schemeClr w14:val="tx1"/>
            </w14:solidFill>
          </w14:textFill>
        </w:rPr>
        <w:t>矿石堆置所导致的</w:t>
      </w:r>
      <w:r>
        <w:rPr>
          <w:rFonts w:hint="eastAsia" w:ascii="Times New Roman" w:hAnsi="Times New Roman"/>
          <w:color w:val="000000" w:themeColor="text1"/>
          <w:spacing w:val="-2"/>
          <w:sz w:val="24"/>
          <w:szCs w:val="24"/>
          <w:u w:val="single"/>
          <w:vertAlign w:val="superscript"/>
          <w14:textFill>
            <w14:solidFill>
              <w14:schemeClr w14:val="tx1"/>
            </w14:solidFill>
          </w14:textFill>
        </w:rPr>
        <w:t>222</w:t>
      </w:r>
      <w:r>
        <w:rPr>
          <w:rFonts w:hint="eastAsia" w:ascii="Times New Roman" w:hAnsi="Times New Roman"/>
          <w:color w:val="000000" w:themeColor="text1"/>
          <w:spacing w:val="-2"/>
          <w:sz w:val="24"/>
          <w:szCs w:val="24"/>
          <w:u w:val="single"/>
          <w14:textFill>
            <w14:solidFill>
              <w14:schemeClr w14:val="tx1"/>
            </w14:solidFill>
          </w14:textFill>
        </w:rPr>
        <w:t>Rn的年排放量</w:t>
      </w:r>
      <w:r>
        <w:rPr>
          <w:rFonts w:ascii="Times New Roman" w:hAnsi="Times New Roman"/>
          <w:color w:val="000000" w:themeColor="text1"/>
          <w:spacing w:val="-2"/>
          <w:sz w:val="24"/>
          <w:szCs w:val="24"/>
          <w:u w:val="single"/>
          <w14:textFill>
            <w14:solidFill>
              <w14:schemeClr w14:val="tx1"/>
            </w14:solidFill>
          </w14:textFill>
        </w:rPr>
        <w:t>，</w:t>
      </w:r>
      <w:r>
        <w:rPr>
          <w:rFonts w:hint="eastAsia" w:ascii="Times New Roman" w:hAnsi="Times New Roman"/>
          <w:color w:val="000000" w:themeColor="text1"/>
          <w:spacing w:val="-2"/>
          <w:sz w:val="24"/>
          <w:szCs w:val="24"/>
          <w:u w:val="single"/>
          <w14:textFill>
            <w14:solidFill>
              <w14:schemeClr w14:val="tx1"/>
            </w14:solidFill>
          </w14:textFill>
        </w:rPr>
        <w:t>Bq/a</w:t>
      </w:r>
      <w:r>
        <w:rPr>
          <w:rFonts w:ascii="Times New Roman" w:hAnsi="Times New Roman"/>
          <w:color w:val="000000" w:themeColor="text1"/>
          <w:spacing w:val="-2"/>
          <w:sz w:val="24"/>
          <w:szCs w:val="24"/>
          <w:u w:val="single"/>
          <w14:textFill>
            <w14:solidFill>
              <w14:schemeClr w14:val="tx1"/>
            </w14:solidFill>
          </w14:textFill>
        </w:rPr>
        <w:t>；</w:t>
      </w:r>
    </w:p>
    <w:p w14:paraId="5BAB66A1">
      <w:pPr>
        <w:autoSpaceDE w:val="0"/>
        <w:autoSpaceDN w:val="0"/>
        <w:adjustRightInd w:val="0"/>
        <w:spacing w:line="360" w:lineRule="auto"/>
        <w:ind w:firstLine="472" w:firstLineChars="200"/>
        <w:rPr>
          <w:rFonts w:ascii="Times New Roman" w:hAnsi="Times New Roman"/>
          <w:color w:val="000000" w:themeColor="text1"/>
          <w:spacing w:val="-2"/>
          <w:sz w:val="24"/>
          <w:szCs w:val="24"/>
          <w:u w:val="single"/>
          <w14:textFill>
            <w14:solidFill>
              <w14:schemeClr w14:val="tx1"/>
            </w14:solidFill>
          </w14:textFill>
        </w:rPr>
      </w:pPr>
      <w:r>
        <w:rPr>
          <w:rFonts w:hint="eastAsia" w:ascii="Times New Roman" w:hAnsi="Times New Roman"/>
          <w:color w:val="000000" w:themeColor="text1"/>
          <w:spacing w:val="-2"/>
          <w:sz w:val="24"/>
          <w:szCs w:val="24"/>
          <w:u w:val="single"/>
          <w14:textFill>
            <w14:solidFill>
              <w14:schemeClr w14:val="tx1"/>
            </w14:solidFill>
          </w14:textFill>
        </w:rPr>
        <w:t>A</w:t>
      </w:r>
      <w:r>
        <w:rPr>
          <w:rFonts w:hint="eastAsia" w:ascii="Times New Roman" w:hAnsi="Times New Roman"/>
          <w:color w:val="000000" w:themeColor="text1"/>
          <w:spacing w:val="-2"/>
          <w:sz w:val="24"/>
          <w:szCs w:val="24"/>
          <w:u w:val="single"/>
          <w:vertAlign w:val="subscript"/>
          <w14:textFill>
            <w14:solidFill>
              <w14:schemeClr w14:val="tx1"/>
            </w14:solidFill>
          </w14:textFill>
        </w:rPr>
        <w:t>t</w:t>
      </w:r>
      <w:r>
        <w:rPr>
          <w:rFonts w:ascii="Times New Roman" w:hAnsi="Times New Roman"/>
          <w:color w:val="000000" w:themeColor="text1"/>
          <w:spacing w:val="-2"/>
          <w:sz w:val="24"/>
          <w:szCs w:val="24"/>
          <w:u w:val="single"/>
          <w14:textFill>
            <w14:solidFill>
              <w14:schemeClr w14:val="tx1"/>
            </w14:solidFill>
          </w14:textFill>
        </w:rPr>
        <w:t xml:space="preserve"> ——</w:t>
      </w:r>
      <w:r>
        <w:rPr>
          <w:rFonts w:hint="eastAsia" w:ascii="Times New Roman" w:hAnsi="Times New Roman"/>
          <w:color w:val="000000" w:themeColor="text1"/>
          <w:spacing w:val="-2"/>
          <w:sz w:val="24"/>
          <w:szCs w:val="24"/>
          <w:u w:val="single"/>
          <w14:textFill>
            <w14:solidFill>
              <w14:schemeClr w14:val="tx1"/>
            </w14:solidFill>
          </w14:textFill>
        </w:rPr>
        <w:t>堆存暴露面积</w:t>
      </w:r>
      <w:r>
        <w:rPr>
          <w:rFonts w:ascii="Times New Roman" w:hAnsi="Times New Roman"/>
          <w:color w:val="000000" w:themeColor="text1"/>
          <w:spacing w:val="-2"/>
          <w:sz w:val="24"/>
          <w:szCs w:val="24"/>
          <w:u w:val="single"/>
          <w14:textFill>
            <w14:solidFill>
              <w14:schemeClr w14:val="tx1"/>
            </w14:solidFill>
          </w14:textFill>
        </w:rPr>
        <w:t>，</w:t>
      </w:r>
      <w:r>
        <w:rPr>
          <w:rFonts w:hint="eastAsia" w:ascii="Times New Roman" w:hAnsi="Times New Roman"/>
          <w:color w:val="000000" w:themeColor="text1"/>
          <w:spacing w:val="-2"/>
          <w:sz w:val="24"/>
          <w:szCs w:val="24"/>
          <w:u w:val="single"/>
          <w14:textFill>
            <w14:solidFill>
              <w14:schemeClr w14:val="tx1"/>
            </w14:solidFill>
          </w14:textFill>
        </w:rPr>
        <w:t>m</w:t>
      </w:r>
      <w:r>
        <w:rPr>
          <w:rFonts w:hint="eastAsia" w:ascii="Times New Roman" w:hAnsi="Times New Roman"/>
          <w:color w:val="000000" w:themeColor="text1"/>
          <w:spacing w:val="-2"/>
          <w:sz w:val="24"/>
          <w:szCs w:val="24"/>
          <w:u w:val="single"/>
          <w:vertAlign w:val="superscript"/>
          <w14:textFill>
            <w14:solidFill>
              <w14:schemeClr w14:val="tx1"/>
            </w14:solidFill>
          </w14:textFill>
        </w:rPr>
        <w:t>2</w:t>
      </w:r>
      <w:r>
        <w:rPr>
          <w:rFonts w:ascii="Times New Roman" w:hAnsi="Times New Roman"/>
          <w:color w:val="000000" w:themeColor="text1"/>
          <w:spacing w:val="-2"/>
          <w:sz w:val="24"/>
          <w:szCs w:val="24"/>
          <w:u w:val="single"/>
          <w14:textFill>
            <w14:solidFill>
              <w14:schemeClr w14:val="tx1"/>
            </w14:solidFill>
          </w14:textFill>
        </w:rPr>
        <w:t>；</w:t>
      </w:r>
      <w:r>
        <w:rPr>
          <w:rFonts w:hint="eastAsia" w:ascii="Times New Roman" w:hAnsi="Times New Roman"/>
          <w:color w:val="000000" w:themeColor="text1"/>
          <w:spacing w:val="-2"/>
          <w:sz w:val="24"/>
          <w:szCs w:val="24"/>
          <w:u w:val="single"/>
          <w14:textFill>
            <w14:solidFill>
              <w14:schemeClr w14:val="tx1"/>
            </w14:solidFill>
          </w14:textFill>
        </w:rPr>
        <w:t>根据项目各物料堆场的占地，采用《煤炭矿石码头粉尘控制设计规范》（JTS-2015）中单堆垛表面积公式进行估算。</w:t>
      </w:r>
    </w:p>
    <w:p w14:paraId="598D21E0">
      <w:pPr>
        <w:autoSpaceDE w:val="0"/>
        <w:autoSpaceDN w:val="0"/>
        <w:adjustRightInd w:val="0"/>
        <w:spacing w:line="360" w:lineRule="auto"/>
        <w:ind w:firstLine="472" w:firstLineChars="200"/>
        <w:rPr>
          <w:rFonts w:ascii="Times New Roman" w:hAnsi="Times New Roman"/>
          <w:color w:val="000000" w:themeColor="text1"/>
          <w:spacing w:val="-2"/>
          <w:sz w:val="24"/>
          <w:szCs w:val="24"/>
          <w:u w:val="single"/>
          <w14:textFill>
            <w14:solidFill>
              <w14:schemeClr w14:val="tx1"/>
            </w14:solidFill>
          </w14:textFill>
        </w:rPr>
      </w:pPr>
      <w:r>
        <w:rPr>
          <w:rFonts w:hint="eastAsia" w:ascii="Times New Roman" w:hAnsi="Times New Roman"/>
          <w:color w:val="000000" w:themeColor="text1"/>
          <w:spacing w:val="-2"/>
          <w:sz w:val="24"/>
          <w:szCs w:val="24"/>
          <w:u w:val="single"/>
          <w14:textFill>
            <w14:solidFill>
              <w14:schemeClr w14:val="tx1"/>
            </w14:solidFill>
          </w14:textFill>
        </w:rPr>
        <w:t>R</w:t>
      </w:r>
      <w:r>
        <w:rPr>
          <w:rFonts w:ascii="Times New Roman" w:hAnsi="Times New Roman"/>
          <w:color w:val="000000" w:themeColor="text1"/>
          <w:spacing w:val="-2"/>
          <w:sz w:val="24"/>
          <w:szCs w:val="24"/>
          <w:u w:val="single"/>
          <w14:textFill>
            <w14:solidFill>
              <w14:schemeClr w14:val="tx1"/>
            </w14:solidFill>
          </w14:textFill>
        </w:rPr>
        <w:t xml:space="preserve"> ——</w:t>
      </w:r>
      <w:r>
        <w:rPr>
          <w:rFonts w:hint="eastAsia" w:ascii="Times New Roman" w:hAnsi="Times New Roman"/>
          <w:color w:val="000000" w:themeColor="text1"/>
          <w:spacing w:val="-2"/>
          <w:sz w:val="24"/>
          <w:szCs w:val="24"/>
          <w:u w:val="single"/>
          <w14:textFill>
            <w14:solidFill>
              <w14:schemeClr w14:val="tx1"/>
            </w14:solidFill>
          </w14:textFill>
        </w:rPr>
        <w:t>排放控制系数，根据项目车间的无组织除尘效率取0.895；</w:t>
      </w:r>
    </w:p>
    <w:p w14:paraId="16598417">
      <w:pPr>
        <w:autoSpaceDE w:val="0"/>
        <w:autoSpaceDN w:val="0"/>
        <w:adjustRightInd w:val="0"/>
        <w:spacing w:line="360" w:lineRule="auto"/>
        <w:ind w:firstLine="472" w:firstLineChars="200"/>
        <w:rPr>
          <w:rFonts w:ascii="Times New Roman" w:hAnsi="Times New Roman"/>
          <w:color w:val="000000" w:themeColor="text1"/>
          <w:spacing w:val="-2"/>
          <w:sz w:val="24"/>
          <w:szCs w:val="24"/>
          <w:u w:val="single"/>
          <w14:textFill>
            <w14:solidFill>
              <w14:schemeClr w14:val="tx1"/>
            </w14:solidFill>
          </w14:textFill>
        </w:rPr>
      </w:pPr>
      <w:r>
        <w:rPr>
          <w:rFonts w:hint="eastAsia" w:ascii="Times New Roman" w:hAnsi="Times New Roman"/>
          <w:color w:val="000000" w:themeColor="text1"/>
          <w:spacing w:val="-2"/>
          <w:sz w:val="24"/>
          <w:szCs w:val="24"/>
          <w:u w:val="single"/>
          <w14:textFill>
            <w14:solidFill>
              <w14:schemeClr w14:val="tx1"/>
            </w14:solidFill>
          </w14:textFill>
        </w:rPr>
        <w:t>E</w:t>
      </w:r>
      <w:r>
        <w:rPr>
          <w:rFonts w:hint="eastAsia" w:ascii="Times New Roman" w:hAnsi="Times New Roman"/>
          <w:color w:val="000000" w:themeColor="text1"/>
          <w:spacing w:val="-2"/>
          <w:sz w:val="24"/>
          <w:szCs w:val="24"/>
          <w:u w:val="single"/>
          <w:vertAlign w:val="subscript"/>
          <w14:textFill>
            <w14:solidFill>
              <w14:schemeClr w14:val="tx1"/>
            </w14:solidFill>
          </w14:textFill>
        </w:rPr>
        <w:t>p</w:t>
      </w:r>
      <w:r>
        <w:rPr>
          <w:rFonts w:ascii="Times New Roman" w:hAnsi="Times New Roman"/>
          <w:color w:val="000000" w:themeColor="text1"/>
          <w:spacing w:val="-2"/>
          <w:sz w:val="24"/>
          <w:szCs w:val="24"/>
          <w:u w:val="single"/>
          <w14:textFill>
            <w14:solidFill>
              <w14:schemeClr w14:val="tx1"/>
            </w14:solidFill>
          </w14:textFill>
        </w:rPr>
        <w:t xml:space="preserve"> ——</w:t>
      </w:r>
      <w:r>
        <w:rPr>
          <w:rFonts w:hint="eastAsia" w:ascii="Times New Roman" w:hAnsi="Times New Roman"/>
          <w:color w:val="000000" w:themeColor="text1"/>
          <w:spacing w:val="-2"/>
          <w:sz w:val="24"/>
          <w:szCs w:val="24"/>
          <w:u w:val="single"/>
          <w14:textFill>
            <w14:solidFill>
              <w14:schemeClr w14:val="tx1"/>
            </w14:solidFill>
          </w14:textFill>
        </w:rPr>
        <w:t>堆置排放中</w:t>
      </w:r>
      <w:r>
        <w:rPr>
          <w:rFonts w:ascii="Times New Roman" w:hAnsi="Times New Roman"/>
          <w:color w:val="000000" w:themeColor="text1"/>
          <w:spacing w:val="-2"/>
          <w:sz w:val="24"/>
          <w:szCs w:val="24"/>
          <w:u w:val="single"/>
          <w14:textFill>
            <w14:solidFill>
              <w14:schemeClr w14:val="tx1"/>
            </w14:solidFill>
          </w14:textFill>
        </w:rPr>
        <w:t>，</w:t>
      </w:r>
      <w:r>
        <w:rPr>
          <w:rFonts w:hint="eastAsia" w:ascii="Times New Roman" w:hAnsi="Times New Roman"/>
          <w:color w:val="000000" w:themeColor="text1"/>
          <w:spacing w:val="-2"/>
          <w:sz w:val="24"/>
          <w:szCs w:val="24"/>
          <w:u w:val="single"/>
          <w:vertAlign w:val="superscript"/>
          <w14:textFill>
            <w14:solidFill>
              <w14:schemeClr w14:val="tx1"/>
            </w14:solidFill>
          </w14:textFill>
        </w:rPr>
        <w:t>222</w:t>
      </w:r>
      <w:r>
        <w:rPr>
          <w:rFonts w:hint="eastAsia" w:ascii="Times New Roman" w:hAnsi="Times New Roman"/>
          <w:color w:val="000000" w:themeColor="text1"/>
          <w:spacing w:val="-2"/>
          <w:sz w:val="24"/>
          <w:szCs w:val="24"/>
          <w:u w:val="single"/>
          <w14:textFill>
            <w14:solidFill>
              <w14:schemeClr w14:val="tx1"/>
            </w14:solidFill>
          </w14:textFill>
        </w:rPr>
        <w:t>Rn的排放因子，Bq/（m</w:t>
      </w:r>
      <w:r>
        <w:rPr>
          <w:rFonts w:hint="eastAsia" w:ascii="Times New Roman" w:hAnsi="Times New Roman"/>
          <w:color w:val="000000" w:themeColor="text1"/>
          <w:spacing w:val="-2"/>
          <w:sz w:val="24"/>
          <w:szCs w:val="24"/>
          <w:u w:val="single"/>
          <w:vertAlign w:val="superscript"/>
          <w14:textFill>
            <w14:solidFill>
              <w14:schemeClr w14:val="tx1"/>
            </w14:solidFill>
          </w14:textFill>
        </w:rPr>
        <w:t>2</w:t>
      </w:r>
      <w:r>
        <w:rPr>
          <w:rFonts w:hint="eastAsia" w:ascii="Times New Roman" w:hAnsi="Times New Roman"/>
          <w:color w:val="000000" w:themeColor="text1"/>
          <w:spacing w:val="-2"/>
          <w:sz w:val="24"/>
          <w:szCs w:val="24"/>
          <w:u w:val="single"/>
          <w14:textFill>
            <w14:solidFill>
              <w14:schemeClr w14:val="tx1"/>
            </w14:solidFill>
          </w14:textFill>
        </w:rPr>
        <w:t>·s）。</w:t>
      </w:r>
    </w:p>
    <w:p w14:paraId="445990F2">
      <w:pPr>
        <w:autoSpaceDE w:val="0"/>
        <w:autoSpaceDN w:val="0"/>
        <w:adjustRightInd w:val="0"/>
        <w:spacing w:line="360" w:lineRule="auto"/>
        <w:ind w:firstLine="472" w:firstLineChars="200"/>
        <w:rPr>
          <w:rFonts w:ascii="Times New Roman" w:hAnsi="Times New Roman"/>
          <w:color w:val="000000" w:themeColor="text1"/>
          <w:spacing w:val="-2"/>
          <w:sz w:val="24"/>
          <w:szCs w:val="24"/>
          <w:u w:val="single"/>
          <w14:textFill>
            <w14:solidFill>
              <w14:schemeClr w14:val="tx1"/>
            </w14:solidFill>
          </w14:textFill>
        </w:rPr>
      </w:pPr>
      <w:r>
        <w:rPr>
          <w:rFonts w:hint="eastAsia" w:ascii="Times New Roman" w:hAnsi="Times New Roman"/>
          <w:color w:val="000000" w:themeColor="text1"/>
          <w:spacing w:val="-2"/>
          <w:sz w:val="24"/>
          <w:szCs w:val="24"/>
          <w:u w:val="single"/>
          <w14:textFill>
            <w14:solidFill>
              <w14:schemeClr w14:val="tx1"/>
            </w14:solidFill>
          </w14:textFill>
        </w:rPr>
        <w:t>Ep值可采用222Rn的比通量系数方法估算，公式如下：</w:t>
      </w:r>
    </w:p>
    <w:p w14:paraId="3B1A6549">
      <w:pPr>
        <w:spacing w:line="360" w:lineRule="auto"/>
        <w:ind w:firstLine="480" w:firstLineChars="200"/>
        <w:jc w:val="center"/>
        <w:rPr>
          <w:rFonts w:ascii="Times New Roman" w:hAnsi="Times New Roman"/>
          <w:color w:val="000000" w:themeColor="text1"/>
          <w:sz w:val="24"/>
          <w:szCs w:val="24"/>
          <w14:textFill>
            <w14:solidFill>
              <w14:schemeClr w14:val="tx1"/>
            </w14:solidFill>
          </w14:textFill>
        </w:rPr>
      </w:pPr>
      <m:oMathPara>
        <m:oMath>
          <m:sSub>
            <m:sSubPr>
              <m:ctrlPr>
                <w:rPr>
                  <w:rFonts w:ascii="Cambria Math" w:hAnsi="Cambria Math"/>
                  <w:i/>
                  <w:color w:val="000000" w:themeColor="text1"/>
                  <w:sz w:val="24"/>
                  <w:szCs w:val="24"/>
                  <w14:textFill>
                    <w14:solidFill>
                      <w14:schemeClr w14:val="tx1"/>
                    </w14:solidFill>
                  </w14:textFill>
                </w:rPr>
              </m:ctrlPr>
            </m:sSubPr>
            <m:e>
              <m:r>
                <m:rPr/>
                <w:rPr>
                  <w:rFonts w:hint="eastAsia" w:ascii="Cambria Math" w:hAnsi="Cambria Math"/>
                  <w:color w:val="000000" w:themeColor="text1"/>
                  <w:sz w:val="24"/>
                  <w:szCs w:val="24"/>
                  <w14:textFill>
                    <w14:solidFill>
                      <w14:schemeClr w14:val="tx1"/>
                    </w14:solidFill>
                  </w14:textFill>
                </w:rPr>
                <m:t>E</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p</m:t>
              </m:r>
              <m:ctrlPr>
                <w:rPr>
                  <w:rFonts w:ascii="Cambria Math" w:hAnsi="Cambria Math"/>
                  <w:i/>
                  <w:color w:val="000000" w:themeColor="text1"/>
                  <w:sz w:val="24"/>
                  <w:szCs w:val="24"/>
                  <w14:textFill>
                    <w14:solidFill>
                      <w14:schemeClr w14:val="tx1"/>
                    </w14:solidFill>
                  </w14:textFill>
                </w:rPr>
              </m:ctrlPr>
            </m:sub>
          </m:sSub>
          <m:r>
            <m:rPr/>
            <w:rPr>
              <w:rFonts w:ascii="Cambria Math" w:hAnsi="Cambria Math"/>
              <w:color w:val="000000" w:themeColor="text1"/>
              <w:sz w:val="24"/>
              <w:szCs w:val="24"/>
              <w14:textFill>
                <w14:solidFill>
                  <w14:schemeClr w14:val="tx1"/>
                </w14:solidFill>
              </w14:textFill>
            </w:rPr>
            <m:t>=</m:t>
          </m:r>
          <m:r>
            <m:rPr/>
            <w:rPr>
              <w:rFonts w:hint="eastAsia" w:ascii="Cambria Math" w:hAnsi="Cambria Math"/>
              <w:color w:val="000000" w:themeColor="text1"/>
              <w:sz w:val="24"/>
              <w:szCs w:val="24"/>
              <w14:textFill>
                <w14:solidFill>
                  <w14:schemeClr w14:val="tx1"/>
                </w14:solidFill>
              </w14:textFill>
            </w:rPr>
            <m:t>B</m:t>
          </m:r>
          <m:r>
            <m:rPr/>
            <w:rPr>
              <w:rFonts w:ascii="Cambria Math" w:hAnsi="Cambria Math"/>
              <w:color w:val="000000" w:themeColor="text1"/>
              <w:sz w:val="24"/>
              <w:szCs w:val="24"/>
              <w14:textFill>
                <w14:solidFill>
                  <w14:schemeClr w14:val="tx1"/>
                </w14:solidFill>
              </w14:textFill>
            </w:rPr>
            <m:t>×</m:t>
          </m:r>
          <m:sSub>
            <m:sSubPr>
              <m:ctrlPr>
                <w:rPr>
                  <w:rFonts w:ascii="Cambria Math" w:hAnsi="Cambria Math"/>
                  <w:i/>
                  <w:color w:val="000000" w:themeColor="text1"/>
                  <w:sz w:val="24"/>
                  <w:szCs w:val="24"/>
                  <w14:textFill>
                    <w14:solidFill>
                      <w14:schemeClr w14:val="tx1"/>
                    </w14:solidFill>
                  </w14:textFill>
                </w:rPr>
              </m:ctrlPr>
            </m:sSubPr>
            <m:e>
              <m:r>
                <m:rPr/>
                <w:rPr>
                  <w:rFonts w:hint="eastAsia" w:ascii="Cambria Math" w:hAnsi="Cambria Math"/>
                  <w:color w:val="000000" w:themeColor="text1"/>
                  <w:sz w:val="24"/>
                  <w:szCs w:val="24"/>
                  <w14:textFill>
                    <w14:solidFill>
                      <w14:schemeClr w14:val="tx1"/>
                    </w14:solidFill>
                  </w14:textFill>
                </w:rPr>
                <m:t>C</m:t>
              </m:r>
              <m:ctrlPr>
                <w:rPr>
                  <w:rFonts w:ascii="Cambria Math" w:hAnsi="Cambria Math"/>
                  <w:i/>
                  <w:color w:val="000000" w:themeColor="text1"/>
                  <w:sz w:val="24"/>
                  <w:szCs w:val="24"/>
                  <w14:textFill>
                    <w14:solidFill>
                      <w14:schemeClr w14:val="tx1"/>
                    </w14:solidFill>
                  </w14:textFill>
                </w:rPr>
              </m:ctrlPr>
            </m:e>
            <m:sub>
              <m:r>
                <m:rPr/>
                <w:rPr>
                  <w:rFonts w:hint="eastAsia" w:ascii="Cambria Math" w:hAnsi="Cambria Math"/>
                  <w:color w:val="000000" w:themeColor="text1"/>
                  <w:sz w:val="24"/>
                  <w:szCs w:val="24"/>
                  <w14:textFill>
                    <w14:solidFill>
                      <w14:schemeClr w14:val="tx1"/>
                    </w14:solidFill>
                  </w14:textFill>
                </w:rPr>
                <m:t>n</m:t>
              </m:r>
              <m:ctrlPr>
                <w:rPr>
                  <w:rFonts w:ascii="Cambria Math" w:hAnsi="Cambria Math"/>
                  <w:i/>
                  <w:color w:val="000000" w:themeColor="text1"/>
                  <w:sz w:val="24"/>
                  <w:szCs w:val="24"/>
                  <w14:textFill>
                    <w14:solidFill>
                      <w14:schemeClr w14:val="tx1"/>
                    </w14:solidFill>
                  </w14:textFill>
                </w:rPr>
              </m:ctrlPr>
            </m:sub>
          </m:sSub>
        </m:oMath>
      </m:oMathPara>
    </w:p>
    <w:p w14:paraId="7EAC8565">
      <w:pPr>
        <w:autoSpaceDE w:val="0"/>
        <w:autoSpaceDN w:val="0"/>
        <w:adjustRightInd w:val="0"/>
        <w:spacing w:line="360" w:lineRule="auto"/>
        <w:ind w:firstLine="472" w:firstLineChars="200"/>
        <w:rPr>
          <w:rFonts w:ascii="Times New Roman" w:hAnsi="Times New Roman"/>
          <w:color w:val="000000" w:themeColor="text1"/>
          <w:spacing w:val="-2"/>
          <w:sz w:val="24"/>
          <w:szCs w:val="24"/>
          <w:u w:val="single"/>
          <w14:textFill>
            <w14:solidFill>
              <w14:schemeClr w14:val="tx1"/>
            </w14:solidFill>
          </w14:textFill>
        </w:rPr>
      </w:pPr>
      <w:r>
        <w:rPr>
          <w:rFonts w:ascii="Times New Roman" w:hAnsi="Times New Roman"/>
          <w:color w:val="000000" w:themeColor="text1"/>
          <w:spacing w:val="-2"/>
          <w:sz w:val="24"/>
          <w:szCs w:val="24"/>
          <w:u w:val="single"/>
          <w14:textFill>
            <w14:solidFill>
              <w14:schemeClr w14:val="tx1"/>
            </w14:solidFill>
          </w14:textFill>
        </w:rPr>
        <w:t>式中：</w:t>
      </w:r>
    </w:p>
    <w:p w14:paraId="3B8678C4">
      <w:pPr>
        <w:autoSpaceDE w:val="0"/>
        <w:autoSpaceDN w:val="0"/>
        <w:adjustRightInd w:val="0"/>
        <w:spacing w:line="360" w:lineRule="auto"/>
        <w:ind w:firstLine="472" w:firstLineChars="200"/>
        <w:rPr>
          <w:rFonts w:ascii="Times New Roman" w:hAnsi="Times New Roman"/>
          <w:color w:val="000000" w:themeColor="text1"/>
          <w:spacing w:val="-2"/>
          <w:sz w:val="24"/>
          <w:szCs w:val="24"/>
          <w:u w:val="single"/>
          <w14:textFill>
            <w14:solidFill>
              <w14:schemeClr w14:val="tx1"/>
            </w14:solidFill>
          </w14:textFill>
        </w:rPr>
      </w:pPr>
      <w:r>
        <w:rPr>
          <w:rFonts w:hint="eastAsia" w:ascii="Times New Roman" w:hAnsi="Times New Roman"/>
          <w:color w:val="000000" w:themeColor="text1"/>
          <w:spacing w:val="-2"/>
          <w:sz w:val="24"/>
          <w:szCs w:val="24"/>
          <w:u w:val="single"/>
          <w14:textFill>
            <w14:solidFill>
              <w14:schemeClr w14:val="tx1"/>
            </w14:solidFill>
          </w14:textFill>
        </w:rPr>
        <w:t>B</w:t>
      </w:r>
      <w:r>
        <w:rPr>
          <w:rFonts w:ascii="Times New Roman" w:hAnsi="Times New Roman"/>
          <w:color w:val="000000" w:themeColor="text1"/>
          <w:spacing w:val="-2"/>
          <w:sz w:val="24"/>
          <w:szCs w:val="24"/>
          <w:u w:val="single"/>
          <w14:textFill>
            <w14:solidFill>
              <w14:schemeClr w14:val="tx1"/>
            </w14:solidFill>
          </w14:textFill>
        </w:rPr>
        <w:t xml:space="preserve"> ——</w:t>
      </w:r>
      <w:r>
        <w:rPr>
          <w:rFonts w:hint="eastAsia" w:ascii="Times New Roman" w:hAnsi="Times New Roman"/>
          <w:color w:val="000000" w:themeColor="text1"/>
          <w:spacing w:val="-2"/>
          <w:sz w:val="24"/>
          <w:szCs w:val="24"/>
          <w:u w:val="single"/>
          <w:vertAlign w:val="superscript"/>
          <w14:textFill>
            <w14:solidFill>
              <w14:schemeClr w14:val="tx1"/>
            </w14:solidFill>
          </w14:textFill>
        </w:rPr>
        <w:t>222</w:t>
      </w:r>
      <w:r>
        <w:rPr>
          <w:rFonts w:hint="eastAsia" w:ascii="Times New Roman" w:hAnsi="Times New Roman"/>
          <w:color w:val="000000" w:themeColor="text1"/>
          <w:spacing w:val="-2"/>
          <w:sz w:val="24"/>
          <w:szCs w:val="24"/>
          <w:u w:val="single"/>
          <w14:textFill>
            <w14:solidFill>
              <w14:schemeClr w14:val="tx1"/>
            </w14:solidFill>
          </w14:textFill>
        </w:rPr>
        <w:t>Rn的比通量系数</w:t>
      </w:r>
      <w:r>
        <w:rPr>
          <w:rFonts w:ascii="Times New Roman" w:hAnsi="Times New Roman"/>
          <w:color w:val="000000" w:themeColor="text1"/>
          <w:spacing w:val="-2"/>
          <w:sz w:val="24"/>
          <w:szCs w:val="24"/>
          <w:u w:val="single"/>
          <w14:textFill>
            <w14:solidFill>
              <w14:schemeClr w14:val="tx1"/>
            </w14:solidFill>
          </w14:textFill>
        </w:rPr>
        <w:t>，</w:t>
      </w:r>
      <w:r>
        <w:rPr>
          <w:rFonts w:hint="eastAsia" w:ascii="Times New Roman" w:hAnsi="Times New Roman"/>
          <w:color w:val="000000" w:themeColor="text1"/>
          <w:spacing w:val="-2"/>
          <w:sz w:val="24"/>
          <w:szCs w:val="24"/>
          <w:u w:val="single"/>
          <w14:textFill>
            <w14:solidFill>
              <w14:schemeClr w14:val="tx1"/>
            </w14:solidFill>
          </w14:textFill>
        </w:rPr>
        <w:t>[Bq(</w:t>
      </w:r>
      <w:r>
        <w:rPr>
          <w:rFonts w:hint="eastAsia" w:ascii="Times New Roman" w:hAnsi="Times New Roman"/>
          <w:color w:val="000000" w:themeColor="text1"/>
          <w:spacing w:val="-2"/>
          <w:sz w:val="24"/>
          <w:szCs w:val="24"/>
          <w:u w:val="single"/>
          <w:vertAlign w:val="superscript"/>
          <w14:textFill>
            <w14:solidFill>
              <w14:schemeClr w14:val="tx1"/>
            </w14:solidFill>
          </w14:textFill>
        </w:rPr>
        <w:t>222</w:t>
      </w:r>
      <w:r>
        <w:rPr>
          <w:rFonts w:hint="eastAsia" w:ascii="Times New Roman" w:hAnsi="Times New Roman"/>
          <w:color w:val="000000" w:themeColor="text1"/>
          <w:spacing w:val="-2"/>
          <w:sz w:val="24"/>
          <w:szCs w:val="24"/>
          <w:u w:val="single"/>
          <w14:textFill>
            <w14:solidFill>
              <w14:schemeClr w14:val="tx1"/>
            </w14:solidFill>
          </w14:textFill>
        </w:rPr>
        <w:t>Rn)/(m</w:t>
      </w:r>
      <w:r>
        <w:rPr>
          <w:rFonts w:hint="eastAsia" w:ascii="Times New Roman" w:hAnsi="Times New Roman"/>
          <w:color w:val="000000" w:themeColor="text1"/>
          <w:spacing w:val="-2"/>
          <w:sz w:val="24"/>
          <w:szCs w:val="24"/>
          <w:u w:val="single"/>
          <w:vertAlign w:val="superscript"/>
          <w14:textFill>
            <w14:solidFill>
              <w14:schemeClr w14:val="tx1"/>
            </w14:solidFill>
          </w14:textFill>
        </w:rPr>
        <w:t>2</w:t>
      </w:r>
      <w:r>
        <w:rPr>
          <w:rFonts w:hint="eastAsia" w:ascii="Times New Roman" w:hAnsi="Times New Roman"/>
          <w:color w:val="000000" w:themeColor="text1"/>
          <w:spacing w:val="-2"/>
          <w:sz w:val="24"/>
          <w:szCs w:val="24"/>
          <w:u w:val="single"/>
          <w14:textFill>
            <w14:solidFill>
              <w14:schemeClr w14:val="tx1"/>
            </w14:solidFill>
          </w14:textFill>
        </w:rPr>
        <w:t>×s)]/[Bq(</w:t>
      </w:r>
      <w:r>
        <w:rPr>
          <w:rFonts w:hint="eastAsia" w:ascii="Times New Roman" w:hAnsi="Times New Roman"/>
          <w:color w:val="000000" w:themeColor="text1"/>
          <w:spacing w:val="-2"/>
          <w:sz w:val="24"/>
          <w:szCs w:val="24"/>
          <w:u w:val="single"/>
          <w:vertAlign w:val="superscript"/>
          <w14:textFill>
            <w14:solidFill>
              <w14:schemeClr w14:val="tx1"/>
            </w14:solidFill>
          </w14:textFill>
        </w:rPr>
        <w:t>226</w:t>
      </w:r>
      <w:r>
        <w:rPr>
          <w:rFonts w:hint="eastAsia" w:ascii="Times New Roman" w:hAnsi="Times New Roman"/>
          <w:color w:val="000000" w:themeColor="text1"/>
          <w:spacing w:val="-2"/>
          <w:sz w:val="24"/>
          <w:szCs w:val="24"/>
          <w:u w:val="single"/>
          <w14:textFill>
            <w14:solidFill>
              <w14:schemeClr w14:val="tx1"/>
            </w14:solidFill>
          </w14:textFill>
        </w:rPr>
        <w:t>Ra)/g]，推荐值为1</w:t>
      </w:r>
      <w:r>
        <w:rPr>
          <w:rFonts w:ascii="Times New Roman" w:hAnsi="Times New Roman"/>
          <w:color w:val="000000" w:themeColor="text1"/>
          <w:spacing w:val="-2"/>
          <w:sz w:val="24"/>
          <w:szCs w:val="24"/>
          <w:u w:val="single"/>
          <w14:textFill>
            <w14:solidFill>
              <w14:schemeClr w14:val="tx1"/>
            </w14:solidFill>
          </w14:textFill>
        </w:rPr>
        <w:t xml:space="preserve">； </w:t>
      </w:r>
    </w:p>
    <w:p w14:paraId="30D3C175">
      <w:pPr>
        <w:autoSpaceDE w:val="0"/>
        <w:autoSpaceDN w:val="0"/>
        <w:adjustRightInd w:val="0"/>
        <w:spacing w:line="360" w:lineRule="auto"/>
        <w:ind w:firstLine="472" w:firstLineChars="200"/>
        <w:rPr>
          <w:rFonts w:ascii="Times New Roman" w:hAnsi="Times New Roman"/>
          <w:color w:val="000000" w:themeColor="text1"/>
          <w:spacing w:val="-2"/>
          <w:sz w:val="24"/>
          <w:szCs w:val="24"/>
          <w:u w:val="single"/>
          <w14:textFill>
            <w14:solidFill>
              <w14:schemeClr w14:val="tx1"/>
            </w14:solidFill>
          </w14:textFill>
        </w:rPr>
      </w:pPr>
      <w:r>
        <w:rPr>
          <w:rFonts w:hint="eastAsia" w:ascii="Times New Roman" w:hAnsi="Times New Roman"/>
          <w:color w:val="000000" w:themeColor="text1"/>
          <w:spacing w:val="-2"/>
          <w:sz w:val="24"/>
          <w:szCs w:val="24"/>
          <w:u w:val="single"/>
          <w14:textFill>
            <w14:solidFill>
              <w14:schemeClr w14:val="tx1"/>
            </w14:solidFill>
          </w14:textFill>
        </w:rPr>
        <w:t>C</w:t>
      </w:r>
      <w:r>
        <w:rPr>
          <w:rFonts w:hint="eastAsia" w:ascii="Times New Roman" w:hAnsi="Times New Roman"/>
          <w:color w:val="000000" w:themeColor="text1"/>
          <w:spacing w:val="-2"/>
          <w:sz w:val="24"/>
          <w:szCs w:val="24"/>
          <w:u w:val="single"/>
          <w:vertAlign w:val="subscript"/>
          <w14:textFill>
            <w14:solidFill>
              <w14:schemeClr w14:val="tx1"/>
            </w14:solidFill>
          </w14:textFill>
        </w:rPr>
        <w:t>n</w:t>
      </w:r>
      <w:r>
        <w:rPr>
          <w:rFonts w:ascii="Times New Roman" w:hAnsi="Times New Roman"/>
          <w:color w:val="000000" w:themeColor="text1"/>
          <w:spacing w:val="-2"/>
          <w:sz w:val="24"/>
          <w:szCs w:val="24"/>
          <w:u w:val="single"/>
          <w14:textFill>
            <w14:solidFill>
              <w14:schemeClr w14:val="tx1"/>
            </w14:solidFill>
          </w14:textFill>
        </w:rPr>
        <w:t xml:space="preserve"> ——</w:t>
      </w:r>
      <w:r>
        <w:rPr>
          <w:rFonts w:hint="eastAsia" w:ascii="Times New Roman" w:hAnsi="Times New Roman"/>
          <w:color w:val="000000" w:themeColor="text1"/>
          <w:spacing w:val="-2"/>
          <w:sz w:val="24"/>
          <w:szCs w:val="24"/>
          <w:u w:val="single"/>
          <w14:textFill>
            <w14:solidFill>
              <w14:schemeClr w14:val="tx1"/>
            </w14:solidFill>
          </w14:textFill>
        </w:rPr>
        <w:t>矿石中</w:t>
      </w:r>
      <w:r>
        <w:rPr>
          <w:rFonts w:hint="eastAsia" w:ascii="Times New Roman" w:hAnsi="Times New Roman"/>
          <w:color w:val="000000" w:themeColor="text1"/>
          <w:spacing w:val="-2"/>
          <w:sz w:val="24"/>
          <w:szCs w:val="24"/>
          <w:u w:val="single"/>
          <w:vertAlign w:val="superscript"/>
          <w14:textFill>
            <w14:solidFill>
              <w14:schemeClr w14:val="tx1"/>
            </w14:solidFill>
          </w14:textFill>
        </w:rPr>
        <w:t>222</w:t>
      </w:r>
      <w:r>
        <w:rPr>
          <w:rFonts w:hint="eastAsia" w:ascii="Times New Roman" w:hAnsi="Times New Roman"/>
          <w:color w:val="000000" w:themeColor="text1"/>
          <w:spacing w:val="-2"/>
          <w:sz w:val="24"/>
          <w:szCs w:val="24"/>
          <w:u w:val="single"/>
          <w14:textFill>
            <w14:solidFill>
              <w14:schemeClr w14:val="tx1"/>
            </w14:solidFill>
          </w14:textFill>
        </w:rPr>
        <w:t>Rn的比活度</w:t>
      </w:r>
      <w:r>
        <w:rPr>
          <w:rFonts w:ascii="Times New Roman" w:hAnsi="Times New Roman"/>
          <w:color w:val="000000" w:themeColor="text1"/>
          <w:spacing w:val="-2"/>
          <w:sz w:val="24"/>
          <w:szCs w:val="24"/>
          <w:u w:val="single"/>
          <w14:textFill>
            <w14:solidFill>
              <w14:schemeClr w14:val="tx1"/>
            </w14:solidFill>
          </w14:textFill>
        </w:rPr>
        <w:t>，</w:t>
      </w:r>
      <w:r>
        <w:rPr>
          <w:rFonts w:hint="eastAsia" w:ascii="Times New Roman" w:hAnsi="Times New Roman"/>
          <w:color w:val="000000" w:themeColor="text1"/>
          <w:spacing w:val="-2"/>
          <w:sz w:val="24"/>
          <w:szCs w:val="24"/>
          <w:u w:val="single"/>
          <w14:textFill>
            <w14:solidFill>
              <w14:schemeClr w14:val="tx1"/>
            </w14:solidFill>
          </w14:textFill>
        </w:rPr>
        <w:t>Bq/g。</w:t>
      </w:r>
    </w:p>
    <w:p w14:paraId="2A466FC7">
      <w:pPr>
        <w:autoSpaceDE w:val="0"/>
        <w:autoSpaceDN w:val="0"/>
        <w:adjustRightInd w:val="0"/>
        <w:spacing w:line="360" w:lineRule="auto"/>
        <w:ind w:firstLine="472" w:firstLineChars="200"/>
        <w:rPr>
          <w:rFonts w:ascii="Times New Roman" w:hAnsi="Times New Roman"/>
          <w:color w:val="000000" w:themeColor="text1"/>
          <w:spacing w:val="-2"/>
          <w:sz w:val="24"/>
          <w:szCs w:val="24"/>
          <w:u w:val="single"/>
          <w14:textFill>
            <w14:solidFill>
              <w14:schemeClr w14:val="tx1"/>
            </w14:solidFill>
          </w14:textFill>
        </w:rPr>
      </w:pPr>
      <w:r>
        <w:rPr>
          <w:rFonts w:hint="eastAsia" w:ascii="Times New Roman" w:hAnsi="Times New Roman"/>
          <w:color w:val="000000" w:themeColor="text1"/>
          <w:spacing w:val="-2"/>
          <w:sz w:val="24"/>
          <w:szCs w:val="24"/>
          <w:u w:val="single"/>
          <w14:textFill>
            <w14:solidFill>
              <w14:schemeClr w14:val="tx1"/>
            </w14:solidFill>
          </w14:textFill>
        </w:rPr>
        <w:t>矿石的C</w:t>
      </w:r>
      <w:r>
        <w:rPr>
          <w:rFonts w:hint="eastAsia" w:ascii="Times New Roman" w:hAnsi="Times New Roman"/>
          <w:color w:val="000000" w:themeColor="text1"/>
          <w:spacing w:val="-2"/>
          <w:sz w:val="24"/>
          <w:szCs w:val="24"/>
          <w:u w:val="single"/>
          <w:vertAlign w:val="subscript"/>
          <w14:textFill>
            <w14:solidFill>
              <w14:schemeClr w14:val="tx1"/>
            </w14:solidFill>
          </w14:textFill>
        </w:rPr>
        <w:t>n</w:t>
      </w:r>
      <w:r>
        <w:rPr>
          <w:rFonts w:hint="eastAsia" w:ascii="Times New Roman" w:hAnsi="Times New Roman"/>
          <w:color w:val="000000" w:themeColor="text1"/>
          <w:spacing w:val="-2"/>
          <w:sz w:val="24"/>
          <w:szCs w:val="24"/>
          <w:u w:val="single"/>
          <w14:textFill>
            <w14:solidFill>
              <w14:schemeClr w14:val="tx1"/>
            </w14:solidFill>
          </w14:textFill>
        </w:rPr>
        <w:t>可采用以下公式计算：</w:t>
      </w:r>
    </w:p>
    <w:p w14:paraId="38DEE542">
      <w:pPr>
        <w:spacing w:line="360" w:lineRule="auto"/>
        <w:ind w:firstLine="480" w:firstLineChars="200"/>
        <w:jc w:val="center"/>
        <w:rPr>
          <w:rFonts w:ascii="Times New Roman" w:hAnsi="Times New Roman"/>
          <w:color w:val="000000" w:themeColor="text1"/>
          <w:sz w:val="24"/>
          <w:szCs w:val="24"/>
          <w14:textFill>
            <w14:solidFill>
              <w14:schemeClr w14:val="tx1"/>
            </w14:solidFill>
          </w14:textFill>
        </w:rPr>
      </w:pPr>
      <m:oMathPara>
        <m:oMath>
          <m:sSub>
            <m:sSubPr>
              <m:ctrlPr>
                <w:rPr>
                  <w:rFonts w:ascii="Cambria Math" w:hAnsi="Cambria Math"/>
                  <w:i/>
                  <w:color w:val="000000" w:themeColor="text1"/>
                  <w:sz w:val="24"/>
                  <w:szCs w:val="24"/>
                  <w14:textFill>
                    <w14:solidFill>
                      <w14:schemeClr w14:val="tx1"/>
                    </w14:solidFill>
                  </w14:textFill>
                </w:rPr>
              </m:ctrlPr>
            </m:sSubPr>
            <m:e>
              <m:r>
                <m:rPr/>
                <w:rPr>
                  <w:rFonts w:hint="eastAsia" w:ascii="Cambria Math" w:hAnsi="Cambria Math"/>
                  <w:color w:val="000000" w:themeColor="text1"/>
                  <w:sz w:val="24"/>
                  <w:szCs w:val="24"/>
                  <w14:textFill>
                    <w14:solidFill>
                      <w14:schemeClr w14:val="tx1"/>
                    </w14:solidFill>
                  </w14:textFill>
                </w:rPr>
                <m:t>C</m:t>
              </m:r>
              <m:ctrlPr>
                <w:rPr>
                  <w:rFonts w:ascii="Cambria Math" w:hAnsi="Cambria Math"/>
                  <w:i/>
                  <w:color w:val="000000" w:themeColor="text1"/>
                  <w:sz w:val="24"/>
                  <w:szCs w:val="24"/>
                  <w14:textFill>
                    <w14:solidFill>
                      <w14:schemeClr w14:val="tx1"/>
                    </w14:solidFill>
                  </w14:textFill>
                </w:rPr>
              </m:ctrlPr>
            </m:e>
            <m:sub>
              <m:r>
                <m:rPr/>
                <w:rPr>
                  <w:rFonts w:hint="eastAsia" w:ascii="Cambria Math" w:hAnsi="Cambria Math"/>
                  <w:color w:val="000000" w:themeColor="text1"/>
                  <w:sz w:val="24"/>
                  <w:szCs w:val="24"/>
                  <w14:textFill>
                    <w14:solidFill>
                      <w14:schemeClr w14:val="tx1"/>
                    </w14:solidFill>
                  </w14:textFill>
                </w:rPr>
                <m:t>n</m:t>
              </m:r>
              <m:ctrlPr>
                <w:rPr>
                  <w:rFonts w:ascii="Cambria Math" w:hAnsi="Cambria Math"/>
                  <w:i/>
                  <w:color w:val="000000" w:themeColor="text1"/>
                  <w:sz w:val="24"/>
                  <w:szCs w:val="24"/>
                  <w14:textFill>
                    <w14:solidFill>
                      <w14:schemeClr w14:val="tx1"/>
                    </w14:solidFill>
                  </w14:textFill>
                </w:rPr>
              </m:ctrlPr>
            </m:sub>
          </m:sSub>
          <m:r>
            <m:rPr/>
            <w:rPr>
              <w:rFonts w:ascii="Cambria Math" w:hAnsi="Cambria Math"/>
              <w:color w:val="000000" w:themeColor="text1"/>
              <w:sz w:val="24"/>
              <w:szCs w:val="24"/>
              <w14:textFill>
                <w14:solidFill>
                  <w14:schemeClr w14:val="tx1"/>
                </w14:solidFill>
              </w14:textFill>
            </w:rPr>
            <m:t>=1.22×</m:t>
          </m:r>
          <m:sSup>
            <m:sSupPr>
              <m:ctrlPr>
                <w:rPr>
                  <w:rFonts w:ascii="Cambria Math" w:hAnsi="Cambria Math"/>
                  <w:i/>
                  <w:color w:val="000000" w:themeColor="text1"/>
                  <w:sz w:val="24"/>
                  <w:szCs w:val="24"/>
                  <w14:textFill>
                    <w14:solidFill>
                      <w14:schemeClr w14:val="tx1"/>
                    </w14:solidFill>
                  </w14:textFill>
                </w:rPr>
              </m:ctrlPr>
            </m:sSupPr>
            <m:e>
              <m:r>
                <m:rPr/>
                <w:rPr>
                  <w:rFonts w:ascii="Cambria Math" w:hAnsi="Cambria Math"/>
                  <w:color w:val="000000" w:themeColor="text1"/>
                  <w:sz w:val="24"/>
                  <w:szCs w:val="24"/>
                  <w14:textFill>
                    <w14:solidFill>
                      <w14:schemeClr w14:val="tx1"/>
                    </w14:solidFill>
                  </w14:textFill>
                </w:rPr>
                <m:t>10</m:t>
              </m:r>
              <m:ctrlPr>
                <w:rPr>
                  <w:rFonts w:ascii="Cambria Math" w:hAnsi="Cambria Math"/>
                  <w:i/>
                  <w:color w:val="000000" w:themeColor="text1"/>
                  <w:sz w:val="24"/>
                  <w:szCs w:val="24"/>
                  <w14:textFill>
                    <w14:solidFill>
                      <w14:schemeClr w14:val="tx1"/>
                    </w14:solidFill>
                  </w14:textFill>
                </w:rPr>
              </m:ctrlPr>
            </m:e>
            <m:sup>
              <m:r>
                <m:rPr/>
                <w:rPr>
                  <w:rFonts w:ascii="Cambria Math" w:hAnsi="Cambria Math"/>
                  <w:color w:val="000000" w:themeColor="text1"/>
                  <w:sz w:val="24"/>
                  <w:szCs w:val="24"/>
                  <w14:textFill>
                    <w14:solidFill>
                      <w14:schemeClr w14:val="tx1"/>
                    </w14:solidFill>
                  </w14:textFill>
                </w:rPr>
                <m:t>4</m:t>
              </m:r>
              <m:ctrlPr>
                <w:rPr>
                  <w:rFonts w:ascii="Cambria Math" w:hAnsi="Cambria Math"/>
                  <w:i/>
                  <w:color w:val="000000" w:themeColor="text1"/>
                  <w:sz w:val="24"/>
                  <w:szCs w:val="24"/>
                  <w14:textFill>
                    <w14:solidFill>
                      <w14:schemeClr w14:val="tx1"/>
                    </w14:solidFill>
                  </w14:textFill>
                </w:rPr>
              </m:ctrlPr>
            </m:sup>
          </m:sSup>
          <m:r>
            <m:rPr/>
            <w:rPr>
              <w:rFonts w:ascii="Cambria Math" w:hAnsi="Cambria Math"/>
              <w:color w:val="000000" w:themeColor="text1"/>
              <w:sz w:val="24"/>
              <w:szCs w:val="24"/>
              <w14:textFill>
                <w14:solidFill>
                  <w14:schemeClr w14:val="tx1"/>
                </w14:solidFill>
              </w14:textFill>
            </w:rPr>
            <m:t>×</m:t>
          </m:r>
          <m:r>
            <m:rPr/>
            <w:rPr>
              <w:rFonts w:hint="eastAsia" w:ascii="Cambria Math" w:hAnsi="Cambria Math"/>
              <w:color w:val="000000" w:themeColor="text1"/>
              <w:sz w:val="24"/>
              <w:szCs w:val="24"/>
              <w14:textFill>
                <w14:solidFill>
                  <w14:schemeClr w14:val="tx1"/>
                </w14:solidFill>
              </w14:textFill>
            </w:rPr>
            <m:t>η</m:t>
          </m:r>
          <m:r>
            <m:rPr/>
            <w:rPr>
              <w:rFonts w:ascii="Cambria Math" w:hAnsi="Cambria Math"/>
              <w:color w:val="000000" w:themeColor="text1"/>
              <w:sz w:val="24"/>
              <w:szCs w:val="24"/>
              <w14:textFill>
                <w14:solidFill>
                  <w14:schemeClr w14:val="tx1"/>
                </w14:solidFill>
              </w14:textFill>
            </w:rPr>
            <m:t>×</m:t>
          </m:r>
          <m:r>
            <m:rPr/>
            <w:rPr>
              <w:rFonts w:hint="eastAsia" w:ascii="Cambria Math" w:hAnsi="Cambria Math"/>
              <w:color w:val="000000" w:themeColor="text1"/>
              <w:sz w:val="24"/>
              <w:szCs w:val="24"/>
              <w14:textFill>
                <w14:solidFill>
                  <w14:schemeClr w14:val="tx1"/>
                </w14:solidFill>
              </w14:textFill>
            </w:rPr>
            <m:t>k</m:t>
          </m:r>
        </m:oMath>
      </m:oMathPara>
    </w:p>
    <w:p w14:paraId="5A0DDE55">
      <w:pPr>
        <w:autoSpaceDE w:val="0"/>
        <w:autoSpaceDN w:val="0"/>
        <w:adjustRightInd w:val="0"/>
        <w:spacing w:line="360" w:lineRule="auto"/>
        <w:ind w:firstLine="472" w:firstLineChars="200"/>
        <w:rPr>
          <w:rFonts w:ascii="Times New Roman" w:hAnsi="Times New Roman"/>
          <w:color w:val="000000" w:themeColor="text1"/>
          <w:spacing w:val="-2"/>
          <w:sz w:val="24"/>
          <w:szCs w:val="24"/>
          <w:u w:val="single"/>
          <w14:textFill>
            <w14:solidFill>
              <w14:schemeClr w14:val="tx1"/>
            </w14:solidFill>
          </w14:textFill>
        </w:rPr>
      </w:pPr>
      <w:r>
        <w:rPr>
          <w:rFonts w:ascii="Times New Roman" w:hAnsi="Times New Roman"/>
          <w:color w:val="000000" w:themeColor="text1"/>
          <w:spacing w:val="-2"/>
          <w:sz w:val="24"/>
          <w:szCs w:val="24"/>
          <w:u w:val="single"/>
          <w14:textFill>
            <w14:solidFill>
              <w14:schemeClr w14:val="tx1"/>
            </w14:solidFill>
          </w14:textFill>
        </w:rPr>
        <w:t>式中：</w:t>
      </w:r>
    </w:p>
    <w:p w14:paraId="6117360C">
      <w:pPr>
        <w:autoSpaceDE w:val="0"/>
        <w:autoSpaceDN w:val="0"/>
        <w:adjustRightInd w:val="0"/>
        <w:spacing w:line="360" w:lineRule="auto"/>
        <w:ind w:firstLine="472" w:firstLineChars="200"/>
        <w:rPr>
          <w:rFonts w:ascii="Times New Roman" w:hAnsi="Times New Roman"/>
          <w:color w:val="000000" w:themeColor="text1"/>
          <w:spacing w:val="-2"/>
          <w:sz w:val="24"/>
          <w:szCs w:val="24"/>
          <w:u w:val="single"/>
          <w14:textFill>
            <w14:solidFill>
              <w14:schemeClr w14:val="tx1"/>
            </w14:solidFill>
          </w14:textFill>
        </w:rPr>
      </w:pPr>
      <w:r>
        <w:rPr>
          <w:rFonts w:hint="eastAsia" w:ascii="Times New Roman" w:hAnsi="Times New Roman"/>
          <w:color w:val="000000" w:themeColor="text1"/>
          <w:spacing w:val="-2"/>
          <w:sz w:val="24"/>
          <w:szCs w:val="24"/>
          <w:u w:val="single"/>
          <w14:textFill>
            <w14:solidFill>
              <w14:schemeClr w14:val="tx1"/>
            </w14:solidFill>
          </w14:textFill>
        </w:rPr>
        <w:t>η</w:t>
      </w:r>
      <w:r>
        <w:rPr>
          <w:rFonts w:ascii="Times New Roman" w:hAnsi="Times New Roman"/>
          <w:color w:val="000000" w:themeColor="text1"/>
          <w:spacing w:val="-2"/>
          <w:sz w:val="24"/>
          <w:szCs w:val="24"/>
          <w:u w:val="single"/>
          <w14:textFill>
            <w14:solidFill>
              <w14:schemeClr w14:val="tx1"/>
            </w14:solidFill>
          </w14:textFill>
        </w:rPr>
        <w:t>——</w:t>
      </w:r>
      <w:r>
        <w:rPr>
          <w:rFonts w:hint="eastAsia" w:ascii="Times New Roman" w:hAnsi="Times New Roman"/>
          <w:color w:val="000000" w:themeColor="text1"/>
          <w:spacing w:val="-2"/>
          <w:sz w:val="24"/>
          <w:szCs w:val="24"/>
          <w:u w:val="single"/>
          <w14:textFill>
            <w14:solidFill>
              <w14:schemeClr w14:val="tx1"/>
            </w14:solidFill>
          </w14:textFill>
        </w:rPr>
        <w:t>矿石中天然铀的品位</w:t>
      </w:r>
      <w:r>
        <w:rPr>
          <w:rFonts w:ascii="Times New Roman" w:hAnsi="Times New Roman"/>
          <w:color w:val="000000" w:themeColor="text1"/>
          <w:spacing w:val="-2"/>
          <w:sz w:val="24"/>
          <w:szCs w:val="24"/>
          <w:u w:val="single"/>
          <w14:textFill>
            <w14:solidFill>
              <w14:schemeClr w14:val="tx1"/>
            </w14:solidFill>
          </w14:textFill>
        </w:rPr>
        <w:t>；</w:t>
      </w:r>
      <w:r>
        <w:rPr>
          <w:rFonts w:hint="eastAsia" w:ascii="Times New Roman" w:hAnsi="Times New Roman"/>
          <w:color w:val="000000" w:themeColor="text1"/>
          <w:spacing w:val="-2"/>
          <w:sz w:val="24"/>
          <w:szCs w:val="24"/>
          <w:u w:val="single"/>
          <w14:textFill>
            <w14:solidFill>
              <w14:schemeClr w14:val="tx1"/>
            </w14:solidFill>
          </w14:textFill>
        </w:rPr>
        <w:t>根据项目情况取0.03%。</w:t>
      </w:r>
    </w:p>
    <w:p w14:paraId="52815C06">
      <w:pPr>
        <w:autoSpaceDE w:val="0"/>
        <w:autoSpaceDN w:val="0"/>
        <w:adjustRightInd w:val="0"/>
        <w:spacing w:line="360" w:lineRule="auto"/>
        <w:ind w:firstLine="472" w:firstLineChars="200"/>
        <w:rPr>
          <w:rFonts w:ascii="Times New Roman" w:hAnsi="Times New Roman"/>
          <w:color w:val="000000" w:themeColor="text1"/>
          <w:spacing w:val="-2"/>
          <w:sz w:val="24"/>
          <w:szCs w:val="24"/>
          <w:u w:val="single"/>
          <w14:textFill>
            <w14:solidFill>
              <w14:schemeClr w14:val="tx1"/>
            </w14:solidFill>
          </w14:textFill>
        </w:rPr>
      </w:pPr>
      <w:r>
        <w:rPr>
          <w:rFonts w:hint="eastAsia" w:ascii="Times New Roman" w:hAnsi="Times New Roman"/>
          <w:color w:val="000000" w:themeColor="text1"/>
          <w:spacing w:val="-2"/>
          <w:sz w:val="24"/>
          <w:szCs w:val="24"/>
          <w:u w:val="single"/>
          <w14:textFill>
            <w14:solidFill>
              <w14:schemeClr w14:val="tx1"/>
            </w14:solidFill>
          </w14:textFill>
        </w:rPr>
        <w:t>k</w:t>
      </w:r>
      <w:r>
        <w:rPr>
          <w:rFonts w:ascii="Times New Roman" w:hAnsi="Times New Roman"/>
          <w:color w:val="000000" w:themeColor="text1"/>
          <w:spacing w:val="-2"/>
          <w:sz w:val="24"/>
          <w:szCs w:val="24"/>
          <w:u w:val="single"/>
          <w14:textFill>
            <w14:solidFill>
              <w14:schemeClr w14:val="tx1"/>
            </w14:solidFill>
          </w14:textFill>
        </w:rPr>
        <w:t xml:space="preserve"> ——</w:t>
      </w:r>
      <w:r>
        <w:rPr>
          <w:rFonts w:hint="eastAsia" w:ascii="Times New Roman" w:hAnsi="Times New Roman"/>
          <w:color w:val="000000" w:themeColor="text1"/>
          <w:spacing w:val="-2"/>
          <w:sz w:val="24"/>
          <w:szCs w:val="24"/>
          <w:u w:val="single"/>
          <w14:textFill>
            <w14:solidFill>
              <w14:schemeClr w14:val="tx1"/>
            </w14:solidFill>
          </w14:textFill>
        </w:rPr>
        <w:t>铀镭平衡系数，k=1为镭处于平衡态，k&lt;1为偏铀态，k&gt;1为偏镭态。</w:t>
      </w:r>
    </w:p>
    <w:p w14:paraId="3768847B">
      <w:pPr>
        <w:spacing w:after="0" w:line="360" w:lineRule="auto"/>
        <w:ind w:firstLine="482" w:firstLineChars="200"/>
        <w:rPr>
          <w:rFonts w:ascii="Times New Roman" w:hAnsi="Times New Roman" w:cs="Times New Roman"/>
          <w:b/>
          <w:bCs/>
          <w:color w:val="000000" w:themeColor="text1"/>
          <w:sz w:val="24"/>
          <w:szCs w:val="24"/>
          <w:u w:val="single"/>
          <w14:textFill>
            <w14:solidFill>
              <w14:schemeClr w14:val="tx1"/>
            </w14:solidFill>
          </w14:textFill>
        </w:rPr>
      </w:pPr>
      <w:r>
        <w:rPr>
          <w:rFonts w:hint="eastAsia" w:ascii="Times New Roman" w:hAnsi="Times New Roman" w:cs="Times New Roman"/>
          <w:b/>
          <w:bCs/>
          <w:color w:val="000000" w:themeColor="text1"/>
          <w:sz w:val="24"/>
          <w:szCs w:val="24"/>
          <w:u w:val="single"/>
          <w14:textFill>
            <w14:solidFill>
              <w14:schemeClr w14:val="tx1"/>
            </w14:solidFill>
          </w14:textFill>
        </w:rPr>
        <w:t>（2）氡工艺加工过程的排放</w:t>
      </w:r>
    </w:p>
    <w:p w14:paraId="66E2E84F">
      <w:pPr>
        <w:spacing w:after="0" w:line="360" w:lineRule="auto"/>
        <w:ind w:firstLine="480" w:firstLineChars="200"/>
        <w:rPr>
          <w:rFonts w:ascii="Times New Roman" w:hAnsi="Times New Roman" w:cs="Times New Roman"/>
          <w:color w:val="000000" w:themeColor="text1"/>
          <w:sz w:val="24"/>
          <w:szCs w:val="24"/>
          <w:u w:val="single"/>
          <w14:textFill>
            <w14:solidFill>
              <w14:schemeClr w14:val="tx1"/>
            </w14:solidFill>
          </w14:textFill>
        </w:rPr>
      </w:pPr>
      <w:r>
        <w:rPr>
          <w:rFonts w:hint="eastAsia" w:ascii="Times New Roman" w:hAnsi="Times New Roman" w:cs="Times New Roman"/>
          <w:color w:val="000000" w:themeColor="text1"/>
          <w:sz w:val="24"/>
          <w:szCs w:val="24"/>
          <w:u w:val="single"/>
          <w14:textFill>
            <w14:solidFill>
              <w14:schemeClr w14:val="tx1"/>
            </w14:solidFill>
          </w14:textFill>
        </w:rPr>
        <w:t>项目毛矿分选加工工序中，</w:t>
      </w:r>
      <w:r>
        <w:rPr>
          <w:rFonts w:hint="eastAsia" w:ascii="Times New Roman" w:hAnsi="Times New Roman" w:cs="Times New Roman"/>
          <w:color w:val="000000" w:themeColor="text1"/>
          <w:sz w:val="24"/>
          <w:szCs w:val="24"/>
          <w:u w:val="single"/>
          <w:vertAlign w:val="superscript"/>
          <w14:textFill>
            <w14:solidFill>
              <w14:schemeClr w14:val="tx1"/>
            </w14:solidFill>
          </w14:textFill>
        </w:rPr>
        <w:t>222</w:t>
      </w:r>
      <w:r>
        <w:rPr>
          <w:rFonts w:hint="eastAsia" w:ascii="Times New Roman" w:hAnsi="Times New Roman" w:cs="Times New Roman"/>
          <w:color w:val="000000" w:themeColor="text1"/>
          <w:sz w:val="24"/>
          <w:szCs w:val="24"/>
          <w:u w:val="single"/>
          <w14:textFill>
            <w14:solidFill>
              <w14:schemeClr w14:val="tx1"/>
            </w14:solidFill>
          </w14:textFill>
        </w:rPr>
        <w:t>Rn的排放可按下式估算：</w:t>
      </w:r>
    </w:p>
    <w:p w14:paraId="37C7A01C">
      <w:pPr>
        <w:spacing w:line="360" w:lineRule="auto"/>
        <w:ind w:firstLine="480" w:firstLineChars="200"/>
        <w:jc w:val="center"/>
        <w:rPr>
          <w:rFonts w:ascii="Times New Roman" w:hAnsi="Times New Roman"/>
          <w:color w:val="000000" w:themeColor="text1"/>
          <w:sz w:val="24"/>
          <w:szCs w:val="24"/>
          <w14:textFill>
            <w14:solidFill>
              <w14:schemeClr w14:val="tx1"/>
            </w14:solidFill>
          </w14:textFill>
        </w:rPr>
      </w:pPr>
      <m:oMathPara>
        <m:oMath>
          <m:sSub>
            <m:sSubPr>
              <m:ctrlPr>
                <w:rPr>
                  <w:rFonts w:ascii="Cambria Math" w:hAnsi="Cambria Math"/>
                  <w:i/>
                  <w:color w:val="000000" w:themeColor="text1"/>
                  <w:sz w:val="24"/>
                  <w:szCs w:val="24"/>
                  <w14:textFill>
                    <w14:solidFill>
                      <w14:schemeClr w14:val="tx1"/>
                    </w14:solidFill>
                  </w14:textFill>
                </w:rPr>
              </m:ctrlPr>
            </m:sSubPr>
            <m:e>
              <m:r>
                <m:rPr/>
                <w:rPr>
                  <w:rFonts w:hint="eastAsia" w:ascii="Cambria Math" w:hAnsi="Cambria Math"/>
                  <w:color w:val="000000" w:themeColor="text1"/>
                  <w:sz w:val="24"/>
                  <w:szCs w:val="24"/>
                  <w14:textFill>
                    <w14:solidFill>
                      <w14:schemeClr w14:val="tx1"/>
                    </w14:solidFill>
                  </w14:textFill>
                </w:rPr>
                <m:t>S</m:t>
              </m:r>
              <m:ctrlPr>
                <w:rPr>
                  <w:rFonts w:ascii="Cambria Math" w:hAnsi="Cambria Math"/>
                  <w:i/>
                  <w:color w:val="000000" w:themeColor="text1"/>
                  <w:sz w:val="24"/>
                  <w:szCs w:val="24"/>
                  <w14:textFill>
                    <w14:solidFill>
                      <w14:schemeClr w14:val="tx1"/>
                    </w14:solidFill>
                  </w14:textFill>
                </w:rPr>
              </m:ctrlPr>
            </m:e>
            <m:sub>
              <m:r>
                <m:rPr/>
                <w:rPr>
                  <w:rFonts w:hint="eastAsia" w:ascii="Cambria Math" w:hAnsi="Cambria Math"/>
                  <w:color w:val="000000" w:themeColor="text1"/>
                  <w:sz w:val="24"/>
                  <w:szCs w:val="24"/>
                  <w14:textFill>
                    <w14:solidFill>
                      <w14:schemeClr w14:val="tx1"/>
                    </w14:solidFill>
                  </w14:textFill>
                </w:rPr>
                <m:t>aR</m:t>
              </m:r>
              <m:ctrlPr>
                <w:rPr>
                  <w:rFonts w:ascii="Cambria Math" w:hAnsi="Cambria Math"/>
                  <w:i/>
                  <w:color w:val="000000" w:themeColor="text1"/>
                  <w:sz w:val="24"/>
                  <w:szCs w:val="24"/>
                  <w14:textFill>
                    <w14:solidFill>
                      <w14:schemeClr w14:val="tx1"/>
                    </w14:solidFill>
                  </w14:textFill>
                </w:rPr>
              </m:ctrlPr>
            </m:sub>
          </m:sSub>
          <m:r>
            <m:rPr/>
            <w:rPr>
              <w:rFonts w:ascii="Cambria Math" w:hAnsi="Cambria Math"/>
              <w:color w:val="000000" w:themeColor="text1"/>
              <w:sz w:val="24"/>
              <w:szCs w:val="24"/>
              <w14:textFill>
                <w14:solidFill>
                  <w14:schemeClr w14:val="tx1"/>
                </w14:solidFill>
              </w14:textFill>
            </w:rPr>
            <m:t>=</m:t>
          </m:r>
          <m:sSup>
            <m:sSupPr>
              <m:ctrlPr>
                <w:rPr>
                  <w:rFonts w:ascii="Cambria Math" w:hAnsi="Cambria Math"/>
                  <w:i/>
                  <w:color w:val="000000" w:themeColor="text1"/>
                  <w:sz w:val="24"/>
                  <w:szCs w:val="24"/>
                  <w14:textFill>
                    <w14:solidFill>
                      <w14:schemeClr w14:val="tx1"/>
                    </w14:solidFill>
                  </w14:textFill>
                </w:rPr>
              </m:ctrlPr>
            </m:sSupPr>
            <m:e>
              <m:r>
                <m:rPr/>
                <w:rPr>
                  <w:rFonts w:ascii="Cambria Math" w:hAnsi="Cambria Math"/>
                  <w:color w:val="000000" w:themeColor="text1"/>
                  <w:sz w:val="24"/>
                  <w:szCs w:val="24"/>
                  <w14:textFill>
                    <w14:solidFill>
                      <w14:schemeClr w14:val="tx1"/>
                    </w14:solidFill>
                  </w14:textFill>
                </w:rPr>
                <m:t>10</m:t>
              </m:r>
              <m:ctrlPr>
                <w:rPr>
                  <w:rFonts w:ascii="Cambria Math" w:hAnsi="Cambria Math"/>
                  <w:i/>
                  <w:color w:val="000000" w:themeColor="text1"/>
                  <w:sz w:val="24"/>
                  <w:szCs w:val="24"/>
                  <w14:textFill>
                    <w14:solidFill>
                      <w14:schemeClr w14:val="tx1"/>
                    </w14:solidFill>
                  </w14:textFill>
                </w:rPr>
              </m:ctrlPr>
            </m:e>
            <m:sup>
              <m:r>
                <m:rPr/>
                <w:rPr>
                  <w:rFonts w:ascii="Cambria Math" w:hAnsi="Cambria Math"/>
                  <w:color w:val="000000" w:themeColor="text1"/>
                  <w:sz w:val="24"/>
                  <w:szCs w:val="24"/>
                  <w14:textFill>
                    <w14:solidFill>
                      <w14:schemeClr w14:val="tx1"/>
                    </w14:solidFill>
                  </w14:textFill>
                </w:rPr>
                <m:t>4</m:t>
              </m:r>
              <m:ctrlPr>
                <w:rPr>
                  <w:rFonts w:ascii="Cambria Math" w:hAnsi="Cambria Math"/>
                  <w:i/>
                  <w:color w:val="000000" w:themeColor="text1"/>
                  <w:sz w:val="24"/>
                  <w:szCs w:val="24"/>
                  <w14:textFill>
                    <w14:solidFill>
                      <w14:schemeClr w14:val="tx1"/>
                    </w14:solidFill>
                  </w14:textFill>
                </w:rPr>
              </m:ctrlPr>
            </m:sup>
          </m:sSup>
          <m:r>
            <m:rPr/>
            <w:rPr>
              <w:rFonts w:ascii="Cambria Math" w:hAnsi="Cambria Math"/>
              <w:color w:val="000000" w:themeColor="text1"/>
              <w:sz w:val="24"/>
              <w:szCs w:val="24"/>
              <w14:textFill>
                <w14:solidFill>
                  <w14:schemeClr w14:val="tx1"/>
                </w14:solidFill>
              </w14:textFill>
            </w:rPr>
            <m:t>×</m:t>
          </m:r>
          <m:sSub>
            <m:sSubPr>
              <m:ctrlPr>
                <w:rPr>
                  <w:rFonts w:ascii="Cambria Math" w:hAnsi="Cambria Math"/>
                  <w:i/>
                  <w:color w:val="000000" w:themeColor="text1"/>
                  <w:sz w:val="24"/>
                  <w:szCs w:val="24"/>
                  <w14:textFill>
                    <w14:solidFill>
                      <w14:schemeClr w14:val="tx1"/>
                    </w14:solidFill>
                  </w14:textFill>
                </w:rPr>
              </m:ctrlPr>
            </m:sSubPr>
            <m:e>
              <m:r>
                <m:rPr/>
                <w:rPr>
                  <w:rFonts w:hint="eastAsia" w:ascii="Cambria Math" w:hAnsi="Cambria Math"/>
                  <w:color w:val="000000" w:themeColor="text1"/>
                  <w:sz w:val="24"/>
                  <w:szCs w:val="24"/>
                  <w14:textFill>
                    <w14:solidFill>
                      <w14:schemeClr w14:val="tx1"/>
                    </w14:solidFill>
                  </w14:textFill>
                </w:rPr>
                <m:t>M</m:t>
              </m:r>
              <m:ctrlPr>
                <w:rPr>
                  <w:rFonts w:ascii="Cambria Math" w:hAnsi="Cambria Math"/>
                  <w:i/>
                  <w:color w:val="000000" w:themeColor="text1"/>
                  <w:sz w:val="24"/>
                  <w:szCs w:val="24"/>
                  <w14:textFill>
                    <w14:solidFill>
                      <w14:schemeClr w14:val="tx1"/>
                    </w14:solidFill>
                  </w14:textFill>
                </w:rPr>
              </m:ctrlPr>
            </m:e>
            <m:sub>
              <m:r>
                <m:rPr/>
                <w:rPr>
                  <w:rFonts w:hint="eastAsia" w:ascii="Cambria Math" w:hAnsi="Cambria Math"/>
                  <w:color w:val="000000" w:themeColor="text1"/>
                  <w:sz w:val="24"/>
                  <w:szCs w:val="24"/>
                  <w14:textFill>
                    <w14:solidFill>
                      <w14:schemeClr w14:val="tx1"/>
                    </w14:solidFill>
                  </w14:textFill>
                </w:rPr>
                <m:t>a</m:t>
              </m:r>
              <m:ctrlPr>
                <w:rPr>
                  <w:rFonts w:ascii="Cambria Math" w:hAnsi="Cambria Math"/>
                  <w:i/>
                  <w:color w:val="000000" w:themeColor="text1"/>
                  <w:sz w:val="24"/>
                  <w:szCs w:val="24"/>
                  <w14:textFill>
                    <w14:solidFill>
                      <w14:schemeClr w14:val="tx1"/>
                    </w14:solidFill>
                  </w14:textFill>
                </w:rPr>
              </m:ctrlPr>
            </m:sub>
          </m:sSub>
          <m:r>
            <m:rPr/>
            <w:rPr>
              <w:rFonts w:ascii="Cambria Math" w:hAnsi="Cambria Math"/>
              <w:color w:val="000000" w:themeColor="text1"/>
              <w:sz w:val="24"/>
              <w:szCs w:val="24"/>
              <w14:textFill>
                <w14:solidFill>
                  <w14:schemeClr w14:val="tx1"/>
                </w14:solidFill>
              </w14:textFill>
            </w:rPr>
            <m:t>×</m:t>
          </m:r>
          <m:sSub>
            <m:sSubPr>
              <m:ctrlPr>
                <w:rPr>
                  <w:rFonts w:ascii="Cambria Math" w:hAnsi="Cambria Math"/>
                  <w:i/>
                  <w:color w:val="000000" w:themeColor="text1"/>
                  <w:sz w:val="24"/>
                  <w:szCs w:val="24"/>
                  <w14:textFill>
                    <w14:solidFill>
                      <w14:schemeClr w14:val="tx1"/>
                    </w14:solidFill>
                  </w14:textFill>
                </w:rPr>
              </m:ctrlPr>
            </m:sSubPr>
            <m:e>
              <m:r>
                <m:rPr/>
                <w:rPr>
                  <w:rFonts w:hint="eastAsia" w:ascii="Cambria Math" w:hAnsi="Cambria Math"/>
                  <w:color w:val="000000" w:themeColor="text1"/>
                  <w:sz w:val="24"/>
                  <w:szCs w:val="24"/>
                  <w14:textFill>
                    <w14:solidFill>
                      <w14:schemeClr w14:val="tx1"/>
                    </w14:solidFill>
                  </w14:textFill>
                </w:rPr>
                <m:t>E</m:t>
              </m:r>
              <m:ctrlPr>
                <w:rPr>
                  <w:rFonts w:ascii="Cambria Math" w:hAnsi="Cambria Math"/>
                  <w:i/>
                  <w:color w:val="000000" w:themeColor="text1"/>
                  <w:sz w:val="24"/>
                  <w:szCs w:val="24"/>
                  <w14:textFill>
                    <w14:solidFill>
                      <w14:schemeClr w14:val="tx1"/>
                    </w14:solidFill>
                  </w14:textFill>
                </w:rPr>
              </m:ctrlPr>
            </m:e>
            <m:sub>
              <m:r>
                <m:rPr/>
                <w:rPr>
                  <w:rFonts w:hint="eastAsia" w:ascii="Cambria Math" w:hAnsi="Cambria Math"/>
                  <w:color w:val="000000" w:themeColor="text1"/>
                  <w:sz w:val="24"/>
                  <w:szCs w:val="24"/>
                  <w14:textFill>
                    <w14:solidFill>
                      <w14:schemeClr w14:val="tx1"/>
                    </w14:solidFill>
                  </w14:textFill>
                </w:rPr>
                <m:t>d</m:t>
              </m:r>
              <m:ctrlPr>
                <w:rPr>
                  <w:rFonts w:ascii="Cambria Math" w:hAnsi="Cambria Math"/>
                  <w:i/>
                  <w:color w:val="000000" w:themeColor="text1"/>
                  <w:sz w:val="24"/>
                  <w:szCs w:val="24"/>
                  <w14:textFill>
                    <w14:solidFill>
                      <w14:schemeClr w14:val="tx1"/>
                    </w14:solidFill>
                  </w14:textFill>
                </w:rPr>
              </m:ctrlPr>
            </m:sub>
          </m:sSub>
          <m:r>
            <m:rPr/>
            <w:rPr>
              <w:rFonts w:ascii="Cambria Math" w:hAnsi="Cambria Math"/>
              <w:color w:val="000000" w:themeColor="text1"/>
              <w:sz w:val="24"/>
              <w:szCs w:val="24"/>
              <w14:textFill>
                <w14:solidFill>
                  <w14:schemeClr w14:val="tx1"/>
                </w14:solidFill>
              </w14:textFill>
            </w:rPr>
            <m:t>×</m:t>
          </m:r>
          <m:sSub>
            <m:sSubPr>
              <m:ctrlPr>
                <w:rPr>
                  <w:rFonts w:ascii="Cambria Math" w:hAnsi="Cambria Math"/>
                  <w:i/>
                  <w:color w:val="000000" w:themeColor="text1"/>
                  <w:sz w:val="24"/>
                  <w:szCs w:val="24"/>
                  <w14:textFill>
                    <w14:solidFill>
                      <w14:schemeClr w14:val="tx1"/>
                    </w14:solidFill>
                  </w14:textFill>
                </w:rPr>
              </m:ctrlPr>
            </m:sSubPr>
            <m:e>
              <m:r>
                <m:rPr/>
                <w:rPr>
                  <w:rFonts w:hint="eastAsia" w:ascii="Cambria Math" w:hAnsi="Cambria Math"/>
                  <w:color w:val="000000" w:themeColor="text1"/>
                  <w:sz w:val="24"/>
                  <w:szCs w:val="24"/>
                  <w14:textFill>
                    <w14:solidFill>
                      <w14:schemeClr w14:val="tx1"/>
                    </w14:solidFill>
                  </w14:textFill>
                </w:rPr>
                <m:t>C</m:t>
              </m:r>
              <m:ctrlPr>
                <w:rPr>
                  <w:rFonts w:ascii="Cambria Math" w:hAnsi="Cambria Math"/>
                  <w:i/>
                  <w:color w:val="000000" w:themeColor="text1"/>
                  <w:sz w:val="24"/>
                  <w:szCs w:val="24"/>
                  <w14:textFill>
                    <w14:solidFill>
                      <w14:schemeClr w14:val="tx1"/>
                    </w14:solidFill>
                  </w14:textFill>
                </w:rPr>
              </m:ctrlPr>
            </m:e>
            <m:sub>
              <m:r>
                <m:rPr/>
                <w:rPr>
                  <w:rFonts w:hint="eastAsia" w:ascii="Cambria Math" w:hAnsi="Cambria Math"/>
                  <w:color w:val="000000" w:themeColor="text1"/>
                  <w:sz w:val="24"/>
                  <w:szCs w:val="24"/>
                  <w14:textFill>
                    <w14:solidFill>
                      <w14:schemeClr w14:val="tx1"/>
                    </w14:solidFill>
                  </w14:textFill>
                </w:rPr>
                <m:t>n</m:t>
              </m:r>
              <m:ctrlPr>
                <w:rPr>
                  <w:rFonts w:ascii="Cambria Math" w:hAnsi="Cambria Math"/>
                  <w:i/>
                  <w:color w:val="000000" w:themeColor="text1"/>
                  <w:sz w:val="24"/>
                  <w:szCs w:val="24"/>
                  <w14:textFill>
                    <w14:solidFill>
                      <w14:schemeClr w14:val="tx1"/>
                    </w14:solidFill>
                  </w14:textFill>
                </w:rPr>
              </m:ctrlPr>
            </m:sub>
          </m:sSub>
        </m:oMath>
      </m:oMathPara>
    </w:p>
    <w:p w14:paraId="00562EA3">
      <w:pPr>
        <w:autoSpaceDE w:val="0"/>
        <w:autoSpaceDN w:val="0"/>
        <w:adjustRightInd w:val="0"/>
        <w:spacing w:line="360" w:lineRule="auto"/>
        <w:ind w:firstLine="472" w:firstLineChars="200"/>
        <w:rPr>
          <w:rFonts w:ascii="Times New Roman" w:hAnsi="Times New Roman"/>
          <w:color w:val="000000" w:themeColor="text1"/>
          <w:spacing w:val="-2"/>
          <w:sz w:val="24"/>
          <w:szCs w:val="24"/>
          <w:u w:val="single"/>
          <w14:textFill>
            <w14:solidFill>
              <w14:schemeClr w14:val="tx1"/>
            </w14:solidFill>
          </w14:textFill>
        </w:rPr>
      </w:pPr>
      <w:r>
        <w:rPr>
          <w:rFonts w:ascii="Times New Roman" w:hAnsi="Times New Roman"/>
          <w:color w:val="000000" w:themeColor="text1"/>
          <w:spacing w:val="-2"/>
          <w:sz w:val="24"/>
          <w:szCs w:val="24"/>
          <w:u w:val="single"/>
          <w14:textFill>
            <w14:solidFill>
              <w14:schemeClr w14:val="tx1"/>
            </w14:solidFill>
          </w14:textFill>
        </w:rPr>
        <w:t>式中：</w:t>
      </w:r>
    </w:p>
    <w:p w14:paraId="0547DC3D">
      <w:pPr>
        <w:autoSpaceDE w:val="0"/>
        <w:autoSpaceDN w:val="0"/>
        <w:adjustRightInd w:val="0"/>
        <w:spacing w:line="360" w:lineRule="auto"/>
        <w:ind w:firstLine="472" w:firstLineChars="200"/>
        <w:rPr>
          <w:rFonts w:ascii="Times New Roman" w:hAnsi="Times New Roman"/>
          <w:color w:val="000000" w:themeColor="text1"/>
          <w:spacing w:val="-2"/>
          <w:sz w:val="24"/>
          <w:szCs w:val="24"/>
          <w:u w:val="single"/>
          <w14:textFill>
            <w14:solidFill>
              <w14:schemeClr w14:val="tx1"/>
            </w14:solidFill>
          </w14:textFill>
        </w:rPr>
      </w:pPr>
      <w:r>
        <w:rPr>
          <w:rFonts w:hint="eastAsia" w:ascii="Times New Roman" w:hAnsi="Times New Roman"/>
          <w:color w:val="000000" w:themeColor="text1"/>
          <w:spacing w:val="-2"/>
          <w:sz w:val="24"/>
          <w:szCs w:val="24"/>
          <w:u w:val="single"/>
          <w14:textFill>
            <w14:solidFill>
              <w14:schemeClr w14:val="tx1"/>
            </w14:solidFill>
          </w14:textFill>
        </w:rPr>
        <w:t>S</w:t>
      </w:r>
      <w:r>
        <w:rPr>
          <w:rFonts w:hint="eastAsia" w:ascii="Times New Roman" w:hAnsi="Times New Roman"/>
          <w:color w:val="000000" w:themeColor="text1"/>
          <w:spacing w:val="-2"/>
          <w:sz w:val="24"/>
          <w:szCs w:val="24"/>
          <w:u w:val="single"/>
          <w:vertAlign w:val="subscript"/>
          <w14:textFill>
            <w14:solidFill>
              <w14:schemeClr w14:val="tx1"/>
            </w14:solidFill>
          </w14:textFill>
        </w:rPr>
        <w:t>aR</w:t>
      </w:r>
      <w:r>
        <w:rPr>
          <w:rFonts w:ascii="Times New Roman" w:hAnsi="Times New Roman"/>
          <w:color w:val="000000" w:themeColor="text1"/>
          <w:spacing w:val="-2"/>
          <w:sz w:val="24"/>
          <w:szCs w:val="24"/>
          <w:u w:val="single"/>
          <w14:textFill>
            <w14:solidFill>
              <w14:schemeClr w14:val="tx1"/>
            </w14:solidFill>
          </w14:textFill>
        </w:rPr>
        <w:t xml:space="preserve"> ——</w:t>
      </w:r>
      <w:r>
        <w:rPr>
          <w:rFonts w:hint="eastAsia" w:ascii="Times New Roman" w:hAnsi="Times New Roman"/>
          <w:color w:val="000000" w:themeColor="text1"/>
          <w:spacing w:val="-2"/>
          <w:sz w:val="24"/>
          <w:szCs w:val="24"/>
          <w:u w:val="single"/>
          <w14:textFill>
            <w14:solidFill>
              <w14:schemeClr w14:val="tx1"/>
            </w14:solidFill>
          </w14:textFill>
        </w:rPr>
        <w:t>矿石加工工序中，</w:t>
      </w:r>
      <w:r>
        <w:rPr>
          <w:rFonts w:hint="eastAsia" w:ascii="Times New Roman" w:hAnsi="Times New Roman"/>
          <w:color w:val="000000" w:themeColor="text1"/>
          <w:spacing w:val="-2"/>
          <w:sz w:val="24"/>
          <w:szCs w:val="24"/>
          <w:u w:val="single"/>
          <w:vertAlign w:val="superscript"/>
          <w14:textFill>
            <w14:solidFill>
              <w14:schemeClr w14:val="tx1"/>
            </w14:solidFill>
          </w14:textFill>
        </w:rPr>
        <w:t>222</w:t>
      </w:r>
      <w:r>
        <w:rPr>
          <w:rFonts w:hint="eastAsia" w:ascii="Times New Roman" w:hAnsi="Times New Roman"/>
          <w:color w:val="000000" w:themeColor="text1"/>
          <w:spacing w:val="-2"/>
          <w:sz w:val="24"/>
          <w:szCs w:val="24"/>
          <w:u w:val="single"/>
          <w14:textFill>
            <w14:solidFill>
              <w14:schemeClr w14:val="tx1"/>
            </w14:solidFill>
          </w14:textFill>
        </w:rPr>
        <w:t>Rn的年排放量</w:t>
      </w:r>
      <w:r>
        <w:rPr>
          <w:rFonts w:ascii="Times New Roman" w:hAnsi="Times New Roman"/>
          <w:color w:val="000000" w:themeColor="text1"/>
          <w:spacing w:val="-2"/>
          <w:sz w:val="24"/>
          <w:szCs w:val="24"/>
          <w:u w:val="single"/>
          <w14:textFill>
            <w14:solidFill>
              <w14:schemeClr w14:val="tx1"/>
            </w14:solidFill>
          </w14:textFill>
        </w:rPr>
        <w:t>，</w:t>
      </w:r>
      <w:r>
        <w:rPr>
          <w:rFonts w:hint="eastAsia" w:ascii="Times New Roman" w:hAnsi="Times New Roman"/>
          <w:color w:val="000000" w:themeColor="text1"/>
          <w:spacing w:val="-2"/>
          <w:sz w:val="24"/>
          <w:szCs w:val="24"/>
          <w:u w:val="single"/>
          <w14:textFill>
            <w14:solidFill>
              <w14:schemeClr w14:val="tx1"/>
            </w14:solidFill>
          </w14:textFill>
        </w:rPr>
        <w:t>Bq/a</w:t>
      </w:r>
      <w:r>
        <w:rPr>
          <w:rFonts w:ascii="Times New Roman" w:hAnsi="Times New Roman"/>
          <w:color w:val="000000" w:themeColor="text1"/>
          <w:spacing w:val="-2"/>
          <w:sz w:val="24"/>
          <w:szCs w:val="24"/>
          <w:u w:val="single"/>
          <w14:textFill>
            <w14:solidFill>
              <w14:schemeClr w14:val="tx1"/>
            </w14:solidFill>
          </w14:textFill>
        </w:rPr>
        <w:t>；</w:t>
      </w:r>
    </w:p>
    <w:p w14:paraId="72B0BBB0">
      <w:pPr>
        <w:autoSpaceDE w:val="0"/>
        <w:autoSpaceDN w:val="0"/>
        <w:adjustRightInd w:val="0"/>
        <w:spacing w:line="360" w:lineRule="auto"/>
        <w:ind w:firstLine="472" w:firstLineChars="200"/>
        <w:rPr>
          <w:rFonts w:ascii="Times New Roman" w:hAnsi="Times New Roman"/>
          <w:color w:val="000000" w:themeColor="text1"/>
          <w:spacing w:val="-2"/>
          <w:sz w:val="24"/>
          <w:szCs w:val="24"/>
          <w:u w:val="single"/>
          <w14:textFill>
            <w14:solidFill>
              <w14:schemeClr w14:val="tx1"/>
            </w14:solidFill>
          </w14:textFill>
        </w:rPr>
      </w:pPr>
      <w:r>
        <w:rPr>
          <w:rFonts w:hint="eastAsia" w:ascii="Times New Roman" w:hAnsi="Times New Roman"/>
          <w:color w:val="000000" w:themeColor="text1"/>
          <w:spacing w:val="-2"/>
          <w:sz w:val="24"/>
          <w:szCs w:val="24"/>
          <w:u w:val="single"/>
          <w14:textFill>
            <w14:solidFill>
              <w14:schemeClr w14:val="tx1"/>
            </w14:solidFill>
          </w14:textFill>
        </w:rPr>
        <w:t>M</w:t>
      </w:r>
      <w:r>
        <w:rPr>
          <w:rFonts w:hint="eastAsia" w:ascii="Times New Roman" w:hAnsi="Times New Roman"/>
          <w:color w:val="000000" w:themeColor="text1"/>
          <w:spacing w:val="-2"/>
          <w:sz w:val="24"/>
          <w:szCs w:val="24"/>
          <w:u w:val="single"/>
          <w:vertAlign w:val="subscript"/>
          <w14:textFill>
            <w14:solidFill>
              <w14:schemeClr w14:val="tx1"/>
            </w14:solidFill>
          </w14:textFill>
        </w:rPr>
        <w:t>a</w:t>
      </w:r>
      <w:r>
        <w:rPr>
          <w:rFonts w:ascii="Times New Roman" w:hAnsi="Times New Roman"/>
          <w:color w:val="000000" w:themeColor="text1"/>
          <w:spacing w:val="-2"/>
          <w:sz w:val="24"/>
          <w:szCs w:val="24"/>
          <w:u w:val="single"/>
          <w14:textFill>
            <w14:solidFill>
              <w14:schemeClr w14:val="tx1"/>
            </w14:solidFill>
          </w14:textFill>
        </w:rPr>
        <w:t xml:space="preserve"> ——</w:t>
      </w:r>
      <w:r>
        <w:rPr>
          <w:rFonts w:hint="eastAsia" w:ascii="Times New Roman" w:hAnsi="Times New Roman"/>
          <w:color w:val="000000" w:themeColor="text1"/>
          <w:spacing w:val="-2"/>
          <w:sz w:val="24"/>
          <w:szCs w:val="24"/>
          <w:u w:val="single"/>
          <w14:textFill>
            <w14:solidFill>
              <w14:schemeClr w14:val="tx1"/>
            </w14:solidFill>
          </w14:textFill>
        </w:rPr>
        <w:t>年处理矿石总量</w:t>
      </w:r>
      <w:r>
        <w:rPr>
          <w:rFonts w:ascii="Times New Roman" w:hAnsi="Times New Roman"/>
          <w:color w:val="000000" w:themeColor="text1"/>
          <w:spacing w:val="-2"/>
          <w:sz w:val="24"/>
          <w:szCs w:val="24"/>
          <w:u w:val="single"/>
          <w14:textFill>
            <w14:solidFill>
              <w14:schemeClr w14:val="tx1"/>
            </w14:solidFill>
          </w14:textFill>
        </w:rPr>
        <w:t>，</w:t>
      </w:r>
      <w:r>
        <w:rPr>
          <w:rFonts w:hint="eastAsia" w:ascii="Times New Roman" w:hAnsi="Times New Roman"/>
          <w:color w:val="000000" w:themeColor="text1"/>
          <w:spacing w:val="-2"/>
          <w:sz w:val="24"/>
          <w:szCs w:val="24"/>
          <w:u w:val="single"/>
          <w14:textFill>
            <w14:solidFill>
              <w14:schemeClr w14:val="tx1"/>
            </w14:solidFill>
          </w14:textFill>
        </w:rPr>
        <w:t>t/a</w:t>
      </w:r>
      <w:r>
        <w:rPr>
          <w:rFonts w:ascii="Times New Roman" w:hAnsi="Times New Roman"/>
          <w:color w:val="000000" w:themeColor="text1"/>
          <w:spacing w:val="-2"/>
          <w:sz w:val="24"/>
          <w:szCs w:val="24"/>
          <w:u w:val="single"/>
          <w14:textFill>
            <w14:solidFill>
              <w14:schemeClr w14:val="tx1"/>
            </w14:solidFill>
          </w14:textFill>
        </w:rPr>
        <w:t>；</w:t>
      </w:r>
      <w:r>
        <w:rPr>
          <w:rFonts w:hint="eastAsia" w:ascii="Times New Roman" w:hAnsi="Times New Roman"/>
          <w:color w:val="000000" w:themeColor="text1"/>
          <w:spacing w:val="-2"/>
          <w:sz w:val="24"/>
          <w:szCs w:val="24"/>
          <w:u w:val="single"/>
          <w14:textFill>
            <w14:solidFill>
              <w14:schemeClr w14:val="tx1"/>
            </w14:solidFill>
          </w14:textFill>
        </w:rPr>
        <w:t>取240000t/a；</w:t>
      </w:r>
    </w:p>
    <w:p w14:paraId="67F665EA">
      <w:pPr>
        <w:autoSpaceDE w:val="0"/>
        <w:autoSpaceDN w:val="0"/>
        <w:adjustRightInd w:val="0"/>
        <w:spacing w:line="360" w:lineRule="auto"/>
        <w:ind w:firstLine="472" w:firstLineChars="200"/>
        <w:rPr>
          <w:rFonts w:ascii="Times New Roman" w:hAnsi="Times New Roman"/>
          <w:color w:val="000000" w:themeColor="text1"/>
          <w:spacing w:val="-2"/>
          <w:sz w:val="24"/>
          <w:szCs w:val="24"/>
          <w:u w:val="single"/>
          <w14:textFill>
            <w14:solidFill>
              <w14:schemeClr w14:val="tx1"/>
            </w14:solidFill>
          </w14:textFill>
        </w:rPr>
      </w:pPr>
      <w:r>
        <w:rPr>
          <w:rFonts w:hint="eastAsia" w:ascii="Times New Roman" w:hAnsi="Times New Roman"/>
          <w:color w:val="000000" w:themeColor="text1"/>
          <w:spacing w:val="-2"/>
          <w:sz w:val="24"/>
          <w:szCs w:val="24"/>
          <w:u w:val="single"/>
          <w14:textFill>
            <w14:solidFill>
              <w14:schemeClr w14:val="tx1"/>
            </w14:solidFill>
          </w14:textFill>
        </w:rPr>
        <w:t>E</w:t>
      </w:r>
      <w:r>
        <w:rPr>
          <w:rFonts w:hint="eastAsia" w:ascii="Times New Roman" w:hAnsi="Times New Roman"/>
          <w:color w:val="000000" w:themeColor="text1"/>
          <w:spacing w:val="-2"/>
          <w:sz w:val="24"/>
          <w:szCs w:val="24"/>
          <w:u w:val="single"/>
          <w:vertAlign w:val="subscript"/>
          <w14:textFill>
            <w14:solidFill>
              <w14:schemeClr w14:val="tx1"/>
            </w14:solidFill>
          </w14:textFill>
        </w:rPr>
        <w:t>d</w:t>
      </w:r>
      <w:r>
        <w:rPr>
          <w:rFonts w:ascii="Times New Roman" w:hAnsi="Times New Roman"/>
          <w:color w:val="000000" w:themeColor="text1"/>
          <w:spacing w:val="-2"/>
          <w:sz w:val="24"/>
          <w:szCs w:val="24"/>
          <w:u w:val="single"/>
          <w14:textFill>
            <w14:solidFill>
              <w14:schemeClr w14:val="tx1"/>
            </w14:solidFill>
          </w14:textFill>
        </w:rPr>
        <w:t xml:space="preserve"> ——</w:t>
      </w:r>
      <w:r>
        <w:rPr>
          <w:rFonts w:hint="eastAsia" w:ascii="Times New Roman" w:hAnsi="Times New Roman"/>
          <w:color w:val="000000" w:themeColor="text1"/>
          <w:spacing w:val="-2"/>
          <w:sz w:val="24"/>
          <w:szCs w:val="24"/>
          <w:u w:val="single"/>
          <w14:textFill>
            <w14:solidFill>
              <w14:schemeClr w14:val="tx1"/>
            </w14:solidFill>
          </w14:textFill>
        </w:rPr>
        <w:t>加工过程中</w:t>
      </w:r>
      <w:r>
        <w:rPr>
          <w:rFonts w:ascii="Times New Roman" w:hAnsi="Times New Roman"/>
          <w:color w:val="000000" w:themeColor="text1"/>
          <w:spacing w:val="-2"/>
          <w:sz w:val="24"/>
          <w:szCs w:val="24"/>
          <w:u w:val="single"/>
          <w14:textFill>
            <w14:solidFill>
              <w14:schemeClr w14:val="tx1"/>
            </w14:solidFill>
          </w14:textFill>
        </w:rPr>
        <w:t>，</w:t>
      </w:r>
      <w:r>
        <w:rPr>
          <w:rFonts w:hint="eastAsia" w:ascii="Times New Roman" w:hAnsi="Times New Roman"/>
          <w:color w:val="000000" w:themeColor="text1"/>
          <w:spacing w:val="-2"/>
          <w:sz w:val="24"/>
          <w:szCs w:val="24"/>
          <w:u w:val="single"/>
          <w:vertAlign w:val="superscript"/>
          <w14:textFill>
            <w14:solidFill>
              <w14:schemeClr w14:val="tx1"/>
            </w14:solidFill>
          </w14:textFill>
        </w:rPr>
        <w:t>222</w:t>
      </w:r>
      <w:r>
        <w:rPr>
          <w:rFonts w:hint="eastAsia" w:ascii="Times New Roman" w:hAnsi="Times New Roman"/>
          <w:color w:val="000000" w:themeColor="text1"/>
          <w:spacing w:val="-2"/>
          <w:sz w:val="24"/>
          <w:szCs w:val="24"/>
          <w:u w:val="single"/>
          <w14:textFill>
            <w14:solidFill>
              <w14:schemeClr w14:val="tx1"/>
            </w14:solidFill>
          </w14:textFill>
        </w:rPr>
        <w:t>Rn的排放因子，Bq/（m</w:t>
      </w:r>
      <w:r>
        <w:rPr>
          <w:rFonts w:hint="eastAsia" w:ascii="Times New Roman" w:hAnsi="Times New Roman"/>
          <w:color w:val="000000" w:themeColor="text1"/>
          <w:spacing w:val="-2"/>
          <w:sz w:val="24"/>
          <w:szCs w:val="24"/>
          <w:u w:val="single"/>
          <w:vertAlign w:val="superscript"/>
          <w14:textFill>
            <w14:solidFill>
              <w14:schemeClr w14:val="tx1"/>
            </w14:solidFill>
          </w14:textFill>
        </w:rPr>
        <w:t>2</w:t>
      </w:r>
      <w:r>
        <w:rPr>
          <w:rFonts w:hint="eastAsia" w:ascii="Times New Roman" w:hAnsi="Times New Roman"/>
          <w:color w:val="000000" w:themeColor="text1"/>
          <w:spacing w:val="-2"/>
          <w:sz w:val="24"/>
          <w:szCs w:val="24"/>
          <w:u w:val="single"/>
          <w14:textFill>
            <w14:solidFill>
              <w14:schemeClr w14:val="tx1"/>
            </w14:solidFill>
          </w14:textFill>
        </w:rPr>
        <w:t>·s）</w:t>
      </w:r>
    </w:p>
    <w:p w14:paraId="5589EBE8">
      <w:pPr>
        <w:autoSpaceDE w:val="0"/>
        <w:autoSpaceDN w:val="0"/>
        <w:adjustRightInd w:val="0"/>
        <w:spacing w:line="360" w:lineRule="auto"/>
        <w:ind w:firstLine="472" w:firstLineChars="200"/>
        <w:rPr>
          <w:rFonts w:ascii="Times New Roman" w:hAnsi="Times New Roman"/>
          <w:color w:val="000000" w:themeColor="text1"/>
          <w:spacing w:val="-2"/>
          <w:sz w:val="24"/>
          <w:szCs w:val="24"/>
          <w:u w:val="single"/>
          <w14:textFill>
            <w14:solidFill>
              <w14:schemeClr w14:val="tx1"/>
            </w14:solidFill>
          </w14:textFill>
        </w:rPr>
      </w:pPr>
      <w:r>
        <w:rPr>
          <w:rFonts w:hint="eastAsia" w:ascii="Times New Roman" w:hAnsi="Times New Roman"/>
          <w:color w:val="000000" w:themeColor="text1"/>
          <w:spacing w:val="-2"/>
          <w:sz w:val="24"/>
          <w:szCs w:val="24"/>
          <w:u w:val="single"/>
          <w14:textFill>
            <w14:solidFill>
              <w14:schemeClr w14:val="tx1"/>
            </w14:solidFill>
          </w14:textFill>
        </w:rPr>
        <w:t>C</w:t>
      </w:r>
      <w:r>
        <w:rPr>
          <w:rFonts w:hint="eastAsia" w:ascii="Times New Roman" w:hAnsi="Times New Roman"/>
          <w:color w:val="000000" w:themeColor="text1"/>
          <w:spacing w:val="-2"/>
          <w:sz w:val="24"/>
          <w:szCs w:val="24"/>
          <w:u w:val="single"/>
          <w:vertAlign w:val="subscript"/>
          <w14:textFill>
            <w14:solidFill>
              <w14:schemeClr w14:val="tx1"/>
            </w14:solidFill>
          </w14:textFill>
        </w:rPr>
        <w:t>n</w:t>
      </w:r>
      <w:r>
        <w:rPr>
          <w:rFonts w:ascii="Times New Roman" w:hAnsi="Times New Roman"/>
          <w:color w:val="000000" w:themeColor="text1"/>
          <w:spacing w:val="-2"/>
          <w:sz w:val="24"/>
          <w:szCs w:val="24"/>
          <w:u w:val="single"/>
          <w14:textFill>
            <w14:solidFill>
              <w14:schemeClr w14:val="tx1"/>
            </w14:solidFill>
          </w14:textFill>
        </w:rPr>
        <w:t xml:space="preserve"> ——</w:t>
      </w:r>
      <w:r>
        <w:rPr>
          <w:rFonts w:hint="eastAsia" w:ascii="Times New Roman" w:hAnsi="Times New Roman"/>
          <w:color w:val="000000" w:themeColor="text1"/>
          <w:spacing w:val="-2"/>
          <w:sz w:val="24"/>
          <w:szCs w:val="24"/>
          <w:u w:val="single"/>
          <w14:textFill>
            <w14:solidFill>
              <w14:schemeClr w14:val="tx1"/>
            </w14:solidFill>
          </w14:textFill>
        </w:rPr>
        <w:t>矿石中</w:t>
      </w:r>
      <w:r>
        <w:rPr>
          <w:rFonts w:hint="eastAsia" w:ascii="Times New Roman" w:hAnsi="Times New Roman"/>
          <w:color w:val="000000" w:themeColor="text1"/>
          <w:spacing w:val="-2"/>
          <w:sz w:val="24"/>
          <w:szCs w:val="24"/>
          <w:u w:val="single"/>
          <w:vertAlign w:val="superscript"/>
          <w14:textFill>
            <w14:solidFill>
              <w14:schemeClr w14:val="tx1"/>
            </w14:solidFill>
          </w14:textFill>
        </w:rPr>
        <w:t>222</w:t>
      </w:r>
      <w:r>
        <w:rPr>
          <w:rFonts w:hint="eastAsia" w:ascii="Times New Roman" w:hAnsi="Times New Roman"/>
          <w:color w:val="000000" w:themeColor="text1"/>
          <w:spacing w:val="-2"/>
          <w:sz w:val="24"/>
          <w:szCs w:val="24"/>
          <w:u w:val="single"/>
          <w14:textFill>
            <w14:solidFill>
              <w14:schemeClr w14:val="tx1"/>
            </w14:solidFill>
          </w14:textFill>
        </w:rPr>
        <w:t>Rn的比活度</w:t>
      </w:r>
      <w:r>
        <w:rPr>
          <w:rFonts w:ascii="Times New Roman" w:hAnsi="Times New Roman"/>
          <w:color w:val="000000" w:themeColor="text1"/>
          <w:spacing w:val="-2"/>
          <w:sz w:val="24"/>
          <w:szCs w:val="24"/>
          <w:u w:val="single"/>
          <w14:textFill>
            <w14:solidFill>
              <w14:schemeClr w14:val="tx1"/>
            </w14:solidFill>
          </w14:textFill>
        </w:rPr>
        <w:t>，</w:t>
      </w:r>
      <w:r>
        <w:rPr>
          <w:rFonts w:hint="eastAsia" w:ascii="Times New Roman" w:hAnsi="Times New Roman"/>
          <w:color w:val="000000" w:themeColor="text1"/>
          <w:spacing w:val="-2"/>
          <w:sz w:val="24"/>
          <w:szCs w:val="24"/>
          <w:u w:val="single"/>
          <w14:textFill>
            <w14:solidFill>
              <w14:schemeClr w14:val="tx1"/>
            </w14:solidFill>
          </w14:textFill>
        </w:rPr>
        <w:t>Bq/g。</w:t>
      </w:r>
    </w:p>
    <w:p w14:paraId="37AB7716">
      <w:pPr>
        <w:widowControl w:val="0"/>
        <w:spacing w:after="0" w:line="360" w:lineRule="auto"/>
        <w:ind w:firstLine="472" w:firstLineChars="200"/>
        <w:jc w:val="both"/>
        <w:rPr>
          <w:rFonts w:ascii="Times New Roman" w:hAnsi="Times New Roman"/>
          <w:color w:val="000000" w:themeColor="text1"/>
          <w:spacing w:val="-2"/>
          <w:sz w:val="24"/>
          <w:szCs w:val="24"/>
          <w:u w:val="single"/>
          <w14:textFill>
            <w14:solidFill>
              <w14:schemeClr w14:val="tx1"/>
            </w14:solidFill>
          </w14:textFill>
        </w:rPr>
      </w:pPr>
      <w:r>
        <w:rPr>
          <w:rFonts w:hint="eastAsia" w:ascii="Times New Roman" w:hAnsi="Times New Roman"/>
          <w:color w:val="000000" w:themeColor="text1"/>
          <w:spacing w:val="-2"/>
          <w:sz w:val="24"/>
          <w:szCs w:val="24"/>
          <w:u w:val="single"/>
          <w14:textFill>
            <w14:solidFill>
              <w14:schemeClr w14:val="tx1"/>
            </w14:solidFill>
          </w14:textFill>
        </w:rPr>
        <w:t>根据上述公式，项目物料堆置及加工产生的氡排放量见表2.2-1、表2.2-2。项目氡排放总量为4.83×10</w:t>
      </w:r>
      <w:r>
        <w:rPr>
          <w:rFonts w:hint="eastAsia" w:ascii="Times New Roman" w:hAnsi="Times New Roman"/>
          <w:color w:val="000000" w:themeColor="text1"/>
          <w:spacing w:val="-2"/>
          <w:sz w:val="24"/>
          <w:szCs w:val="24"/>
          <w:u w:val="single"/>
          <w:vertAlign w:val="superscript"/>
          <w14:textFill>
            <w14:solidFill>
              <w14:schemeClr w14:val="tx1"/>
            </w14:solidFill>
          </w14:textFill>
        </w:rPr>
        <w:t>10</w:t>
      </w:r>
      <w:r>
        <w:rPr>
          <w:rFonts w:hint="eastAsia" w:ascii="Times New Roman" w:hAnsi="Times New Roman"/>
          <w:color w:val="000000" w:themeColor="text1"/>
          <w:spacing w:val="-2"/>
          <w:sz w:val="24"/>
          <w:szCs w:val="24"/>
          <w:u w:val="single"/>
          <w14:textFill>
            <w14:solidFill>
              <w14:schemeClr w14:val="tx1"/>
            </w14:solidFill>
          </w14:textFill>
        </w:rPr>
        <w:t>Bq/a，即5588.15 Bq/s。项目车间总体积为21228.48m</w:t>
      </w:r>
      <w:r>
        <w:rPr>
          <w:rFonts w:hint="eastAsia" w:ascii="Times New Roman" w:hAnsi="Times New Roman"/>
          <w:color w:val="000000" w:themeColor="text1"/>
          <w:spacing w:val="-2"/>
          <w:sz w:val="24"/>
          <w:szCs w:val="24"/>
          <w:u w:val="single"/>
          <w:vertAlign w:val="superscript"/>
          <w14:textFill>
            <w14:solidFill>
              <w14:schemeClr w14:val="tx1"/>
            </w14:solidFill>
          </w14:textFill>
        </w:rPr>
        <w:t>3</w:t>
      </w:r>
      <w:r>
        <w:rPr>
          <w:rFonts w:hint="eastAsia" w:ascii="Times New Roman" w:hAnsi="Times New Roman"/>
          <w:color w:val="000000" w:themeColor="text1"/>
          <w:spacing w:val="-2"/>
          <w:sz w:val="24"/>
          <w:szCs w:val="24"/>
          <w:u w:val="single"/>
          <w14:textFill>
            <w14:solidFill>
              <w14:schemeClr w14:val="tx1"/>
            </w14:solidFill>
          </w14:textFill>
        </w:rPr>
        <w:t>，每小时换风4次，则项目生产车间产生的氡的浓度为236.91Bq/m</w:t>
      </w:r>
      <w:r>
        <w:rPr>
          <w:rFonts w:hint="eastAsia" w:ascii="Times New Roman" w:hAnsi="Times New Roman"/>
          <w:color w:val="000000" w:themeColor="text1"/>
          <w:spacing w:val="-2"/>
          <w:sz w:val="24"/>
          <w:szCs w:val="24"/>
          <w:u w:val="single"/>
          <w:vertAlign w:val="superscript"/>
          <w14:textFill>
            <w14:solidFill>
              <w14:schemeClr w14:val="tx1"/>
            </w14:solidFill>
          </w14:textFill>
        </w:rPr>
        <w:t>3</w:t>
      </w:r>
      <w:r>
        <w:rPr>
          <w:rFonts w:hint="eastAsia" w:ascii="Times New Roman" w:hAnsi="Times New Roman"/>
          <w:color w:val="000000" w:themeColor="text1"/>
          <w:spacing w:val="-2"/>
          <w:sz w:val="24"/>
          <w:szCs w:val="24"/>
          <w:u w:val="single"/>
          <w14:textFill>
            <w14:solidFill>
              <w14:schemeClr w14:val="tx1"/>
            </w14:solidFill>
          </w14:textFill>
        </w:rPr>
        <w:t>。</w:t>
      </w:r>
    </w:p>
    <w:p w14:paraId="30D8CC68">
      <w:pPr>
        <w:widowControl w:val="0"/>
        <w:spacing w:after="0" w:line="360" w:lineRule="auto"/>
        <w:jc w:val="center"/>
        <w:rPr>
          <w:rFonts w:ascii="Times New Roman" w:hAnsi="Times New Roman" w:eastAsia="宋体" w:cs="Times New Roman"/>
          <w:b/>
          <w:bCs/>
          <w:color w:val="000000" w:themeColor="text1"/>
          <w:spacing w:val="-2"/>
          <w:sz w:val="24"/>
          <w:szCs w:val="20"/>
          <w14:textFill>
            <w14:solidFill>
              <w14:schemeClr w14:val="tx1"/>
            </w14:solidFill>
          </w14:textFill>
        </w:rPr>
      </w:pPr>
      <w:r>
        <w:rPr>
          <w:rFonts w:hint="eastAsia" w:ascii="Times New Roman" w:hAnsi="Times New Roman" w:eastAsia="宋体" w:cs="Times New Roman"/>
          <w:b/>
          <w:bCs/>
          <w:color w:val="000000" w:themeColor="text1"/>
          <w:spacing w:val="-2"/>
          <w:sz w:val="24"/>
          <w:szCs w:val="20"/>
          <w14:textFill>
            <w14:solidFill>
              <w14:schemeClr w14:val="tx1"/>
            </w14:solidFill>
          </w14:textFill>
        </w:rPr>
        <w:t>表</w:t>
      </w:r>
      <w:r>
        <w:rPr>
          <w:rFonts w:ascii="Times New Roman" w:hAnsi="Times New Roman" w:eastAsia="宋体" w:cs="Times New Roman"/>
          <w:b/>
          <w:bCs/>
          <w:color w:val="000000" w:themeColor="text1"/>
          <w:spacing w:val="-2"/>
          <w:sz w:val="24"/>
          <w:szCs w:val="20"/>
          <w14:textFill>
            <w14:solidFill>
              <w14:schemeClr w14:val="tx1"/>
            </w14:solidFill>
          </w14:textFill>
        </w:rPr>
        <w:t>2.</w:t>
      </w:r>
      <w:r>
        <w:rPr>
          <w:rFonts w:hint="eastAsia" w:ascii="Times New Roman" w:hAnsi="Times New Roman" w:eastAsia="宋体" w:cs="Times New Roman"/>
          <w:b/>
          <w:bCs/>
          <w:color w:val="000000" w:themeColor="text1"/>
          <w:spacing w:val="-2"/>
          <w:sz w:val="24"/>
          <w:szCs w:val="20"/>
          <w14:textFill>
            <w14:solidFill>
              <w14:schemeClr w14:val="tx1"/>
            </w14:solidFill>
          </w14:textFill>
        </w:rPr>
        <w:t>2</w:t>
      </w:r>
      <w:r>
        <w:rPr>
          <w:rFonts w:ascii="Times New Roman" w:hAnsi="Times New Roman" w:eastAsia="宋体" w:cs="Times New Roman"/>
          <w:b/>
          <w:bCs/>
          <w:color w:val="000000" w:themeColor="text1"/>
          <w:spacing w:val="-2"/>
          <w:sz w:val="24"/>
          <w:szCs w:val="20"/>
          <w14:textFill>
            <w14:solidFill>
              <w14:schemeClr w14:val="tx1"/>
            </w14:solidFill>
          </w14:textFill>
        </w:rPr>
        <w:noBreakHyphen/>
      </w:r>
      <w:r>
        <w:rPr>
          <w:rFonts w:ascii="Times New Roman" w:hAnsi="Times New Roman" w:eastAsia="宋体" w:cs="Times New Roman"/>
          <w:b/>
          <w:bCs/>
          <w:color w:val="000000" w:themeColor="text1"/>
          <w:spacing w:val="-2"/>
          <w:sz w:val="24"/>
          <w:szCs w:val="20"/>
          <w14:textFill>
            <w14:solidFill>
              <w14:schemeClr w14:val="tx1"/>
            </w14:solidFill>
          </w14:textFill>
        </w:rPr>
        <w:t>1</w:t>
      </w:r>
      <w:r>
        <w:rPr>
          <w:rFonts w:hint="eastAsia" w:ascii="Times New Roman" w:hAnsi="Times New Roman" w:eastAsia="宋体" w:cs="Times New Roman"/>
          <w:b/>
          <w:bCs/>
          <w:color w:val="000000" w:themeColor="text1"/>
          <w:spacing w:val="-2"/>
          <w:sz w:val="24"/>
          <w:szCs w:val="20"/>
          <w14:textFill>
            <w14:solidFill>
              <w14:schemeClr w14:val="tx1"/>
            </w14:solidFill>
          </w14:textFill>
        </w:rPr>
        <w:t xml:space="preserve">  </w:t>
      </w:r>
      <w:r>
        <w:rPr>
          <w:rFonts w:ascii="Times New Roman" w:hAnsi="Times New Roman" w:eastAsia="宋体" w:cs="Times New Roman"/>
          <w:b/>
          <w:bCs/>
          <w:color w:val="000000" w:themeColor="text1"/>
          <w:spacing w:val="-2"/>
          <w:sz w:val="24"/>
          <w:szCs w:val="20"/>
          <w14:textFill>
            <w14:solidFill>
              <w14:schemeClr w14:val="tx1"/>
            </w14:solidFill>
          </w14:textFill>
        </w:rPr>
        <w:t>项目</w:t>
      </w:r>
      <w:r>
        <w:rPr>
          <w:rFonts w:hint="eastAsia" w:ascii="Times New Roman" w:hAnsi="Times New Roman" w:eastAsia="宋体" w:cs="Times New Roman"/>
          <w:b/>
          <w:bCs/>
          <w:color w:val="000000" w:themeColor="text1"/>
          <w:spacing w:val="-2"/>
          <w:sz w:val="24"/>
          <w:szCs w:val="20"/>
          <w14:textFill>
            <w14:solidFill>
              <w14:schemeClr w14:val="tx1"/>
            </w14:solidFill>
          </w14:textFill>
        </w:rPr>
        <w:t>物料堆置氡排放</w:t>
      </w:r>
      <w:r>
        <w:rPr>
          <w:rFonts w:ascii="Times New Roman" w:hAnsi="Times New Roman" w:eastAsia="宋体" w:cs="Times New Roman"/>
          <w:b/>
          <w:bCs/>
          <w:color w:val="000000" w:themeColor="text1"/>
          <w:spacing w:val="-2"/>
          <w:sz w:val="24"/>
          <w:szCs w:val="20"/>
          <w14:textFill>
            <w14:solidFill>
              <w14:schemeClr w14:val="tx1"/>
            </w14:solidFill>
          </w14:textFill>
        </w:rPr>
        <w:t>量</w:t>
      </w:r>
      <w:r>
        <w:rPr>
          <w:rFonts w:hint="eastAsia" w:ascii="Times New Roman" w:hAnsi="Times New Roman" w:eastAsia="宋体" w:cs="Times New Roman"/>
          <w:b/>
          <w:bCs/>
          <w:color w:val="000000" w:themeColor="text1"/>
          <w:spacing w:val="-2"/>
          <w:sz w:val="24"/>
          <w:szCs w:val="20"/>
          <w14:textFill>
            <w14:solidFill>
              <w14:schemeClr w14:val="tx1"/>
            </w14:solidFill>
          </w14:textFill>
        </w:rPr>
        <w:t>预测</w:t>
      </w:r>
      <w:r>
        <w:rPr>
          <w:rFonts w:ascii="Times New Roman" w:hAnsi="Times New Roman" w:eastAsia="宋体" w:cs="Times New Roman"/>
          <w:b/>
          <w:bCs/>
          <w:color w:val="000000" w:themeColor="text1"/>
          <w:spacing w:val="-2"/>
          <w:sz w:val="24"/>
          <w:szCs w:val="20"/>
          <w14:textFill>
            <w14:solidFill>
              <w14:schemeClr w14:val="tx1"/>
            </w14:solidFill>
          </w14:textFill>
        </w:rPr>
        <w:t>结果</w:t>
      </w:r>
    </w:p>
    <w:tbl>
      <w:tblPr>
        <w:tblStyle w:val="47"/>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92"/>
        <w:gridCol w:w="1238"/>
        <w:gridCol w:w="1741"/>
        <w:gridCol w:w="1417"/>
        <w:gridCol w:w="1410"/>
        <w:gridCol w:w="1778"/>
      </w:tblGrid>
      <w:tr w14:paraId="449018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92" w:type="dxa"/>
            <w:vAlign w:val="center"/>
          </w:tcPr>
          <w:p w14:paraId="1E428A48">
            <w:pPr>
              <w:spacing w:after="0" w:line="240" w:lineRule="auto"/>
              <w:jc w:val="center"/>
              <w:rPr>
                <w:rFonts w:ascii="Times New Roman" w:hAnsi="Times New Roman" w:eastAsia="宋体" w:cs="Times New Roman"/>
                <w:b/>
                <w:color w:val="000000" w:themeColor="text1"/>
                <w:u w:val="single"/>
                <w14:textFill>
                  <w14:solidFill>
                    <w14:schemeClr w14:val="tx1"/>
                  </w14:solidFill>
                </w14:textFill>
              </w:rPr>
            </w:pPr>
            <w:r>
              <w:rPr>
                <w:rFonts w:hint="eastAsia" w:ascii="Times New Roman" w:hAnsi="Times New Roman" w:eastAsia="宋体" w:cs="Times New Roman"/>
                <w:b/>
                <w:color w:val="000000" w:themeColor="text1"/>
                <w:u w:val="single"/>
                <w14:textFill>
                  <w14:solidFill>
                    <w14:schemeClr w14:val="tx1"/>
                  </w14:solidFill>
                </w14:textFill>
              </w:rPr>
              <w:t>序号</w:t>
            </w:r>
          </w:p>
        </w:tc>
        <w:tc>
          <w:tcPr>
            <w:tcW w:w="1238" w:type="dxa"/>
            <w:vAlign w:val="center"/>
          </w:tcPr>
          <w:p w14:paraId="79BFB2A9">
            <w:pPr>
              <w:spacing w:after="0" w:line="240" w:lineRule="auto"/>
              <w:jc w:val="center"/>
              <w:rPr>
                <w:rFonts w:ascii="Times New Roman" w:hAnsi="Times New Roman" w:eastAsia="宋体" w:cs="Times New Roman"/>
                <w:b/>
                <w:color w:val="000000" w:themeColor="text1"/>
                <w:u w:val="single"/>
                <w14:textFill>
                  <w14:solidFill>
                    <w14:schemeClr w14:val="tx1"/>
                  </w14:solidFill>
                </w14:textFill>
              </w:rPr>
            </w:pPr>
            <w:r>
              <w:rPr>
                <w:rFonts w:hint="eastAsia" w:ascii="Times New Roman" w:hAnsi="Times New Roman" w:eastAsia="宋体" w:cs="Times New Roman"/>
                <w:b/>
                <w:color w:val="000000" w:themeColor="text1"/>
                <w:u w:val="single"/>
                <w14:textFill>
                  <w14:solidFill>
                    <w14:schemeClr w14:val="tx1"/>
                  </w14:solidFill>
                </w14:textFill>
              </w:rPr>
              <w:t>物料类别</w:t>
            </w:r>
          </w:p>
        </w:tc>
        <w:tc>
          <w:tcPr>
            <w:tcW w:w="1741" w:type="dxa"/>
            <w:vAlign w:val="center"/>
          </w:tcPr>
          <w:p w14:paraId="4A35FAAD">
            <w:pPr>
              <w:spacing w:after="0" w:line="240" w:lineRule="auto"/>
              <w:jc w:val="center"/>
              <w:rPr>
                <w:rFonts w:ascii="Times New Roman" w:hAnsi="Times New Roman" w:eastAsia="宋体" w:cs="Times New Roman"/>
                <w:b/>
                <w:color w:val="000000" w:themeColor="text1"/>
                <w:u w:val="single"/>
                <w14:textFill>
                  <w14:solidFill>
                    <w14:schemeClr w14:val="tx1"/>
                  </w14:solidFill>
                </w14:textFill>
              </w:rPr>
            </w:pPr>
            <w:r>
              <w:rPr>
                <w:rFonts w:hint="eastAsia" w:ascii="Times New Roman" w:hAnsi="Times New Roman" w:eastAsia="宋体" w:cs="Times New Roman"/>
                <w:b/>
                <w:color w:val="000000" w:themeColor="text1"/>
                <w:u w:val="single"/>
                <w:vertAlign w:val="superscript"/>
                <w14:textFill>
                  <w14:solidFill>
                    <w14:schemeClr w14:val="tx1"/>
                  </w14:solidFill>
                </w14:textFill>
              </w:rPr>
              <w:t>222</w:t>
            </w:r>
            <w:r>
              <w:rPr>
                <w:rFonts w:hint="eastAsia" w:ascii="Times New Roman" w:hAnsi="Times New Roman" w:eastAsia="宋体" w:cs="Times New Roman"/>
                <w:b/>
                <w:color w:val="000000" w:themeColor="text1"/>
                <w:u w:val="single"/>
                <w14:textFill>
                  <w14:solidFill>
                    <w14:schemeClr w14:val="tx1"/>
                  </w14:solidFill>
                </w14:textFill>
              </w:rPr>
              <w:t>Rn排放量（Bq/a）</w:t>
            </w:r>
          </w:p>
        </w:tc>
        <w:tc>
          <w:tcPr>
            <w:tcW w:w="1417" w:type="dxa"/>
            <w:vAlign w:val="center"/>
          </w:tcPr>
          <w:p w14:paraId="13DE8D4D">
            <w:pPr>
              <w:spacing w:after="0" w:line="240" w:lineRule="auto"/>
              <w:jc w:val="center"/>
              <w:rPr>
                <w:rFonts w:ascii="Times New Roman" w:hAnsi="Times New Roman" w:eastAsia="宋体" w:cs="Times New Roman"/>
                <w:b/>
                <w:color w:val="000000" w:themeColor="text1"/>
                <w:u w:val="single"/>
                <w14:textFill>
                  <w14:solidFill>
                    <w14:schemeClr w14:val="tx1"/>
                  </w14:solidFill>
                </w14:textFill>
              </w:rPr>
            </w:pPr>
            <w:r>
              <w:rPr>
                <w:rFonts w:hint="eastAsia" w:ascii="Times New Roman" w:hAnsi="Times New Roman" w:eastAsia="宋体" w:cs="Times New Roman"/>
                <w:b/>
                <w:color w:val="000000" w:themeColor="text1"/>
                <w:u w:val="single"/>
                <w14:textFill>
                  <w14:solidFill>
                    <w14:schemeClr w14:val="tx1"/>
                  </w14:solidFill>
                </w14:textFill>
              </w:rPr>
              <w:t>堆存暴露面积（m</w:t>
            </w:r>
            <w:r>
              <w:rPr>
                <w:rFonts w:hint="eastAsia" w:ascii="Times New Roman" w:hAnsi="Times New Roman" w:eastAsia="宋体" w:cs="Times New Roman"/>
                <w:b/>
                <w:color w:val="000000" w:themeColor="text1"/>
                <w:u w:val="single"/>
                <w:vertAlign w:val="superscript"/>
                <w14:textFill>
                  <w14:solidFill>
                    <w14:schemeClr w14:val="tx1"/>
                  </w14:solidFill>
                </w14:textFill>
              </w:rPr>
              <w:t>2</w:t>
            </w:r>
            <w:r>
              <w:rPr>
                <w:rFonts w:hint="eastAsia" w:ascii="Times New Roman" w:hAnsi="Times New Roman" w:eastAsia="宋体" w:cs="Times New Roman"/>
                <w:b/>
                <w:color w:val="000000" w:themeColor="text1"/>
                <w:u w:val="single"/>
                <w14:textFill>
                  <w14:solidFill>
                    <w14:schemeClr w14:val="tx1"/>
                  </w14:solidFill>
                </w14:textFill>
              </w:rPr>
              <w:t>）</w:t>
            </w:r>
          </w:p>
        </w:tc>
        <w:tc>
          <w:tcPr>
            <w:tcW w:w="1410" w:type="dxa"/>
            <w:vAlign w:val="center"/>
          </w:tcPr>
          <w:p w14:paraId="5BDF7D44">
            <w:pPr>
              <w:spacing w:after="0" w:line="240" w:lineRule="auto"/>
              <w:jc w:val="center"/>
              <w:rPr>
                <w:rFonts w:ascii="Times New Roman" w:hAnsi="Times New Roman" w:eastAsia="宋体" w:cs="Times New Roman"/>
                <w:b/>
                <w:color w:val="000000" w:themeColor="text1"/>
                <w:u w:val="single"/>
                <w14:textFill>
                  <w14:solidFill>
                    <w14:schemeClr w14:val="tx1"/>
                  </w14:solidFill>
                </w14:textFill>
              </w:rPr>
            </w:pPr>
            <w:r>
              <w:rPr>
                <w:rFonts w:hint="eastAsia" w:ascii="Times New Roman" w:hAnsi="Times New Roman" w:eastAsia="宋体" w:cs="Times New Roman"/>
                <w:b/>
                <w:color w:val="000000" w:themeColor="text1"/>
                <w:u w:val="single"/>
                <w14:textFill>
                  <w14:solidFill>
                    <w14:schemeClr w14:val="tx1"/>
                  </w14:solidFill>
                </w14:textFill>
              </w:rPr>
              <w:t>排放控制系数</w:t>
            </w:r>
          </w:p>
        </w:tc>
        <w:tc>
          <w:tcPr>
            <w:tcW w:w="1778" w:type="dxa"/>
            <w:vAlign w:val="center"/>
          </w:tcPr>
          <w:p w14:paraId="27D57FAF">
            <w:pPr>
              <w:spacing w:after="0" w:line="240" w:lineRule="auto"/>
              <w:jc w:val="center"/>
              <w:rPr>
                <w:rFonts w:ascii="Times New Roman" w:hAnsi="Times New Roman" w:eastAsia="宋体" w:cs="Times New Roman"/>
                <w:b/>
                <w:color w:val="000000" w:themeColor="text1"/>
                <w:u w:val="single"/>
                <w14:textFill>
                  <w14:solidFill>
                    <w14:schemeClr w14:val="tx1"/>
                  </w14:solidFill>
                </w14:textFill>
              </w:rPr>
            </w:pPr>
            <w:r>
              <w:rPr>
                <w:rFonts w:hint="eastAsia" w:ascii="Times New Roman" w:hAnsi="Times New Roman" w:eastAsia="宋体" w:cs="Times New Roman"/>
                <w:b/>
                <w:color w:val="000000" w:themeColor="text1"/>
                <w:u w:val="single"/>
                <w:vertAlign w:val="superscript"/>
                <w14:textFill>
                  <w14:solidFill>
                    <w14:schemeClr w14:val="tx1"/>
                  </w14:solidFill>
                </w14:textFill>
              </w:rPr>
              <w:t>222</w:t>
            </w:r>
            <w:r>
              <w:rPr>
                <w:rFonts w:hint="eastAsia" w:ascii="Times New Roman" w:hAnsi="Times New Roman" w:eastAsia="宋体" w:cs="Times New Roman"/>
                <w:b/>
                <w:color w:val="000000" w:themeColor="text1"/>
                <w:u w:val="single"/>
                <w14:textFill>
                  <w14:solidFill>
                    <w14:schemeClr w14:val="tx1"/>
                  </w14:solidFill>
                </w14:textFill>
              </w:rPr>
              <w:t>Rn排放因子（Bq/m</w:t>
            </w:r>
            <w:r>
              <w:rPr>
                <w:rFonts w:hint="eastAsia" w:ascii="Times New Roman" w:hAnsi="Times New Roman" w:eastAsia="宋体" w:cs="Times New Roman"/>
                <w:b/>
                <w:color w:val="000000" w:themeColor="text1"/>
                <w:u w:val="single"/>
                <w:vertAlign w:val="superscript"/>
                <w14:textFill>
                  <w14:solidFill>
                    <w14:schemeClr w14:val="tx1"/>
                  </w14:solidFill>
                </w14:textFill>
              </w:rPr>
              <w:t>2</w:t>
            </w:r>
            <w:r>
              <w:rPr>
                <w:rFonts w:hint="eastAsia" w:ascii="Times New Roman" w:hAnsi="Times New Roman" w:eastAsia="宋体" w:cs="Times New Roman"/>
                <w:b/>
                <w:color w:val="000000" w:themeColor="text1"/>
                <w:u w:val="single"/>
                <w14:textFill>
                  <w14:solidFill>
                    <w14:schemeClr w14:val="tx1"/>
                  </w14:solidFill>
                </w14:textFill>
              </w:rPr>
              <w:t>·s）</w:t>
            </w:r>
          </w:p>
        </w:tc>
      </w:tr>
      <w:tr w14:paraId="7FE222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92" w:type="dxa"/>
            <w:vAlign w:val="center"/>
          </w:tcPr>
          <w:p w14:paraId="66FDE64C">
            <w:pPr>
              <w:spacing w:after="0" w:line="240" w:lineRule="auto"/>
              <w:jc w:val="center"/>
              <w:rPr>
                <w:rFonts w:ascii="Times New Roman" w:hAnsi="Times New Roman" w:eastAsia="宋体" w:cs="Times New Roman"/>
                <w:color w:val="000000" w:themeColor="text1"/>
                <w:sz w:val="24"/>
                <w:szCs w:val="24"/>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1</w:t>
            </w:r>
          </w:p>
        </w:tc>
        <w:tc>
          <w:tcPr>
            <w:tcW w:w="1238" w:type="dxa"/>
            <w:vAlign w:val="center"/>
          </w:tcPr>
          <w:p w14:paraId="3578D62A">
            <w:pPr>
              <w:spacing w:after="0" w:line="240" w:lineRule="auto"/>
              <w:jc w:val="center"/>
              <w:rPr>
                <w:rFonts w:ascii="Times New Roman" w:hAnsi="Times New Roman" w:eastAsia="宋体" w:cs="Times New Roman"/>
                <w:color w:val="000000" w:themeColor="text1"/>
                <w:sz w:val="24"/>
                <w:szCs w:val="24"/>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毛矿</w:t>
            </w:r>
          </w:p>
        </w:tc>
        <w:tc>
          <w:tcPr>
            <w:tcW w:w="1741" w:type="dxa"/>
            <w:vAlign w:val="center"/>
          </w:tcPr>
          <w:p w14:paraId="77BCD9F4">
            <w:pPr>
              <w:spacing w:after="0" w:line="240" w:lineRule="auto"/>
              <w:jc w:val="center"/>
              <w:rPr>
                <w:rFonts w:ascii="Times New Roman" w:hAnsi="Times New Roman" w:eastAsia="宋体" w:cs="Times New Roman"/>
                <w:color w:val="000000" w:themeColor="text1"/>
                <w:sz w:val="24"/>
                <w:szCs w:val="24"/>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8.61×10</w:t>
            </w:r>
            <w:r>
              <w:rPr>
                <w:rFonts w:hint="eastAsia" w:ascii="Times New Roman" w:hAnsi="Times New Roman" w:eastAsia="宋体" w:cs="Times New Roman"/>
                <w:color w:val="000000" w:themeColor="text1"/>
                <w:u w:val="single"/>
                <w:vertAlign w:val="superscript"/>
                <w14:textFill>
                  <w14:solidFill>
                    <w14:schemeClr w14:val="tx1"/>
                  </w14:solidFill>
                </w14:textFill>
              </w:rPr>
              <w:t>9</w:t>
            </w:r>
          </w:p>
        </w:tc>
        <w:tc>
          <w:tcPr>
            <w:tcW w:w="1417" w:type="dxa"/>
            <w:vAlign w:val="center"/>
          </w:tcPr>
          <w:p w14:paraId="23025789">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710.88</w:t>
            </w:r>
          </w:p>
        </w:tc>
        <w:tc>
          <w:tcPr>
            <w:tcW w:w="1410" w:type="dxa"/>
            <w:vAlign w:val="center"/>
          </w:tcPr>
          <w:p w14:paraId="2BE4D9D8">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0.895</w:t>
            </w:r>
          </w:p>
        </w:tc>
        <w:tc>
          <w:tcPr>
            <w:tcW w:w="1778" w:type="dxa"/>
            <w:vAlign w:val="center"/>
          </w:tcPr>
          <w:p w14:paraId="0585FA5B">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3.66</w:t>
            </w:r>
          </w:p>
        </w:tc>
      </w:tr>
      <w:tr w14:paraId="203BB0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92" w:type="dxa"/>
            <w:vAlign w:val="center"/>
          </w:tcPr>
          <w:p w14:paraId="2142AC91">
            <w:pPr>
              <w:spacing w:after="0" w:line="240" w:lineRule="auto"/>
              <w:jc w:val="center"/>
              <w:rPr>
                <w:rFonts w:ascii="Times New Roman" w:hAnsi="Times New Roman" w:eastAsia="宋体" w:cs="Times New Roman"/>
                <w:color w:val="000000" w:themeColor="text1"/>
                <w:sz w:val="24"/>
                <w:szCs w:val="24"/>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2</w:t>
            </w:r>
          </w:p>
        </w:tc>
        <w:tc>
          <w:tcPr>
            <w:tcW w:w="1238" w:type="dxa"/>
            <w:vAlign w:val="center"/>
          </w:tcPr>
          <w:p w14:paraId="15E2F2D9">
            <w:pPr>
              <w:spacing w:after="0" w:line="240" w:lineRule="auto"/>
              <w:jc w:val="center"/>
              <w:rPr>
                <w:rFonts w:ascii="Times New Roman" w:hAnsi="Times New Roman" w:eastAsia="宋体" w:cs="Times New Roman"/>
                <w:color w:val="000000" w:themeColor="text1"/>
                <w:sz w:val="24"/>
                <w:szCs w:val="24"/>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精矿</w:t>
            </w:r>
          </w:p>
        </w:tc>
        <w:tc>
          <w:tcPr>
            <w:tcW w:w="1741" w:type="dxa"/>
            <w:vAlign w:val="center"/>
          </w:tcPr>
          <w:p w14:paraId="3E8B1CD7">
            <w:pPr>
              <w:spacing w:after="0" w:line="240" w:lineRule="auto"/>
              <w:jc w:val="center"/>
              <w:rPr>
                <w:rFonts w:ascii="Times New Roman" w:hAnsi="Times New Roman" w:eastAsia="宋体" w:cs="Times New Roman"/>
                <w:color w:val="000000" w:themeColor="text1"/>
                <w:sz w:val="24"/>
                <w:szCs w:val="24"/>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4.30×10</w:t>
            </w:r>
            <w:r>
              <w:rPr>
                <w:rFonts w:hint="eastAsia" w:ascii="Times New Roman" w:hAnsi="Times New Roman" w:eastAsia="宋体" w:cs="Times New Roman"/>
                <w:color w:val="000000" w:themeColor="text1"/>
                <w:u w:val="single"/>
                <w:vertAlign w:val="superscript"/>
                <w14:textFill>
                  <w14:solidFill>
                    <w14:schemeClr w14:val="tx1"/>
                  </w14:solidFill>
                </w14:textFill>
              </w:rPr>
              <w:t>9</w:t>
            </w:r>
          </w:p>
        </w:tc>
        <w:tc>
          <w:tcPr>
            <w:tcW w:w="1417" w:type="dxa"/>
            <w:vAlign w:val="center"/>
          </w:tcPr>
          <w:p w14:paraId="79DE2BCF">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355.24</w:t>
            </w:r>
          </w:p>
        </w:tc>
        <w:tc>
          <w:tcPr>
            <w:tcW w:w="1410" w:type="dxa"/>
            <w:vAlign w:val="center"/>
          </w:tcPr>
          <w:p w14:paraId="5B439DE2">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0.895</w:t>
            </w:r>
          </w:p>
        </w:tc>
        <w:tc>
          <w:tcPr>
            <w:tcW w:w="1778" w:type="dxa"/>
            <w:vAlign w:val="center"/>
          </w:tcPr>
          <w:p w14:paraId="4C0CC057">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3.66</w:t>
            </w:r>
          </w:p>
        </w:tc>
      </w:tr>
      <w:tr w14:paraId="6CD28E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92" w:type="dxa"/>
            <w:vAlign w:val="center"/>
          </w:tcPr>
          <w:p w14:paraId="2CE5A7F9">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3</w:t>
            </w:r>
          </w:p>
        </w:tc>
        <w:tc>
          <w:tcPr>
            <w:tcW w:w="1238" w:type="dxa"/>
            <w:vAlign w:val="center"/>
          </w:tcPr>
          <w:p w14:paraId="0169C6B0">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锆中矿</w:t>
            </w:r>
          </w:p>
        </w:tc>
        <w:tc>
          <w:tcPr>
            <w:tcW w:w="1741" w:type="dxa"/>
            <w:vAlign w:val="center"/>
          </w:tcPr>
          <w:p w14:paraId="51F80F80">
            <w:pPr>
              <w:spacing w:after="0" w:line="240" w:lineRule="auto"/>
              <w:jc w:val="center"/>
              <w:rPr>
                <w:rFonts w:ascii="Times New Roman" w:hAnsi="Times New Roman" w:eastAsia="宋体" w:cs="Times New Roman"/>
                <w:color w:val="000000" w:themeColor="text1"/>
                <w:sz w:val="24"/>
                <w:szCs w:val="24"/>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3.23×10</w:t>
            </w:r>
            <w:r>
              <w:rPr>
                <w:rFonts w:hint="eastAsia" w:ascii="Times New Roman" w:hAnsi="Times New Roman" w:eastAsia="宋体" w:cs="Times New Roman"/>
                <w:color w:val="000000" w:themeColor="text1"/>
                <w:u w:val="single"/>
                <w:vertAlign w:val="superscript"/>
                <w14:textFill>
                  <w14:solidFill>
                    <w14:schemeClr w14:val="tx1"/>
                  </w14:solidFill>
                </w14:textFill>
              </w:rPr>
              <w:t>9</w:t>
            </w:r>
          </w:p>
        </w:tc>
        <w:tc>
          <w:tcPr>
            <w:tcW w:w="1417" w:type="dxa"/>
            <w:vAlign w:val="center"/>
          </w:tcPr>
          <w:p w14:paraId="347778DE">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266.52</w:t>
            </w:r>
          </w:p>
        </w:tc>
        <w:tc>
          <w:tcPr>
            <w:tcW w:w="1410" w:type="dxa"/>
            <w:vAlign w:val="center"/>
          </w:tcPr>
          <w:p w14:paraId="6664BA02">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0.895</w:t>
            </w:r>
          </w:p>
        </w:tc>
        <w:tc>
          <w:tcPr>
            <w:tcW w:w="1778" w:type="dxa"/>
            <w:vAlign w:val="center"/>
          </w:tcPr>
          <w:p w14:paraId="4140C501">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3.66</w:t>
            </w:r>
          </w:p>
        </w:tc>
      </w:tr>
      <w:tr w14:paraId="618574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92" w:type="dxa"/>
            <w:vAlign w:val="center"/>
          </w:tcPr>
          <w:p w14:paraId="64C02D92">
            <w:pPr>
              <w:spacing w:after="0" w:line="240" w:lineRule="auto"/>
              <w:jc w:val="center"/>
              <w:rPr>
                <w:rFonts w:ascii="Times New Roman" w:hAnsi="Times New Roman" w:eastAsia="宋体" w:cs="Times New Roman"/>
                <w:color w:val="000000" w:themeColor="text1"/>
                <w:sz w:val="24"/>
                <w:szCs w:val="24"/>
                <w:u w:val="single"/>
                <w14:textFill>
                  <w14:solidFill>
                    <w14:schemeClr w14:val="tx1"/>
                  </w14:solidFill>
                </w14:textFill>
              </w:rPr>
            </w:pPr>
          </w:p>
        </w:tc>
        <w:tc>
          <w:tcPr>
            <w:tcW w:w="1238" w:type="dxa"/>
            <w:vAlign w:val="center"/>
          </w:tcPr>
          <w:p w14:paraId="3BA1202B">
            <w:pPr>
              <w:spacing w:after="0" w:line="240" w:lineRule="auto"/>
              <w:jc w:val="center"/>
              <w:rPr>
                <w:rFonts w:ascii="Times New Roman" w:hAnsi="Times New Roman" w:eastAsia="宋体" w:cs="Times New Roman"/>
                <w:color w:val="000000" w:themeColor="text1"/>
                <w:sz w:val="24"/>
                <w:szCs w:val="24"/>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合计</w:t>
            </w:r>
          </w:p>
        </w:tc>
        <w:tc>
          <w:tcPr>
            <w:tcW w:w="1741" w:type="dxa"/>
            <w:vAlign w:val="center"/>
          </w:tcPr>
          <w:p w14:paraId="2F5BDB34">
            <w:pPr>
              <w:spacing w:after="0" w:line="240" w:lineRule="auto"/>
              <w:jc w:val="center"/>
              <w:rPr>
                <w:rFonts w:ascii="Times New Roman" w:hAnsi="Times New Roman" w:eastAsia="宋体" w:cs="Times New Roman"/>
                <w:color w:val="000000" w:themeColor="text1"/>
                <w:sz w:val="24"/>
                <w:szCs w:val="24"/>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1.61×10</w:t>
            </w:r>
            <w:r>
              <w:rPr>
                <w:rFonts w:hint="eastAsia" w:ascii="Times New Roman" w:hAnsi="Times New Roman" w:eastAsia="宋体" w:cs="Times New Roman"/>
                <w:color w:val="000000" w:themeColor="text1"/>
                <w:u w:val="single"/>
                <w:vertAlign w:val="superscript"/>
                <w14:textFill>
                  <w14:solidFill>
                    <w14:schemeClr w14:val="tx1"/>
                  </w14:solidFill>
                </w14:textFill>
              </w:rPr>
              <w:t>10</w:t>
            </w:r>
          </w:p>
        </w:tc>
        <w:tc>
          <w:tcPr>
            <w:tcW w:w="1417" w:type="dxa"/>
            <w:vAlign w:val="center"/>
          </w:tcPr>
          <w:p w14:paraId="71F51B9A">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p>
        </w:tc>
        <w:tc>
          <w:tcPr>
            <w:tcW w:w="1410" w:type="dxa"/>
            <w:vAlign w:val="center"/>
          </w:tcPr>
          <w:p w14:paraId="6330C83F">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p>
        </w:tc>
        <w:tc>
          <w:tcPr>
            <w:tcW w:w="1778" w:type="dxa"/>
            <w:vAlign w:val="center"/>
          </w:tcPr>
          <w:p w14:paraId="617F08E7">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p>
        </w:tc>
      </w:tr>
    </w:tbl>
    <w:p w14:paraId="2D965B91">
      <w:pPr>
        <w:widowControl w:val="0"/>
        <w:spacing w:after="0" w:line="360" w:lineRule="auto"/>
        <w:ind w:firstLine="472" w:firstLineChars="200"/>
        <w:jc w:val="both"/>
        <w:rPr>
          <w:rFonts w:ascii="Times New Roman" w:hAnsi="Times New Roman"/>
          <w:color w:val="000000" w:themeColor="text1"/>
          <w:spacing w:val="-2"/>
          <w:sz w:val="24"/>
          <w:szCs w:val="24"/>
          <w:u w:val="single"/>
          <w14:textFill>
            <w14:solidFill>
              <w14:schemeClr w14:val="tx1"/>
            </w14:solidFill>
          </w14:textFill>
        </w:rPr>
      </w:pPr>
    </w:p>
    <w:p w14:paraId="7C4399D8">
      <w:pPr>
        <w:widowControl w:val="0"/>
        <w:spacing w:after="0" w:line="360" w:lineRule="auto"/>
        <w:jc w:val="center"/>
        <w:rPr>
          <w:rFonts w:ascii="Times New Roman" w:hAnsi="Times New Roman" w:eastAsia="宋体" w:cs="Times New Roman"/>
          <w:b/>
          <w:bCs/>
          <w:color w:val="000000" w:themeColor="text1"/>
          <w:spacing w:val="-2"/>
          <w:sz w:val="24"/>
          <w:szCs w:val="20"/>
          <w14:textFill>
            <w14:solidFill>
              <w14:schemeClr w14:val="tx1"/>
            </w14:solidFill>
          </w14:textFill>
        </w:rPr>
      </w:pPr>
      <w:r>
        <w:rPr>
          <w:rFonts w:hint="eastAsia" w:ascii="Times New Roman" w:hAnsi="Times New Roman" w:eastAsia="宋体" w:cs="Times New Roman"/>
          <w:b/>
          <w:bCs/>
          <w:color w:val="000000" w:themeColor="text1"/>
          <w:spacing w:val="-2"/>
          <w:sz w:val="24"/>
          <w:szCs w:val="20"/>
          <w14:textFill>
            <w14:solidFill>
              <w14:schemeClr w14:val="tx1"/>
            </w14:solidFill>
          </w14:textFill>
        </w:rPr>
        <w:t>表</w:t>
      </w:r>
      <w:r>
        <w:rPr>
          <w:rFonts w:ascii="Times New Roman" w:hAnsi="Times New Roman" w:eastAsia="宋体" w:cs="Times New Roman"/>
          <w:b/>
          <w:bCs/>
          <w:color w:val="000000" w:themeColor="text1"/>
          <w:spacing w:val="-2"/>
          <w:sz w:val="24"/>
          <w:szCs w:val="20"/>
          <w14:textFill>
            <w14:solidFill>
              <w14:schemeClr w14:val="tx1"/>
            </w14:solidFill>
          </w14:textFill>
        </w:rPr>
        <w:t>2.</w:t>
      </w:r>
      <w:r>
        <w:rPr>
          <w:rFonts w:hint="eastAsia" w:ascii="Times New Roman" w:hAnsi="Times New Roman" w:eastAsia="宋体" w:cs="Times New Roman"/>
          <w:b/>
          <w:bCs/>
          <w:color w:val="000000" w:themeColor="text1"/>
          <w:spacing w:val="-2"/>
          <w:sz w:val="24"/>
          <w:szCs w:val="20"/>
          <w14:textFill>
            <w14:solidFill>
              <w14:schemeClr w14:val="tx1"/>
            </w14:solidFill>
          </w14:textFill>
        </w:rPr>
        <w:t>2</w:t>
      </w:r>
      <w:r>
        <w:rPr>
          <w:rFonts w:ascii="Times New Roman" w:hAnsi="Times New Roman" w:eastAsia="宋体" w:cs="Times New Roman"/>
          <w:b/>
          <w:bCs/>
          <w:color w:val="000000" w:themeColor="text1"/>
          <w:spacing w:val="-2"/>
          <w:sz w:val="24"/>
          <w:szCs w:val="20"/>
          <w14:textFill>
            <w14:solidFill>
              <w14:schemeClr w14:val="tx1"/>
            </w14:solidFill>
          </w14:textFill>
        </w:rPr>
        <w:noBreakHyphen/>
      </w:r>
      <w:r>
        <w:rPr>
          <w:rFonts w:hint="eastAsia" w:ascii="Times New Roman" w:hAnsi="Times New Roman" w:eastAsia="宋体" w:cs="Times New Roman"/>
          <w:b/>
          <w:bCs/>
          <w:color w:val="000000" w:themeColor="text1"/>
          <w:spacing w:val="-2"/>
          <w:sz w:val="24"/>
          <w:szCs w:val="20"/>
          <w14:textFill>
            <w14:solidFill>
              <w14:schemeClr w14:val="tx1"/>
            </w14:solidFill>
          </w14:textFill>
        </w:rPr>
        <w:t xml:space="preserve">2  </w:t>
      </w:r>
      <w:r>
        <w:rPr>
          <w:rFonts w:ascii="Times New Roman" w:hAnsi="Times New Roman" w:eastAsia="宋体" w:cs="Times New Roman"/>
          <w:b/>
          <w:bCs/>
          <w:color w:val="000000" w:themeColor="text1"/>
          <w:spacing w:val="-2"/>
          <w:sz w:val="24"/>
          <w:szCs w:val="20"/>
          <w14:textFill>
            <w14:solidFill>
              <w14:schemeClr w14:val="tx1"/>
            </w14:solidFill>
          </w14:textFill>
        </w:rPr>
        <w:t>项目</w:t>
      </w:r>
      <w:r>
        <w:rPr>
          <w:rFonts w:hint="eastAsia" w:ascii="Times New Roman" w:hAnsi="Times New Roman" w:eastAsia="宋体" w:cs="Times New Roman"/>
          <w:b/>
          <w:bCs/>
          <w:color w:val="000000" w:themeColor="text1"/>
          <w:spacing w:val="-2"/>
          <w:sz w:val="24"/>
          <w:szCs w:val="20"/>
          <w14:textFill>
            <w14:solidFill>
              <w14:schemeClr w14:val="tx1"/>
            </w14:solidFill>
          </w14:textFill>
        </w:rPr>
        <w:t>毛矿加工氡排放</w:t>
      </w:r>
      <w:r>
        <w:rPr>
          <w:rFonts w:ascii="Times New Roman" w:hAnsi="Times New Roman" w:eastAsia="宋体" w:cs="Times New Roman"/>
          <w:b/>
          <w:bCs/>
          <w:color w:val="000000" w:themeColor="text1"/>
          <w:spacing w:val="-2"/>
          <w:sz w:val="24"/>
          <w:szCs w:val="20"/>
          <w14:textFill>
            <w14:solidFill>
              <w14:schemeClr w14:val="tx1"/>
            </w14:solidFill>
          </w14:textFill>
        </w:rPr>
        <w:t>量</w:t>
      </w:r>
      <w:r>
        <w:rPr>
          <w:rFonts w:hint="eastAsia" w:ascii="Times New Roman" w:hAnsi="Times New Roman" w:eastAsia="宋体" w:cs="Times New Roman"/>
          <w:b/>
          <w:bCs/>
          <w:color w:val="000000" w:themeColor="text1"/>
          <w:spacing w:val="-2"/>
          <w:sz w:val="24"/>
          <w:szCs w:val="20"/>
          <w14:textFill>
            <w14:solidFill>
              <w14:schemeClr w14:val="tx1"/>
            </w14:solidFill>
          </w14:textFill>
        </w:rPr>
        <w:t>预测</w:t>
      </w:r>
      <w:r>
        <w:rPr>
          <w:rFonts w:ascii="Times New Roman" w:hAnsi="Times New Roman" w:eastAsia="宋体" w:cs="Times New Roman"/>
          <w:b/>
          <w:bCs/>
          <w:color w:val="000000" w:themeColor="text1"/>
          <w:spacing w:val="-2"/>
          <w:sz w:val="24"/>
          <w:szCs w:val="20"/>
          <w14:textFill>
            <w14:solidFill>
              <w14:schemeClr w14:val="tx1"/>
            </w14:solidFill>
          </w14:textFill>
        </w:rPr>
        <w:t>结果</w:t>
      </w:r>
    </w:p>
    <w:tbl>
      <w:tblPr>
        <w:tblStyle w:val="47"/>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92"/>
        <w:gridCol w:w="1238"/>
        <w:gridCol w:w="1741"/>
        <w:gridCol w:w="1417"/>
        <w:gridCol w:w="1410"/>
        <w:gridCol w:w="1778"/>
      </w:tblGrid>
      <w:tr w14:paraId="467832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92" w:type="dxa"/>
            <w:vAlign w:val="center"/>
          </w:tcPr>
          <w:p w14:paraId="4872014F">
            <w:pPr>
              <w:spacing w:after="0" w:line="240" w:lineRule="auto"/>
              <w:jc w:val="center"/>
              <w:rPr>
                <w:rFonts w:ascii="Times New Roman" w:hAnsi="Times New Roman" w:eastAsia="宋体" w:cs="Times New Roman"/>
                <w:b/>
                <w:color w:val="000000" w:themeColor="text1"/>
                <w:u w:val="single"/>
                <w14:textFill>
                  <w14:solidFill>
                    <w14:schemeClr w14:val="tx1"/>
                  </w14:solidFill>
                </w14:textFill>
              </w:rPr>
            </w:pPr>
            <w:r>
              <w:rPr>
                <w:rFonts w:hint="eastAsia" w:ascii="Times New Roman" w:hAnsi="Times New Roman" w:eastAsia="宋体" w:cs="Times New Roman"/>
                <w:b/>
                <w:color w:val="000000" w:themeColor="text1"/>
                <w:u w:val="single"/>
                <w14:textFill>
                  <w14:solidFill>
                    <w14:schemeClr w14:val="tx1"/>
                  </w14:solidFill>
                </w14:textFill>
              </w:rPr>
              <w:t>序号</w:t>
            </w:r>
          </w:p>
        </w:tc>
        <w:tc>
          <w:tcPr>
            <w:tcW w:w="1238" w:type="dxa"/>
            <w:vAlign w:val="center"/>
          </w:tcPr>
          <w:p w14:paraId="58A907B1">
            <w:pPr>
              <w:spacing w:after="0" w:line="240" w:lineRule="auto"/>
              <w:jc w:val="center"/>
              <w:rPr>
                <w:rFonts w:ascii="Times New Roman" w:hAnsi="Times New Roman" w:eastAsia="宋体" w:cs="Times New Roman"/>
                <w:b/>
                <w:color w:val="000000" w:themeColor="text1"/>
                <w:u w:val="single"/>
                <w14:textFill>
                  <w14:solidFill>
                    <w14:schemeClr w14:val="tx1"/>
                  </w14:solidFill>
                </w14:textFill>
              </w:rPr>
            </w:pPr>
            <w:r>
              <w:rPr>
                <w:rFonts w:hint="eastAsia" w:ascii="Times New Roman" w:hAnsi="Times New Roman" w:eastAsia="宋体" w:cs="Times New Roman"/>
                <w:b/>
                <w:color w:val="000000" w:themeColor="text1"/>
                <w:u w:val="single"/>
                <w14:textFill>
                  <w14:solidFill>
                    <w14:schemeClr w14:val="tx1"/>
                  </w14:solidFill>
                </w14:textFill>
              </w:rPr>
              <w:t>物料类别</w:t>
            </w:r>
          </w:p>
        </w:tc>
        <w:tc>
          <w:tcPr>
            <w:tcW w:w="1741" w:type="dxa"/>
            <w:vAlign w:val="center"/>
          </w:tcPr>
          <w:p w14:paraId="679902E4">
            <w:pPr>
              <w:spacing w:after="0" w:line="240" w:lineRule="auto"/>
              <w:jc w:val="center"/>
              <w:rPr>
                <w:rFonts w:ascii="Times New Roman" w:hAnsi="Times New Roman" w:eastAsia="宋体" w:cs="Times New Roman"/>
                <w:b/>
                <w:color w:val="000000" w:themeColor="text1"/>
                <w:u w:val="single"/>
                <w14:textFill>
                  <w14:solidFill>
                    <w14:schemeClr w14:val="tx1"/>
                  </w14:solidFill>
                </w14:textFill>
              </w:rPr>
            </w:pPr>
            <w:r>
              <w:rPr>
                <w:rFonts w:hint="eastAsia" w:ascii="Times New Roman" w:hAnsi="Times New Roman" w:eastAsia="宋体" w:cs="Times New Roman"/>
                <w:b/>
                <w:color w:val="000000" w:themeColor="text1"/>
                <w:u w:val="single"/>
                <w:vertAlign w:val="superscript"/>
                <w14:textFill>
                  <w14:solidFill>
                    <w14:schemeClr w14:val="tx1"/>
                  </w14:solidFill>
                </w14:textFill>
              </w:rPr>
              <w:t>222</w:t>
            </w:r>
            <w:r>
              <w:rPr>
                <w:rFonts w:hint="eastAsia" w:ascii="Times New Roman" w:hAnsi="Times New Roman" w:eastAsia="宋体" w:cs="Times New Roman"/>
                <w:b/>
                <w:color w:val="000000" w:themeColor="text1"/>
                <w:u w:val="single"/>
                <w14:textFill>
                  <w14:solidFill>
                    <w14:schemeClr w14:val="tx1"/>
                  </w14:solidFill>
                </w14:textFill>
              </w:rPr>
              <w:t>Rn排放量（Bq/a）</w:t>
            </w:r>
          </w:p>
        </w:tc>
        <w:tc>
          <w:tcPr>
            <w:tcW w:w="1417" w:type="dxa"/>
            <w:vAlign w:val="center"/>
          </w:tcPr>
          <w:p w14:paraId="7410CCC0">
            <w:pPr>
              <w:spacing w:after="0" w:line="240" w:lineRule="auto"/>
              <w:jc w:val="center"/>
              <w:rPr>
                <w:rFonts w:ascii="Times New Roman" w:hAnsi="Times New Roman" w:eastAsia="宋体" w:cs="Times New Roman"/>
                <w:b/>
                <w:color w:val="000000" w:themeColor="text1"/>
                <w:u w:val="single"/>
                <w14:textFill>
                  <w14:solidFill>
                    <w14:schemeClr w14:val="tx1"/>
                  </w14:solidFill>
                </w14:textFill>
              </w:rPr>
            </w:pPr>
            <w:r>
              <w:rPr>
                <w:rFonts w:hint="eastAsia" w:ascii="Times New Roman" w:hAnsi="Times New Roman" w:eastAsia="宋体" w:cs="Times New Roman"/>
                <w:b/>
                <w:color w:val="000000" w:themeColor="text1"/>
                <w:u w:val="single"/>
                <w14:textFill>
                  <w14:solidFill>
                    <w14:schemeClr w14:val="tx1"/>
                  </w14:solidFill>
                </w14:textFill>
              </w:rPr>
              <w:t>年处理矿石量（t/a）</w:t>
            </w:r>
          </w:p>
        </w:tc>
        <w:tc>
          <w:tcPr>
            <w:tcW w:w="1410" w:type="dxa"/>
            <w:vAlign w:val="center"/>
          </w:tcPr>
          <w:p w14:paraId="438BDF7B">
            <w:pPr>
              <w:spacing w:after="0" w:line="240" w:lineRule="auto"/>
              <w:jc w:val="center"/>
              <w:rPr>
                <w:rFonts w:ascii="Times New Roman" w:hAnsi="Times New Roman" w:eastAsia="宋体" w:cs="Times New Roman"/>
                <w:b/>
                <w:color w:val="000000" w:themeColor="text1"/>
                <w:u w:val="single"/>
                <w14:textFill>
                  <w14:solidFill>
                    <w14:schemeClr w14:val="tx1"/>
                  </w14:solidFill>
                </w14:textFill>
              </w:rPr>
            </w:pPr>
            <w:r>
              <w:rPr>
                <w:rFonts w:hint="eastAsia" w:ascii="Times New Roman" w:hAnsi="Times New Roman" w:eastAsia="宋体" w:cs="Times New Roman"/>
                <w:b/>
                <w:color w:val="000000" w:themeColor="text1"/>
                <w:u w:val="single"/>
                <w:vertAlign w:val="superscript"/>
                <w14:textFill>
                  <w14:solidFill>
                    <w14:schemeClr w14:val="tx1"/>
                  </w14:solidFill>
                </w14:textFill>
              </w:rPr>
              <w:t>222</w:t>
            </w:r>
            <w:r>
              <w:rPr>
                <w:rFonts w:hint="eastAsia" w:ascii="Times New Roman" w:hAnsi="Times New Roman" w:eastAsia="宋体" w:cs="Times New Roman"/>
                <w:b/>
                <w:color w:val="000000" w:themeColor="text1"/>
                <w:u w:val="single"/>
                <w14:textFill>
                  <w14:solidFill>
                    <w14:schemeClr w14:val="tx1"/>
                  </w14:solidFill>
                </w14:textFill>
              </w:rPr>
              <w:t>Rn比活度（Bq/g）</w:t>
            </w:r>
          </w:p>
        </w:tc>
        <w:tc>
          <w:tcPr>
            <w:tcW w:w="1778" w:type="dxa"/>
            <w:vAlign w:val="center"/>
          </w:tcPr>
          <w:p w14:paraId="680943BA">
            <w:pPr>
              <w:spacing w:after="0" w:line="240" w:lineRule="auto"/>
              <w:jc w:val="center"/>
              <w:rPr>
                <w:rFonts w:ascii="Times New Roman" w:hAnsi="Times New Roman" w:eastAsia="宋体" w:cs="Times New Roman"/>
                <w:b/>
                <w:color w:val="000000" w:themeColor="text1"/>
                <w:u w:val="single"/>
                <w14:textFill>
                  <w14:solidFill>
                    <w14:schemeClr w14:val="tx1"/>
                  </w14:solidFill>
                </w14:textFill>
              </w:rPr>
            </w:pPr>
            <w:r>
              <w:rPr>
                <w:rFonts w:hint="eastAsia" w:ascii="Times New Roman" w:hAnsi="Times New Roman" w:eastAsia="宋体" w:cs="Times New Roman"/>
                <w:b/>
                <w:color w:val="000000" w:themeColor="text1"/>
                <w:u w:val="single"/>
                <w:vertAlign w:val="superscript"/>
                <w14:textFill>
                  <w14:solidFill>
                    <w14:schemeClr w14:val="tx1"/>
                  </w14:solidFill>
                </w14:textFill>
              </w:rPr>
              <w:t>222</w:t>
            </w:r>
            <w:r>
              <w:rPr>
                <w:rFonts w:hint="eastAsia" w:ascii="Times New Roman" w:hAnsi="Times New Roman" w:eastAsia="宋体" w:cs="Times New Roman"/>
                <w:b/>
                <w:color w:val="000000" w:themeColor="text1"/>
                <w:u w:val="single"/>
                <w14:textFill>
                  <w14:solidFill>
                    <w14:schemeClr w14:val="tx1"/>
                  </w14:solidFill>
                </w14:textFill>
              </w:rPr>
              <w:t>Rn排放因子（Bq/m</w:t>
            </w:r>
            <w:r>
              <w:rPr>
                <w:rFonts w:hint="eastAsia" w:ascii="Times New Roman" w:hAnsi="Times New Roman" w:eastAsia="宋体" w:cs="Times New Roman"/>
                <w:b/>
                <w:color w:val="000000" w:themeColor="text1"/>
                <w:u w:val="single"/>
                <w:vertAlign w:val="superscript"/>
                <w14:textFill>
                  <w14:solidFill>
                    <w14:schemeClr w14:val="tx1"/>
                  </w14:solidFill>
                </w14:textFill>
              </w:rPr>
              <w:t>2</w:t>
            </w:r>
            <w:r>
              <w:rPr>
                <w:rFonts w:hint="eastAsia" w:ascii="Times New Roman" w:hAnsi="Times New Roman" w:eastAsia="宋体" w:cs="Times New Roman"/>
                <w:b/>
                <w:color w:val="000000" w:themeColor="text1"/>
                <w:u w:val="single"/>
                <w14:textFill>
                  <w14:solidFill>
                    <w14:schemeClr w14:val="tx1"/>
                  </w14:solidFill>
                </w14:textFill>
              </w:rPr>
              <w:t>·s）</w:t>
            </w:r>
          </w:p>
        </w:tc>
      </w:tr>
      <w:tr w14:paraId="4977D8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92" w:type="dxa"/>
            <w:vAlign w:val="center"/>
          </w:tcPr>
          <w:p w14:paraId="0C41C276">
            <w:pPr>
              <w:spacing w:after="0" w:line="240" w:lineRule="auto"/>
              <w:jc w:val="center"/>
              <w:rPr>
                <w:rFonts w:ascii="Times New Roman" w:hAnsi="Times New Roman" w:eastAsia="宋体" w:cs="Times New Roman"/>
                <w:color w:val="000000" w:themeColor="text1"/>
                <w:sz w:val="24"/>
                <w:szCs w:val="24"/>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1</w:t>
            </w:r>
          </w:p>
        </w:tc>
        <w:tc>
          <w:tcPr>
            <w:tcW w:w="1238" w:type="dxa"/>
            <w:vAlign w:val="center"/>
          </w:tcPr>
          <w:p w14:paraId="51CDD021">
            <w:pPr>
              <w:spacing w:after="0" w:line="240" w:lineRule="auto"/>
              <w:jc w:val="center"/>
              <w:rPr>
                <w:rFonts w:ascii="Times New Roman" w:hAnsi="Times New Roman" w:eastAsia="宋体" w:cs="Times New Roman"/>
                <w:color w:val="000000" w:themeColor="text1"/>
                <w:sz w:val="24"/>
                <w:szCs w:val="24"/>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毛矿加工</w:t>
            </w:r>
          </w:p>
        </w:tc>
        <w:tc>
          <w:tcPr>
            <w:tcW w:w="1741" w:type="dxa"/>
            <w:vAlign w:val="center"/>
          </w:tcPr>
          <w:p w14:paraId="5FB662B8">
            <w:pPr>
              <w:spacing w:after="0" w:line="240" w:lineRule="auto"/>
              <w:jc w:val="center"/>
              <w:rPr>
                <w:rFonts w:ascii="Times New Roman" w:hAnsi="Times New Roman" w:eastAsia="宋体" w:cs="Times New Roman"/>
                <w:color w:val="000000" w:themeColor="text1"/>
                <w:sz w:val="24"/>
                <w:szCs w:val="24"/>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3.21×10</w:t>
            </w:r>
            <w:r>
              <w:rPr>
                <w:rFonts w:hint="eastAsia" w:ascii="Times New Roman" w:hAnsi="Times New Roman" w:eastAsia="宋体" w:cs="Times New Roman"/>
                <w:color w:val="000000" w:themeColor="text1"/>
                <w:u w:val="single"/>
                <w:vertAlign w:val="superscript"/>
                <w14:textFill>
                  <w14:solidFill>
                    <w14:schemeClr w14:val="tx1"/>
                  </w14:solidFill>
                </w14:textFill>
              </w:rPr>
              <w:t>10</w:t>
            </w:r>
          </w:p>
        </w:tc>
        <w:tc>
          <w:tcPr>
            <w:tcW w:w="1417" w:type="dxa"/>
            <w:vAlign w:val="center"/>
          </w:tcPr>
          <w:p w14:paraId="72F619C9">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240000</w:t>
            </w:r>
          </w:p>
        </w:tc>
        <w:tc>
          <w:tcPr>
            <w:tcW w:w="1410" w:type="dxa"/>
            <w:vAlign w:val="center"/>
          </w:tcPr>
          <w:p w14:paraId="66483844">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3.66</w:t>
            </w:r>
          </w:p>
        </w:tc>
        <w:tc>
          <w:tcPr>
            <w:tcW w:w="1778" w:type="dxa"/>
            <w:vAlign w:val="center"/>
          </w:tcPr>
          <w:p w14:paraId="7BA37978">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3.66</w:t>
            </w:r>
          </w:p>
        </w:tc>
      </w:tr>
    </w:tbl>
    <w:p w14:paraId="2A02E7EE">
      <w:pPr>
        <w:widowControl w:val="0"/>
        <w:spacing w:after="0" w:line="360" w:lineRule="auto"/>
        <w:ind w:firstLine="361" w:firstLineChars="200"/>
        <w:jc w:val="both"/>
        <w:rPr>
          <w:rFonts w:ascii="Times New Roman" w:hAnsi="Times New Roman" w:cs="Times New Roman"/>
          <w:b/>
          <w:color w:val="000000" w:themeColor="text1"/>
          <w:sz w:val="18"/>
          <w:szCs w:val="18"/>
          <w14:textFill>
            <w14:solidFill>
              <w14:schemeClr w14:val="tx1"/>
            </w14:solidFill>
          </w14:textFill>
        </w:rPr>
      </w:pPr>
    </w:p>
    <w:p w14:paraId="4C88646F">
      <w:pPr>
        <w:pStyle w:val="6"/>
        <w:widowControl w:val="0"/>
        <w:numPr>
          <w:ilvl w:val="3"/>
          <w:numId w:val="1"/>
        </w:numPr>
        <w:spacing w:before="0" w:line="360" w:lineRule="auto"/>
        <w:ind w:left="0" w:firstLine="0"/>
        <w:jc w:val="both"/>
        <w:rPr>
          <w:rFonts w:ascii="Times New Roman" w:hAnsi="Times New Roman" w:eastAsia="黑体" w:cs="Times New Roman"/>
          <w:bCs/>
          <w:i w:val="0"/>
          <w:iCs w:val="0"/>
          <w:color w:val="000000" w:themeColor="text1"/>
          <w:kern w:val="2"/>
          <w:sz w:val="24"/>
          <w14:textFill>
            <w14:solidFill>
              <w14:schemeClr w14:val="tx1"/>
            </w14:solidFill>
          </w14:textFill>
        </w:rPr>
      </w:pPr>
      <w:r>
        <w:rPr>
          <w:rFonts w:ascii="Times New Roman" w:hAnsi="Times New Roman" w:eastAsia="黑体" w:cs="Times New Roman"/>
          <w:bCs/>
          <w:i w:val="0"/>
          <w:iCs w:val="0"/>
          <w:color w:val="000000" w:themeColor="text1"/>
          <w:kern w:val="2"/>
          <w:sz w:val="24"/>
          <w14:textFill>
            <w14:solidFill>
              <w14:schemeClr w14:val="tx1"/>
            </w14:solidFill>
          </w14:textFill>
        </w:rPr>
        <w:t>γ辐射空气吸收剂量率</w:t>
      </w:r>
    </w:p>
    <w:p w14:paraId="2781E166">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（1）类比监测结果</w:t>
      </w:r>
    </w:p>
    <w:p w14:paraId="172BE56E">
      <w:pPr>
        <w:spacing w:after="0" w:line="360" w:lineRule="auto"/>
        <w:ind w:firstLine="480" w:firstLineChars="200"/>
        <w:rPr>
          <w:rFonts w:ascii="Times New Roman" w:hAnsi="Times New Roman" w:cs="Times New Roman"/>
          <w:color w:val="000000" w:themeColor="text1"/>
          <w:sz w:val="24"/>
          <w:szCs w:val="24"/>
          <w:u w:val="single"/>
          <w14:textFill>
            <w14:solidFill>
              <w14:schemeClr w14:val="tx1"/>
            </w14:solidFill>
          </w14:textFill>
        </w:rPr>
      </w:pPr>
      <w:r>
        <w:rPr>
          <w:rFonts w:ascii="Times New Roman" w:hAnsi="Times New Roman" w:cs="Times New Roman"/>
          <w:color w:val="000000" w:themeColor="text1"/>
          <w:sz w:val="24"/>
          <w:szCs w:val="24"/>
          <w:u w:val="single"/>
          <w14:textFill>
            <w14:solidFill>
              <w14:schemeClr w14:val="tx1"/>
            </w14:solidFill>
          </w14:textFill>
        </w:rPr>
        <w:t>本专篇采用类比分析的方式进行源项分析。选取广西广保矿业有限公司2020年环境辐射监测数据进行类比分析。</w:t>
      </w:r>
    </w:p>
    <w:p w14:paraId="3FF43898">
      <w:pPr>
        <w:widowControl w:val="0"/>
        <w:spacing w:after="0" w:line="360" w:lineRule="auto"/>
        <w:ind w:firstLine="480" w:firstLineChars="200"/>
        <w:jc w:val="both"/>
        <w:rPr>
          <w:rFonts w:ascii="Times New Roman" w:hAnsi="Times New Roman" w:eastAsia="宋体" w:cs="Times New Roman"/>
          <w:color w:val="000000" w:themeColor="text1"/>
          <w:spacing w:val="-2"/>
          <w:sz w:val="24"/>
          <w:szCs w:val="20"/>
          <w:u w:val="single"/>
          <w14:textFill>
            <w14:solidFill>
              <w14:schemeClr w14:val="tx1"/>
            </w14:solidFill>
          </w14:textFill>
        </w:rPr>
      </w:pPr>
      <w:r>
        <w:rPr>
          <w:rFonts w:ascii="Times New Roman" w:hAnsi="Times New Roman" w:cs="Times New Roman"/>
          <w:color w:val="000000" w:themeColor="text1"/>
          <w:sz w:val="24"/>
          <w:szCs w:val="24"/>
          <w:u w:val="single"/>
          <w14:textFill>
            <w14:solidFill>
              <w14:schemeClr w14:val="tx1"/>
            </w14:solidFill>
          </w14:textFill>
        </w:rPr>
        <w:t>广西广保矿业有限公司生产规模为年加工10万吨锆钛矿项目，</w:t>
      </w:r>
      <w:r>
        <w:rPr>
          <w:rFonts w:hint="eastAsia" w:ascii="Times New Roman" w:hAnsi="Times New Roman" w:cs="Times New Roman"/>
          <w:color w:val="000000" w:themeColor="text1"/>
          <w:sz w:val="24"/>
          <w:szCs w:val="24"/>
          <w:u w:val="single"/>
          <w14:textFill>
            <w14:solidFill>
              <w14:schemeClr w14:val="tx1"/>
            </w14:solidFill>
          </w14:textFill>
        </w:rPr>
        <w:t>原料</w:t>
      </w:r>
      <w:r>
        <w:rPr>
          <w:rFonts w:ascii="Times New Roman" w:hAnsi="Times New Roman" w:cs="Times New Roman"/>
          <w:color w:val="000000" w:themeColor="text1"/>
          <w:sz w:val="24"/>
          <w:szCs w:val="24"/>
          <w:u w:val="single"/>
          <w14:textFill>
            <w14:solidFill>
              <w14:schemeClr w14:val="tx1"/>
            </w14:solidFill>
          </w14:textFill>
        </w:rPr>
        <w:t>来自</w:t>
      </w:r>
      <w:r>
        <w:rPr>
          <w:rFonts w:hint="eastAsia" w:ascii="Times New Roman" w:hAnsi="Times New Roman" w:cs="Times New Roman"/>
          <w:color w:val="000000" w:themeColor="text1"/>
          <w:sz w:val="24"/>
          <w:szCs w:val="24"/>
          <w:u w:val="single"/>
          <w14:textFill>
            <w14:solidFill>
              <w14:schemeClr w14:val="tx1"/>
            </w14:solidFill>
          </w14:textFill>
        </w:rPr>
        <w:t>非洲、</w:t>
      </w:r>
      <w:r>
        <w:rPr>
          <w:rFonts w:ascii="Times New Roman" w:hAnsi="Times New Roman" w:cs="Times New Roman"/>
          <w:color w:val="000000" w:themeColor="text1"/>
          <w:sz w:val="24"/>
          <w:szCs w:val="24"/>
          <w:u w:val="single"/>
          <w14:textFill>
            <w14:solidFill>
              <w14:schemeClr w14:val="tx1"/>
            </w14:solidFill>
          </w14:textFill>
        </w:rPr>
        <w:t>越南</w:t>
      </w:r>
      <w:r>
        <w:rPr>
          <w:rFonts w:hint="eastAsia" w:ascii="Times New Roman" w:hAnsi="Times New Roman" w:cs="Times New Roman"/>
          <w:color w:val="000000" w:themeColor="text1"/>
          <w:sz w:val="24"/>
          <w:szCs w:val="24"/>
          <w:u w:val="single"/>
          <w14:textFill>
            <w14:solidFill>
              <w14:schemeClr w14:val="tx1"/>
            </w14:solidFill>
          </w14:textFill>
        </w:rPr>
        <w:t>等地，同样采用物理分选工艺，生产的主要产品为钛铁矿等，与项目生产产品为同类产品。广西广保矿业有限公司与本项目均位于钦州市钦南区，相距气象条件相近，监测期间生产正常运行，监测结果具有可比性。</w:t>
      </w:r>
    </w:p>
    <w:p w14:paraId="3CB0CF2F">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类比项目生产场所环境γ辐射空气吸收剂量率监测结果见表2.</w:t>
      </w:r>
      <w:r>
        <w:rPr>
          <w:rFonts w:hint="eastAsia" w:ascii="Times New Roman" w:hAnsi="Times New Roman" w:eastAsia="宋体" w:cs="Times New Roman"/>
          <w:color w:val="000000" w:themeColor="text1"/>
          <w:spacing w:val="-2"/>
          <w:sz w:val="24"/>
          <w:szCs w:val="20"/>
          <w14:textFill>
            <w14:solidFill>
              <w14:schemeClr w14:val="tx1"/>
            </w14:solidFill>
          </w14:textFill>
        </w:rPr>
        <w:t>2</w:t>
      </w:r>
      <w:r>
        <w:rPr>
          <w:rFonts w:ascii="Times New Roman" w:hAnsi="Times New Roman" w:eastAsia="宋体" w:cs="Times New Roman"/>
          <w:color w:val="000000" w:themeColor="text1"/>
          <w:spacing w:val="-2"/>
          <w:sz w:val="24"/>
          <w:szCs w:val="20"/>
          <w14:textFill>
            <w14:solidFill>
              <w14:schemeClr w14:val="tx1"/>
            </w14:solidFill>
          </w14:textFill>
        </w:rPr>
        <w:t>-4，类比项目周围环境γ辐射空气吸收剂量率监测结果见表2.</w:t>
      </w:r>
      <w:r>
        <w:rPr>
          <w:rFonts w:hint="eastAsia" w:ascii="Times New Roman" w:hAnsi="Times New Roman" w:eastAsia="宋体" w:cs="Times New Roman"/>
          <w:color w:val="000000" w:themeColor="text1"/>
          <w:spacing w:val="-2"/>
          <w:sz w:val="24"/>
          <w:szCs w:val="20"/>
          <w14:textFill>
            <w14:solidFill>
              <w14:schemeClr w14:val="tx1"/>
            </w14:solidFill>
          </w14:textFill>
        </w:rPr>
        <w:t>2</w:t>
      </w:r>
      <w:r>
        <w:rPr>
          <w:rFonts w:ascii="Times New Roman" w:hAnsi="Times New Roman" w:eastAsia="宋体" w:cs="Times New Roman"/>
          <w:color w:val="000000" w:themeColor="text1"/>
          <w:spacing w:val="-2"/>
          <w:sz w:val="24"/>
          <w:szCs w:val="20"/>
          <w14:textFill>
            <w14:solidFill>
              <w14:schemeClr w14:val="tx1"/>
            </w14:solidFill>
          </w14:textFill>
        </w:rPr>
        <w:t>-5。</w:t>
      </w:r>
    </w:p>
    <w:p w14:paraId="660922B3">
      <w:pPr>
        <w:widowControl w:val="0"/>
        <w:spacing w:after="0" w:line="360" w:lineRule="auto"/>
        <w:jc w:val="center"/>
        <w:rPr>
          <w:rFonts w:ascii="Times New Roman" w:hAnsi="Times New Roman" w:eastAsia="宋体" w:cs="Times New Roman"/>
          <w:b/>
          <w:bCs/>
          <w:color w:val="000000" w:themeColor="text1"/>
          <w:spacing w:val="-2"/>
          <w:sz w:val="24"/>
          <w:szCs w:val="20"/>
          <w14:textFill>
            <w14:solidFill>
              <w14:schemeClr w14:val="tx1"/>
            </w14:solidFill>
          </w14:textFill>
        </w:rPr>
      </w:pPr>
      <w:r>
        <w:rPr>
          <w:rFonts w:ascii="Times New Roman" w:hAnsi="Times New Roman" w:eastAsia="宋体" w:cs="Times New Roman"/>
          <w:b/>
          <w:bCs/>
          <w:color w:val="000000" w:themeColor="text1"/>
          <w:spacing w:val="-2"/>
          <w:sz w:val="24"/>
          <w:szCs w:val="20"/>
          <w14:textFill>
            <w14:solidFill>
              <w14:schemeClr w14:val="tx1"/>
            </w14:solidFill>
          </w14:textFill>
        </w:rPr>
        <w:t>表2.</w:t>
      </w:r>
      <w:r>
        <w:rPr>
          <w:rFonts w:hint="eastAsia" w:ascii="Times New Roman" w:hAnsi="Times New Roman" w:eastAsia="宋体" w:cs="Times New Roman"/>
          <w:b/>
          <w:bCs/>
          <w:color w:val="000000" w:themeColor="text1"/>
          <w:spacing w:val="-2"/>
          <w:sz w:val="24"/>
          <w:szCs w:val="20"/>
          <w14:textFill>
            <w14:solidFill>
              <w14:schemeClr w14:val="tx1"/>
            </w14:solidFill>
          </w14:textFill>
        </w:rPr>
        <w:t>2</w:t>
      </w:r>
      <w:r>
        <w:rPr>
          <w:rFonts w:ascii="Times New Roman" w:hAnsi="Times New Roman" w:eastAsia="宋体" w:cs="Times New Roman"/>
          <w:b/>
          <w:bCs/>
          <w:color w:val="000000" w:themeColor="text1"/>
          <w:spacing w:val="-2"/>
          <w:sz w:val="24"/>
          <w:szCs w:val="20"/>
          <w14:textFill>
            <w14:solidFill>
              <w14:schemeClr w14:val="tx1"/>
            </w14:solidFill>
          </w14:textFill>
        </w:rPr>
        <w:t>-4  类比项目生产场所环境γ辐射空气吸收剂量率监测结果</w:t>
      </w:r>
    </w:p>
    <w:tbl>
      <w:tblPr>
        <w:tblStyle w:val="46"/>
        <w:tblW w:w="4983"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70"/>
        <w:gridCol w:w="4527"/>
        <w:gridCol w:w="1549"/>
        <w:gridCol w:w="1547"/>
      </w:tblGrid>
      <w:tr w14:paraId="65E893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512" w:type="pct"/>
            <w:vMerge w:val="restart"/>
            <w:vAlign w:val="center"/>
          </w:tcPr>
          <w:p w14:paraId="07852B0F">
            <w:pPr>
              <w:spacing w:after="0" w:line="240" w:lineRule="auto"/>
              <w:jc w:val="cente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监测</w:t>
            </w:r>
          </w:p>
          <w:p w14:paraId="1AD1A5DC">
            <w:pPr>
              <w:spacing w:after="0" w:line="240" w:lineRule="auto"/>
              <w:jc w:val="cente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点位</w:t>
            </w:r>
          </w:p>
        </w:tc>
        <w:tc>
          <w:tcPr>
            <w:tcW w:w="2665" w:type="pct"/>
            <w:vMerge w:val="restart"/>
            <w:vAlign w:val="center"/>
          </w:tcPr>
          <w:p w14:paraId="77D4A05E">
            <w:pPr>
              <w:spacing w:after="0" w:line="240" w:lineRule="auto"/>
              <w:jc w:val="cente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点位描述</w:t>
            </w:r>
          </w:p>
        </w:tc>
        <w:tc>
          <w:tcPr>
            <w:tcW w:w="1823" w:type="pct"/>
            <w:gridSpan w:val="2"/>
            <w:vAlign w:val="center"/>
          </w:tcPr>
          <w:p w14:paraId="33191FE0">
            <w:pPr>
              <w:spacing w:after="0" w:line="240" w:lineRule="auto"/>
              <w:jc w:val="center"/>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γ辐射空气吸收剂量率（nGy/h）</w:t>
            </w:r>
          </w:p>
        </w:tc>
      </w:tr>
      <w:tr w14:paraId="26498B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512" w:type="pct"/>
            <w:vMerge w:val="continue"/>
            <w:vAlign w:val="center"/>
          </w:tcPr>
          <w:p w14:paraId="26657436">
            <w:pPr>
              <w:spacing w:after="0" w:line="240" w:lineRule="auto"/>
              <w:jc w:val="center"/>
              <w:rPr>
                <w:rFonts w:ascii="Times New Roman" w:hAnsi="Times New Roman" w:eastAsia="宋体" w:cs="Times New Roman"/>
                <w:b/>
                <w:color w:val="000000" w:themeColor="text1"/>
                <w14:textFill>
                  <w14:solidFill>
                    <w14:schemeClr w14:val="tx1"/>
                  </w14:solidFill>
                </w14:textFill>
              </w:rPr>
            </w:pPr>
          </w:p>
        </w:tc>
        <w:tc>
          <w:tcPr>
            <w:tcW w:w="2665" w:type="pct"/>
            <w:vMerge w:val="continue"/>
            <w:vAlign w:val="center"/>
          </w:tcPr>
          <w:p w14:paraId="1D28086C">
            <w:pPr>
              <w:spacing w:after="0" w:line="240" w:lineRule="auto"/>
              <w:jc w:val="center"/>
              <w:rPr>
                <w:rFonts w:ascii="Times New Roman" w:hAnsi="Times New Roman" w:eastAsia="宋体" w:cs="Times New Roman"/>
                <w:b/>
                <w:color w:val="000000" w:themeColor="text1"/>
                <w14:textFill>
                  <w14:solidFill>
                    <w14:schemeClr w14:val="tx1"/>
                  </w14:solidFill>
                </w14:textFill>
              </w:rPr>
            </w:pPr>
          </w:p>
        </w:tc>
        <w:tc>
          <w:tcPr>
            <w:tcW w:w="912" w:type="pct"/>
            <w:vAlign w:val="center"/>
          </w:tcPr>
          <w:p w14:paraId="23D7D1AE">
            <w:pPr>
              <w:spacing w:after="0" w:line="240" w:lineRule="auto"/>
              <w:jc w:val="cente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平均值</w:t>
            </w:r>
          </w:p>
        </w:tc>
        <w:tc>
          <w:tcPr>
            <w:tcW w:w="911" w:type="pct"/>
            <w:vAlign w:val="center"/>
          </w:tcPr>
          <w:p w14:paraId="2993CDC3">
            <w:pPr>
              <w:spacing w:after="0" w:line="240" w:lineRule="auto"/>
              <w:jc w:val="cente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标准差</w:t>
            </w:r>
          </w:p>
        </w:tc>
      </w:tr>
      <w:tr w14:paraId="27E3CA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Align w:val="center"/>
          </w:tcPr>
          <w:p w14:paraId="6E7D8402">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w:t>
            </w:r>
          </w:p>
        </w:tc>
        <w:tc>
          <w:tcPr>
            <w:tcW w:w="2665" w:type="pct"/>
            <w:vAlign w:val="center"/>
          </w:tcPr>
          <w:p w14:paraId="603E4499">
            <w:pPr>
              <w:spacing w:after="0" w:line="240" w:lineRule="auto"/>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宿舍楼前道路</w:t>
            </w:r>
          </w:p>
        </w:tc>
        <w:tc>
          <w:tcPr>
            <w:tcW w:w="912" w:type="pct"/>
            <w:vAlign w:val="center"/>
          </w:tcPr>
          <w:p w14:paraId="4FDA95CC">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168</w:t>
            </w:r>
          </w:p>
        </w:tc>
        <w:tc>
          <w:tcPr>
            <w:tcW w:w="911" w:type="pct"/>
            <w:vAlign w:val="center"/>
          </w:tcPr>
          <w:p w14:paraId="0FB18263">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2.0</w:t>
            </w:r>
          </w:p>
        </w:tc>
      </w:tr>
      <w:tr w14:paraId="0A8066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Align w:val="center"/>
          </w:tcPr>
          <w:p w14:paraId="68D04C15">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w:t>
            </w:r>
          </w:p>
        </w:tc>
        <w:tc>
          <w:tcPr>
            <w:tcW w:w="2665" w:type="pct"/>
            <w:vAlign w:val="center"/>
          </w:tcPr>
          <w:p w14:paraId="1A03A7C2">
            <w:pPr>
              <w:spacing w:after="0" w:line="240" w:lineRule="auto"/>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公司厂区大门口</w:t>
            </w:r>
          </w:p>
        </w:tc>
        <w:tc>
          <w:tcPr>
            <w:tcW w:w="912" w:type="pct"/>
            <w:vAlign w:val="center"/>
          </w:tcPr>
          <w:p w14:paraId="1947870F">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134</w:t>
            </w:r>
          </w:p>
        </w:tc>
        <w:tc>
          <w:tcPr>
            <w:tcW w:w="911" w:type="pct"/>
            <w:vAlign w:val="center"/>
          </w:tcPr>
          <w:p w14:paraId="68150C29">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1.7</w:t>
            </w:r>
          </w:p>
        </w:tc>
      </w:tr>
      <w:tr w14:paraId="6244D5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Align w:val="center"/>
          </w:tcPr>
          <w:p w14:paraId="7ADD7C2E">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w:t>
            </w:r>
          </w:p>
        </w:tc>
        <w:tc>
          <w:tcPr>
            <w:tcW w:w="2665" w:type="pct"/>
            <w:vAlign w:val="center"/>
          </w:tcPr>
          <w:p w14:paraId="1DF1DFC2">
            <w:pPr>
              <w:spacing w:after="0" w:line="240" w:lineRule="auto"/>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仓库内</w:t>
            </w:r>
          </w:p>
        </w:tc>
        <w:tc>
          <w:tcPr>
            <w:tcW w:w="912" w:type="pct"/>
            <w:vAlign w:val="center"/>
          </w:tcPr>
          <w:p w14:paraId="6321D071">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201</w:t>
            </w:r>
          </w:p>
        </w:tc>
        <w:tc>
          <w:tcPr>
            <w:tcW w:w="911" w:type="pct"/>
            <w:vAlign w:val="center"/>
          </w:tcPr>
          <w:p w14:paraId="23467D62">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4.4</w:t>
            </w:r>
          </w:p>
        </w:tc>
      </w:tr>
      <w:tr w14:paraId="48D881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Align w:val="center"/>
          </w:tcPr>
          <w:p w14:paraId="05C01CA5">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w:t>
            </w:r>
          </w:p>
        </w:tc>
        <w:tc>
          <w:tcPr>
            <w:tcW w:w="2665" w:type="pct"/>
            <w:vAlign w:val="center"/>
          </w:tcPr>
          <w:p w14:paraId="3617AACD">
            <w:pPr>
              <w:spacing w:after="0" w:line="240" w:lineRule="auto"/>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磁选车间门口</w:t>
            </w:r>
          </w:p>
        </w:tc>
        <w:tc>
          <w:tcPr>
            <w:tcW w:w="912" w:type="pct"/>
            <w:vAlign w:val="center"/>
          </w:tcPr>
          <w:p w14:paraId="4500518A">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238</w:t>
            </w:r>
          </w:p>
        </w:tc>
        <w:tc>
          <w:tcPr>
            <w:tcW w:w="911" w:type="pct"/>
            <w:vAlign w:val="center"/>
          </w:tcPr>
          <w:p w14:paraId="3844F785">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2.6</w:t>
            </w:r>
          </w:p>
        </w:tc>
      </w:tr>
      <w:tr w14:paraId="3BB7C9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Align w:val="center"/>
          </w:tcPr>
          <w:p w14:paraId="34F5C9A9">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5</w:t>
            </w:r>
          </w:p>
        </w:tc>
        <w:tc>
          <w:tcPr>
            <w:tcW w:w="2665" w:type="pct"/>
            <w:vAlign w:val="center"/>
          </w:tcPr>
          <w:p w14:paraId="5446335B">
            <w:pPr>
              <w:spacing w:after="0" w:line="240" w:lineRule="auto"/>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磁选车间北侧空地</w:t>
            </w:r>
          </w:p>
        </w:tc>
        <w:tc>
          <w:tcPr>
            <w:tcW w:w="912" w:type="pct"/>
            <w:vAlign w:val="center"/>
          </w:tcPr>
          <w:p w14:paraId="242D1788">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189</w:t>
            </w:r>
          </w:p>
        </w:tc>
        <w:tc>
          <w:tcPr>
            <w:tcW w:w="911" w:type="pct"/>
            <w:vAlign w:val="center"/>
          </w:tcPr>
          <w:p w14:paraId="70EC7E57">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3.1</w:t>
            </w:r>
          </w:p>
        </w:tc>
      </w:tr>
      <w:tr w14:paraId="57814A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Align w:val="center"/>
          </w:tcPr>
          <w:p w14:paraId="14C6144C">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6</w:t>
            </w:r>
          </w:p>
        </w:tc>
        <w:tc>
          <w:tcPr>
            <w:tcW w:w="2665" w:type="pct"/>
            <w:vAlign w:val="center"/>
          </w:tcPr>
          <w:p w14:paraId="0E055206">
            <w:pPr>
              <w:spacing w:after="0" w:line="240" w:lineRule="auto"/>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摇床车间东侧空地</w:t>
            </w:r>
          </w:p>
        </w:tc>
        <w:tc>
          <w:tcPr>
            <w:tcW w:w="912" w:type="pct"/>
            <w:vAlign w:val="center"/>
          </w:tcPr>
          <w:p w14:paraId="7D285C4F">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154</w:t>
            </w:r>
          </w:p>
        </w:tc>
        <w:tc>
          <w:tcPr>
            <w:tcW w:w="911" w:type="pct"/>
            <w:vAlign w:val="center"/>
          </w:tcPr>
          <w:p w14:paraId="106A4261">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2.0</w:t>
            </w:r>
          </w:p>
        </w:tc>
      </w:tr>
      <w:tr w14:paraId="1500FF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Align w:val="center"/>
          </w:tcPr>
          <w:p w14:paraId="1613BA03">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7</w:t>
            </w:r>
          </w:p>
        </w:tc>
        <w:tc>
          <w:tcPr>
            <w:tcW w:w="2665" w:type="pct"/>
            <w:vAlign w:val="center"/>
          </w:tcPr>
          <w:p w14:paraId="0DD3D0B2">
            <w:pPr>
              <w:spacing w:after="0" w:line="240" w:lineRule="auto"/>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摇床车间中央操作位</w:t>
            </w:r>
          </w:p>
        </w:tc>
        <w:tc>
          <w:tcPr>
            <w:tcW w:w="912" w:type="pct"/>
            <w:vAlign w:val="center"/>
          </w:tcPr>
          <w:p w14:paraId="11F9FAB5">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262</w:t>
            </w:r>
          </w:p>
        </w:tc>
        <w:tc>
          <w:tcPr>
            <w:tcW w:w="911" w:type="pct"/>
            <w:vAlign w:val="center"/>
          </w:tcPr>
          <w:p w14:paraId="3E13B484">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2.3</w:t>
            </w:r>
          </w:p>
        </w:tc>
      </w:tr>
      <w:tr w14:paraId="22311A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Align w:val="center"/>
          </w:tcPr>
          <w:p w14:paraId="625F38E4">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8</w:t>
            </w:r>
          </w:p>
        </w:tc>
        <w:tc>
          <w:tcPr>
            <w:tcW w:w="2665" w:type="pct"/>
            <w:vAlign w:val="center"/>
          </w:tcPr>
          <w:p w14:paraId="7A16771D">
            <w:pPr>
              <w:spacing w:after="0" w:line="240" w:lineRule="auto"/>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摇床车间西侧晒场</w:t>
            </w:r>
          </w:p>
        </w:tc>
        <w:tc>
          <w:tcPr>
            <w:tcW w:w="912" w:type="pct"/>
            <w:vAlign w:val="center"/>
          </w:tcPr>
          <w:p w14:paraId="4AE49024">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397</w:t>
            </w:r>
          </w:p>
        </w:tc>
        <w:tc>
          <w:tcPr>
            <w:tcW w:w="911" w:type="pct"/>
            <w:vAlign w:val="center"/>
          </w:tcPr>
          <w:p w14:paraId="3D7A919D">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3.7</w:t>
            </w:r>
          </w:p>
        </w:tc>
      </w:tr>
      <w:tr w14:paraId="13EBF2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Align w:val="center"/>
          </w:tcPr>
          <w:p w14:paraId="50CE2673">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9</w:t>
            </w:r>
          </w:p>
        </w:tc>
        <w:tc>
          <w:tcPr>
            <w:tcW w:w="2665" w:type="pct"/>
            <w:vAlign w:val="center"/>
          </w:tcPr>
          <w:p w14:paraId="0FA5E57E">
            <w:pPr>
              <w:spacing w:after="0" w:line="240" w:lineRule="auto"/>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锆英车间内西侧空地</w:t>
            </w:r>
          </w:p>
        </w:tc>
        <w:tc>
          <w:tcPr>
            <w:tcW w:w="912" w:type="pct"/>
            <w:vAlign w:val="center"/>
          </w:tcPr>
          <w:p w14:paraId="6A61D2D6">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739</w:t>
            </w:r>
          </w:p>
        </w:tc>
        <w:tc>
          <w:tcPr>
            <w:tcW w:w="911" w:type="pct"/>
            <w:vAlign w:val="center"/>
          </w:tcPr>
          <w:p w14:paraId="45E24132">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3.8</w:t>
            </w:r>
          </w:p>
        </w:tc>
      </w:tr>
      <w:tr w14:paraId="626CAB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Align w:val="center"/>
          </w:tcPr>
          <w:p w14:paraId="5DCCBCEA">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10</w:t>
            </w:r>
          </w:p>
        </w:tc>
        <w:tc>
          <w:tcPr>
            <w:tcW w:w="2665" w:type="pct"/>
            <w:vAlign w:val="center"/>
          </w:tcPr>
          <w:p w14:paraId="12783EF1">
            <w:pPr>
              <w:spacing w:after="0" w:line="240" w:lineRule="auto"/>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锆英车间南侧2m</w:t>
            </w:r>
          </w:p>
        </w:tc>
        <w:tc>
          <w:tcPr>
            <w:tcW w:w="912" w:type="pct"/>
            <w:vAlign w:val="center"/>
          </w:tcPr>
          <w:p w14:paraId="2A13668A">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1.27×10</w:t>
            </w:r>
            <w:r>
              <w:rPr>
                <w:rFonts w:ascii="Times New Roman" w:hAnsi="Times New Roman" w:cs="Times New Roman"/>
                <w:color w:val="000000" w:themeColor="text1"/>
                <w:vertAlign w:val="superscript"/>
                <w14:textFill>
                  <w14:solidFill>
                    <w14:schemeClr w14:val="tx1"/>
                  </w14:solidFill>
                </w14:textFill>
              </w:rPr>
              <w:t>3</w:t>
            </w:r>
          </w:p>
        </w:tc>
        <w:tc>
          <w:tcPr>
            <w:tcW w:w="911" w:type="pct"/>
            <w:vAlign w:val="center"/>
          </w:tcPr>
          <w:p w14:paraId="45517E72">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20</w:t>
            </w:r>
          </w:p>
        </w:tc>
      </w:tr>
      <w:tr w14:paraId="761B20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Align w:val="center"/>
          </w:tcPr>
          <w:p w14:paraId="7E0540B5">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11</w:t>
            </w:r>
          </w:p>
        </w:tc>
        <w:tc>
          <w:tcPr>
            <w:tcW w:w="2665" w:type="pct"/>
            <w:vAlign w:val="center"/>
          </w:tcPr>
          <w:p w14:paraId="2A9051CC">
            <w:pPr>
              <w:spacing w:after="0" w:line="240" w:lineRule="auto"/>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中矿晒场</w:t>
            </w:r>
          </w:p>
        </w:tc>
        <w:tc>
          <w:tcPr>
            <w:tcW w:w="912" w:type="pct"/>
            <w:vAlign w:val="center"/>
          </w:tcPr>
          <w:p w14:paraId="7D9EC444">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562</w:t>
            </w:r>
          </w:p>
        </w:tc>
        <w:tc>
          <w:tcPr>
            <w:tcW w:w="911" w:type="pct"/>
            <w:vAlign w:val="center"/>
          </w:tcPr>
          <w:p w14:paraId="4EDC57A4">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4.1</w:t>
            </w:r>
          </w:p>
        </w:tc>
      </w:tr>
      <w:tr w14:paraId="3BE9AD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Align w:val="center"/>
          </w:tcPr>
          <w:p w14:paraId="09CD9821">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12</w:t>
            </w:r>
          </w:p>
        </w:tc>
        <w:tc>
          <w:tcPr>
            <w:tcW w:w="2665" w:type="pct"/>
            <w:vAlign w:val="center"/>
          </w:tcPr>
          <w:p w14:paraId="2F51D42D">
            <w:pPr>
              <w:spacing w:after="0" w:line="240" w:lineRule="auto"/>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金红车间内北侧空地</w:t>
            </w:r>
          </w:p>
        </w:tc>
        <w:tc>
          <w:tcPr>
            <w:tcW w:w="912" w:type="pct"/>
            <w:vAlign w:val="center"/>
          </w:tcPr>
          <w:p w14:paraId="71457FF0">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1.03×10</w:t>
            </w:r>
            <w:r>
              <w:rPr>
                <w:rFonts w:ascii="Times New Roman" w:hAnsi="Times New Roman" w:cs="Times New Roman"/>
                <w:color w:val="000000" w:themeColor="text1"/>
                <w:vertAlign w:val="superscript"/>
                <w14:textFill>
                  <w14:solidFill>
                    <w14:schemeClr w14:val="tx1"/>
                  </w14:solidFill>
                </w14:textFill>
              </w:rPr>
              <w:t>3</w:t>
            </w:r>
          </w:p>
        </w:tc>
        <w:tc>
          <w:tcPr>
            <w:tcW w:w="911" w:type="pct"/>
            <w:vAlign w:val="center"/>
          </w:tcPr>
          <w:p w14:paraId="1249FFDE">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6.8</w:t>
            </w:r>
          </w:p>
        </w:tc>
      </w:tr>
      <w:tr w14:paraId="262968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Align w:val="center"/>
          </w:tcPr>
          <w:p w14:paraId="0EBF8BF8">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13</w:t>
            </w:r>
          </w:p>
        </w:tc>
        <w:tc>
          <w:tcPr>
            <w:tcW w:w="2665" w:type="pct"/>
            <w:vAlign w:val="center"/>
          </w:tcPr>
          <w:p w14:paraId="656961AA">
            <w:pPr>
              <w:spacing w:after="0" w:line="240" w:lineRule="auto"/>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金红车间内南侧空地</w:t>
            </w:r>
          </w:p>
        </w:tc>
        <w:tc>
          <w:tcPr>
            <w:tcW w:w="912" w:type="pct"/>
            <w:vAlign w:val="center"/>
          </w:tcPr>
          <w:p w14:paraId="16D495EB">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303</w:t>
            </w:r>
          </w:p>
        </w:tc>
        <w:tc>
          <w:tcPr>
            <w:tcW w:w="911" w:type="pct"/>
            <w:vAlign w:val="center"/>
          </w:tcPr>
          <w:p w14:paraId="74882612">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3.1</w:t>
            </w:r>
          </w:p>
        </w:tc>
      </w:tr>
      <w:tr w14:paraId="70D836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Align w:val="center"/>
          </w:tcPr>
          <w:p w14:paraId="1D90D4FD">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14</w:t>
            </w:r>
          </w:p>
        </w:tc>
        <w:tc>
          <w:tcPr>
            <w:tcW w:w="2665" w:type="pct"/>
            <w:vAlign w:val="center"/>
          </w:tcPr>
          <w:p w14:paraId="5847A5CE">
            <w:pPr>
              <w:spacing w:after="0" w:line="240" w:lineRule="auto"/>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金红车间南侧门外空地</w:t>
            </w:r>
          </w:p>
        </w:tc>
        <w:tc>
          <w:tcPr>
            <w:tcW w:w="912" w:type="pct"/>
            <w:vAlign w:val="center"/>
          </w:tcPr>
          <w:p w14:paraId="4FB0BD01">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123</w:t>
            </w:r>
          </w:p>
        </w:tc>
        <w:tc>
          <w:tcPr>
            <w:tcW w:w="911" w:type="pct"/>
            <w:vAlign w:val="center"/>
          </w:tcPr>
          <w:p w14:paraId="4A4FC227">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2.4</w:t>
            </w:r>
          </w:p>
        </w:tc>
      </w:tr>
      <w:tr w14:paraId="1FAF62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Align w:val="center"/>
          </w:tcPr>
          <w:p w14:paraId="31AF884B">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15</w:t>
            </w:r>
          </w:p>
        </w:tc>
        <w:tc>
          <w:tcPr>
            <w:tcW w:w="2665" w:type="pct"/>
            <w:vAlign w:val="center"/>
          </w:tcPr>
          <w:p w14:paraId="360C7D4A">
            <w:pPr>
              <w:spacing w:after="0" w:line="240" w:lineRule="auto"/>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毛矿晒场</w:t>
            </w:r>
          </w:p>
        </w:tc>
        <w:tc>
          <w:tcPr>
            <w:tcW w:w="912" w:type="pct"/>
            <w:vAlign w:val="center"/>
          </w:tcPr>
          <w:p w14:paraId="182F43C5">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383</w:t>
            </w:r>
          </w:p>
        </w:tc>
        <w:tc>
          <w:tcPr>
            <w:tcW w:w="911" w:type="pct"/>
            <w:vAlign w:val="center"/>
          </w:tcPr>
          <w:p w14:paraId="6847A5C5">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4.2</w:t>
            </w:r>
          </w:p>
        </w:tc>
      </w:tr>
      <w:tr w14:paraId="0711B6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Align w:val="center"/>
          </w:tcPr>
          <w:p w14:paraId="2655B8CE">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16</w:t>
            </w:r>
          </w:p>
        </w:tc>
        <w:tc>
          <w:tcPr>
            <w:tcW w:w="2665" w:type="pct"/>
            <w:vAlign w:val="center"/>
          </w:tcPr>
          <w:p w14:paraId="419F7E9E">
            <w:pPr>
              <w:spacing w:after="0" w:line="240" w:lineRule="auto"/>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烘干炉出口</w:t>
            </w:r>
          </w:p>
        </w:tc>
        <w:tc>
          <w:tcPr>
            <w:tcW w:w="912" w:type="pct"/>
            <w:vAlign w:val="center"/>
          </w:tcPr>
          <w:p w14:paraId="1EC94DB0">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610</w:t>
            </w:r>
          </w:p>
        </w:tc>
        <w:tc>
          <w:tcPr>
            <w:tcW w:w="911" w:type="pct"/>
            <w:vAlign w:val="center"/>
          </w:tcPr>
          <w:p w14:paraId="2BB62E0F">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4.4</w:t>
            </w:r>
          </w:p>
        </w:tc>
      </w:tr>
      <w:tr w14:paraId="252763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Align w:val="center"/>
          </w:tcPr>
          <w:p w14:paraId="4D844702">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17</w:t>
            </w:r>
          </w:p>
        </w:tc>
        <w:tc>
          <w:tcPr>
            <w:tcW w:w="2665" w:type="pct"/>
            <w:vAlign w:val="center"/>
          </w:tcPr>
          <w:p w14:paraId="66A4F4B6">
            <w:pPr>
              <w:spacing w:after="0" w:line="240" w:lineRule="auto"/>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金红车间测氡点</w:t>
            </w:r>
          </w:p>
        </w:tc>
        <w:tc>
          <w:tcPr>
            <w:tcW w:w="912" w:type="pct"/>
            <w:vAlign w:val="center"/>
          </w:tcPr>
          <w:p w14:paraId="614CD3EA">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1.37×10</w:t>
            </w:r>
            <w:r>
              <w:rPr>
                <w:rFonts w:ascii="Times New Roman" w:hAnsi="Times New Roman" w:cs="Times New Roman"/>
                <w:color w:val="000000" w:themeColor="text1"/>
                <w:vertAlign w:val="superscript"/>
                <w14:textFill>
                  <w14:solidFill>
                    <w14:schemeClr w14:val="tx1"/>
                  </w14:solidFill>
                </w14:textFill>
              </w:rPr>
              <w:t>3</w:t>
            </w:r>
          </w:p>
        </w:tc>
        <w:tc>
          <w:tcPr>
            <w:tcW w:w="911" w:type="pct"/>
            <w:vAlign w:val="center"/>
          </w:tcPr>
          <w:p w14:paraId="5B6AA421">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26</w:t>
            </w:r>
          </w:p>
        </w:tc>
      </w:tr>
      <w:tr w14:paraId="313FBC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Align w:val="center"/>
          </w:tcPr>
          <w:p w14:paraId="73323292">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18</w:t>
            </w:r>
          </w:p>
        </w:tc>
        <w:tc>
          <w:tcPr>
            <w:tcW w:w="2665" w:type="pct"/>
            <w:vAlign w:val="center"/>
          </w:tcPr>
          <w:p w14:paraId="67CB0E50">
            <w:pPr>
              <w:spacing w:after="0" w:line="240" w:lineRule="auto"/>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锆英车间测氡点</w:t>
            </w:r>
          </w:p>
        </w:tc>
        <w:tc>
          <w:tcPr>
            <w:tcW w:w="912" w:type="pct"/>
            <w:vAlign w:val="center"/>
          </w:tcPr>
          <w:p w14:paraId="73F0F5E4">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596</w:t>
            </w:r>
          </w:p>
        </w:tc>
        <w:tc>
          <w:tcPr>
            <w:tcW w:w="911" w:type="pct"/>
            <w:vAlign w:val="center"/>
          </w:tcPr>
          <w:p w14:paraId="7E161C11">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3.2</w:t>
            </w:r>
          </w:p>
        </w:tc>
      </w:tr>
      <w:tr w14:paraId="2926AC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177" w:type="pct"/>
            <w:gridSpan w:val="2"/>
            <w:vAlign w:val="center"/>
          </w:tcPr>
          <w:p w14:paraId="7526AC42">
            <w:pPr>
              <w:spacing w:after="0" w:line="240"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测量值范围</w:t>
            </w:r>
          </w:p>
        </w:tc>
        <w:tc>
          <w:tcPr>
            <w:tcW w:w="912" w:type="pct"/>
            <w:vAlign w:val="center"/>
          </w:tcPr>
          <w:p w14:paraId="67AB5038">
            <w:pPr>
              <w:spacing w:after="0" w:line="240"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134~1.37×10</w:t>
            </w:r>
            <w:r>
              <w:rPr>
                <w:rFonts w:ascii="Times New Roman" w:hAnsi="Times New Roman" w:cs="Times New Roman"/>
                <w:color w:val="000000" w:themeColor="text1"/>
                <w:vertAlign w:val="superscript"/>
                <w14:textFill>
                  <w14:solidFill>
                    <w14:schemeClr w14:val="tx1"/>
                  </w14:solidFill>
                </w14:textFill>
              </w:rPr>
              <w:t>3</w:t>
            </w:r>
          </w:p>
        </w:tc>
        <w:tc>
          <w:tcPr>
            <w:tcW w:w="911" w:type="pct"/>
            <w:vAlign w:val="center"/>
          </w:tcPr>
          <w:p w14:paraId="32315215">
            <w:pPr>
              <w:spacing w:after="0" w:line="240"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w:t>
            </w:r>
          </w:p>
        </w:tc>
      </w:tr>
    </w:tbl>
    <w:p w14:paraId="2675C510">
      <w:pPr>
        <w:widowControl w:val="0"/>
        <w:spacing w:after="0" w:line="360" w:lineRule="auto"/>
        <w:jc w:val="center"/>
        <w:rPr>
          <w:rFonts w:ascii="Times New Roman" w:hAnsi="Times New Roman" w:eastAsia="宋体" w:cs="Times New Roman"/>
          <w:b/>
          <w:bCs/>
          <w:color w:val="000000" w:themeColor="text1"/>
          <w:spacing w:val="-2"/>
          <w:sz w:val="24"/>
          <w:szCs w:val="20"/>
          <w14:textFill>
            <w14:solidFill>
              <w14:schemeClr w14:val="tx1"/>
            </w14:solidFill>
          </w14:textFill>
        </w:rPr>
      </w:pPr>
    </w:p>
    <w:p w14:paraId="0F15CB43">
      <w:pPr>
        <w:widowControl w:val="0"/>
        <w:spacing w:after="0" w:line="360" w:lineRule="auto"/>
        <w:jc w:val="center"/>
        <w:rPr>
          <w:rFonts w:ascii="Times New Roman" w:hAnsi="Times New Roman" w:eastAsia="宋体" w:cs="Times New Roman"/>
          <w:b/>
          <w:bCs/>
          <w:color w:val="000000" w:themeColor="text1"/>
          <w:spacing w:val="-2"/>
          <w:sz w:val="24"/>
          <w:szCs w:val="20"/>
          <w14:textFill>
            <w14:solidFill>
              <w14:schemeClr w14:val="tx1"/>
            </w14:solidFill>
          </w14:textFill>
        </w:rPr>
      </w:pPr>
      <w:r>
        <w:rPr>
          <w:rFonts w:ascii="Times New Roman" w:hAnsi="Times New Roman" w:eastAsia="宋体" w:cs="Times New Roman"/>
          <w:b/>
          <w:bCs/>
          <w:color w:val="000000" w:themeColor="text1"/>
          <w:spacing w:val="-2"/>
          <w:sz w:val="24"/>
          <w:szCs w:val="20"/>
          <w14:textFill>
            <w14:solidFill>
              <w14:schemeClr w14:val="tx1"/>
            </w14:solidFill>
          </w14:textFill>
        </w:rPr>
        <w:t>表2.</w:t>
      </w:r>
      <w:r>
        <w:rPr>
          <w:rFonts w:hint="eastAsia" w:ascii="Times New Roman" w:hAnsi="Times New Roman" w:eastAsia="宋体" w:cs="Times New Roman"/>
          <w:b/>
          <w:bCs/>
          <w:color w:val="000000" w:themeColor="text1"/>
          <w:spacing w:val="-2"/>
          <w:sz w:val="24"/>
          <w:szCs w:val="20"/>
          <w14:textFill>
            <w14:solidFill>
              <w14:schemeClr w14:val="tx1"/>
            </w14:solidFill>
          </w14:textFill>
        </w:rPr>
        <w:t>2</w:t>
      </w:r>
      <w:r>
        <w:rPr>
          <w:rFonts w:ascii="Times New Roman" w:hAnsi="Times New Roman" w:eastAsia="宋体" w:cs="Times New Roman"/>
          <w:b/>
          <w:bCs/>
          <w:color w:val="000000" w:themeColor="text1"/>
          <w:spacing w:val="-2"/>
          <w:sz w:val="24"/>
          <w:szCs w:val="20"/>
          <w14:textFill>
            <w14:solidFill>
              <w14:schemeClr w14:val="tx1"/>
            </w14:solidFill>
          </w14:textFill>
        </w:rPr>
        <w:t>-5  类比项目</w:t>
      </w:r>
      <w:bookmarkStart w:id="52" w:name="OLE_LINK32"/>
      <w:r>
        <w:rPr>
          <w:rFonts w:ascii="Times New Roman" w:hAnsi="Times New Roman" w:eastAsia="宋体" w:cs="Times New Roman"/>
          <w:b/>
          <w:bCs/>
          <w:color w:val="000000" w:themeColor="text1"/>
          <w:spacing w:val="-2"/>
          <w:sz w:val="24"/>
          <w:szCs w:val="20"/>
          <w14:textFill>
            <w14:solidFill>
              <w14:schemeClr w14:val="tx1"/>
            </w14:solidFill>
          </w14:textFill>
        </w:rPr>
        <w:t>周围环境γ辐射空气吸收剂量率</w:t>
      </w:r>
      <w:bookmarkEnd w:id="52"/>
      <w:r>
        <w:rPr>
          <w:rFonts w:ascii="Times New Roman" w:hAnsi="Times New Roman" w:eastAsia="宋体" w:cs="Times New Roman"/>
          <w:b/>
          <w:bCs/>
          <w:color w:val="000000" w:themeColor="text1"/>
          <w:spacing w:val="-2"/>
          <w:sz w:val="24"/>
          <w:szCs w:val="20"/>
          <w14:textFill>
            <w14:solidFill>
              <w14:schemeClr w14:val="tx1"/>
            </w14:solidFill>
          </w14:textFill>
        </w:rPr>
        <w:t>监测结果</w:t>
      </w:r>
    </w:p>
    <w:tbl>
      <w:tblPr>
        <w:tblStyle w:val="46"/>
        <w:tblW w:w="4983"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70"/>
        <w:gridCol w:w="4527"/>
        <w:gridCol w:w="1549"/>
        <w:gridCol w:w="1547"/>
      </w:tblGrid>
      <w:tr w14:paraId="3587F2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512" w:type="pct"/>
            <w:vMerge w:val="restart"/>
            <w:vAlign w:val="center"/>
          </w:tcPr>
          <w:p w14:paraId="522371A7">
            <w:pPr>
              <w:spacing w:after="0" w:line="240" w:lineRule="auto"/>
              <w:jc w:val="center"/>
              <w:rPr>
                <w:rFonts w:ascii="Times New Roman" w:hAnsi="Times New Roman" w:eastAsia="宋体" w:cs="Times New Roman"/>
                <w:b/>
                <w:color w:val="000000" w:themeColor="text1"/>
                <w14:textFill>
                  <w14:solidFill>
                    <w14:schemeClr w14:val="tx1"/>
                  </w14:solidFill>
                </w14:textFill>
              </w:rPr>
            </w:pPr>
            <w:bookmarkStart w:id="53" w:name="_Hlk63019638"/>
            <w:r>
              <w:rPr>
                <w:rFonts w:ascii="Times New Roman" w:hAnsi="Times New Roman" w:eastAsia="宋体" w:cs="Times New Roman"/>
                <w:b/>
                <w:color w:val="000000" w:themeColor="text1"/>
                <w14:textFill>
                  <w14:solidFill>
                    <w14:schemeClr w14:val="tx1"/>
                  </w14:solidFill>
                </w14:textFill>
              </w:rPr>
              <w:t>监测</w:t>
            </w:r>
          </w:p>
          <w:p w14:paraId="34CBE2DE">
            <w:pPr>
              <w:spacing w:after="0" w:line="240" w:lineRule="auto"/>
              <w:jc w:val="cente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点位</w:t>
            </w:r>
          </w:p>
        </w:tc>
        <w:tc>
          <w:tcPr>
            <w:tcW w:w="2665" w:type="pct"/>
            <w:vMerge w:val="restart"/>
            <w:vAlign w:val="center"/>
          </w:tcPr>
          <w:p w14:paraId="0CCB3844">
            <w:pPr>
              <w:spacing w:after="0" w:line="240" w:lineRule="auto"/>
              <w:jc w:val="cente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点位描述</w:t>
            </w:r>
          </w:p>
        </w:tc>
        <w:tc>
          <w:tcPr>
            <w:tcW w:w="1823" w:type="pct"/>
            <w:gridSpan w:val="2"/>
            <w:vAlign w:val="center"/>
          </w:tcPr>
          <w:p w14:paraId="6B3A4578">
            <w:pPr>
              <w:spacing w:after="0" w:line="240" w:lineRule="auto"/>
              <w:jc w:val="center"/>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γ辐射空气吸收剂量率（nGy/h）</w:t>
            </w:r>
          </w:p>
        </w:tc>
      </w:tr>
      <w:tr w14:paraId="0C9D0A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512" w:type="pct"/>
            <w:vMerge w:val="continue"/>
            <w:vAlign w:val="center"/>
          </w:tcPr>
          <w:p w14:paraId="3B690D95">
            <w:pPr>
              <w:spacing w:after="0" w:line="240" w:lineRule="auto"/>
              <w:jc w:val="center"/>
              <w:rPr>
                <w:rFonts w:ascii="Times New Roman" w:hAnsi="Times New Roman" w:eastAsia="宋体" w:cs="Times New Roman"/>
                <w:b/>
                <w:color w:val="000000" w:themeColor="text1"/>
                <w14:textFill>
                  <w14:solidFill>
                    <w14:schemeClr w14:val="tx1"/>
                  </w14:solidFill>
                </w14:textFill>
              </w:rPr>
            </w:pPr>
          </w:p>
        </w:tc>
        <w:tc>
          <w:tcPr>
            <w:tcW w:w="2665" w:type="pct"/>
            <w:vMerge w:val="continue"/>
            <w:vAlign w:val="center"/>
          </w:tcPr>
          <w:p w14:paraId="483AF162">
            <w:pPr>
              <w:spacing w:after="0" w:line="240" w:lineRule="auto"/>
              <w:jc w:val="center"/>
              <w:rPr>
                <w:rFonts w:ascii="Times New Roman" w:hAnsi="Times New Roman" w:eastAsia="宋体" w:cs="Times New Roman"/>
                <w:b/>
                <w:color w:val="000000" w:themeColor="text1"/>
                <w14:textFill>
                  <w14:solidFill>
                    <w14:schemeClr w14:val="tx1"/>
                  </w14:solidFill>
                </w14:textFill>
              </w:rPr>
            </w:pPr>
          </w:p>
        </w:tc>
        <w:tc>
          <w:tcPr>
            <w:tcW w:w="912" w:type="pct"/>
            <w:vAlign w:val="center"/>
          </w:tcPr>
          <w:p w14:paraId="184B17CB">
            <w:pPr>
              <w:spacing w:after="0" w:line="240" w:lineRule="auto"/>
              <w:jc w:val="cente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平均值</w:t>
            </w:r>
          </w:p>
        </w:tc>
        <w:tc>
          <w:tcPr>
            <w:tcW w:w="911" w:type="pct"/>
            <w:vAlign w:val="center"/>
          </w:tcPr>
          <w:p w14:paraId="13DC7C66">
            <w:pPr>
              <w:spacing w:after="0" w:line="240" w:lineRule="auto"/>
              <w:jc w:val="cente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标准差</w:t>
            </w:r>
          </w:p>
        </w:tc>
      </w:tr>
      <w:tr w14:paraId="0AE676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Align w:val="center"/>
          </w:tcPr>
          <w:p w14:paraId="7FAD9774">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2665" w:type="pct"/>
            <w:vAlign w:val="center"/>
          </w:tcPr>
          <w:p w14:paraId="41983C98">
            <w:pPr>
              <w:spacing w:after="0" w:line="240" w:lineRule="auto"/>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园博园东侧1km处草坪（对照点）</w:t>
            </w:r>
          </w:p>
        </w:tc>
        <w:tc>
          <w:tcPr>
            <w:tcW w:w="912" w:type="pct"/>
            <w:vAlign w:val="center"/>
          </w:tcPr>
          <w:p w14:paraId="08596C03">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72.8</w:t>
            </w:r>
          </w:p>
        </w:tc>
        <w:tc>
          <w:tcPr>
            <w:tcW w:w="911" w:type="pct"/>
            <w:vAlign w:val="center"/>
          </w:tcPr>
          <w:p w14:paraId="69916BEE">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1.8</w:t>
            </w:r>
          </w:p>
        </w:tc>
      </w:tr>
      <w:tr w14:paraId="75924B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Align w:val="center"/>
          </w:tcPr>
          <w:p w14:paraId="4650B20E">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2665" w:type="pct"/>
            <w:vAlign w:val="center"/>
          </w:tcPr>
          <w:p w14:paraId="20CB99C8">
            <w:pPr>
              <w:spacing w:after="0" w:line="240" w:lineRule="auto"/>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厂区西侧测氡点</w:t>
            </w:r>
          </w:p>
        </w:tc>
        <w:tc>
          <w:tcPr>
            <w:tcW w:w="912" w:type="pct"/>
            <w:vAlign w:val="center"/>
          </w:tcPr>
          <w:p w14:paraId="3DD74734">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168</w:t>
            </w:r>
          </w:p>
        </w:tc>
        <w:tc>
          <w:tcPr>
            <w:tcW w:w="911" w:type="pct"/>
            <w:vAlign w:val="center"/>
          </w:tcPr>
          <w:p w14:paraId="06D35C8D">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1.7</w:t>
            </w:r>
          </w:p>
        </w:tc>
      </w:tr>
      <w:tr w14:paraId="1FF40A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Align w:val="center"/>
          </w:tcPr>
          <w:p w14:paraId="086F71B1">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w:t>
            </w:r>
          </w:p>
        </w:tc>
        <w:tc>
          <w:tcPr>
            <w:tcW w:w="2665" w:type="pct"/>
            <w:vAlign w:val="center"/>
          </w:tcPr>
          <w:p w14:paraId="36694E6C">
            <w:pPr>
              <w:spacing w:after="0" w:line="240" w:lineRule="auto"/>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厂区西侧边界1#（金红车间外）</w:t>
            </w:r>
          </w:p>
        </w:tc>
        <w:tc>
          <w:tcPr>
            <w:tcW w:w="912" w:type="pct"/>
            <w:vAlign w:val="center"/>
          </w:tcPr>
          <w:p w14:paraId="00F244C7">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169</w:t>
            </w:r>
          </w:p>
        </w:tc>
        <w:tc>
          <w:tcPr>
            <w:tcW w:w="911" w:type="pct"/>
            <w:vAlign w:val="center"/>
          </w:tcPr>
          <w:p w14:paraId="69453AF7">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r>
      <w:tr w14:paraId="4791E0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Align w:val="center"/>
          </w:tcPr>
          <w:p w14:paraId="70370343">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4</w:t>
            </w:r>
          </w:p>
        </w:tc>
        <w:tc>
          <w:tcPr>
            <w:tcW w:w="2665" w:type="pct"/>
            <w:vAlign w:val="center"/>
          </w:tcPr>
          <w:p w14:paraId="098513E9">
            <w:pPr>
              <w:spacing w:after="0" w:line="240" w:lineRule="auto"/>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厂区西侧边界2#（金红车间外）</w:t>
            </w:r>
          </w:p>
        </w:tc>
        <w:tc>
          <w:tcPr>
            <w:tcW w:w="912" w:type="pct"/>
            <w:vAlign w:val="center"/>
          </w:tcPr>
          <w:p w14:paraId="51597AC8">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170</w:t>
            </w:r>
          </w:p>
        </w:tc>
        <w:tc>
          <w:tcPr>
            <w:tcW w:w="911" w:type="pct"/>
            <w:vAlign w:val="center"/>
          </w:tcPr>
          <w:p w14:paraId="70C819C7">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1.9</w:t>
            </w:r>
          </w:p>
        </w:tc>
      </w:tr>
      <w:tr w14:paraId="3D0A49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Align w:val="center"/>
          </w:tcPr>
          <w:p w14:paraId="4256D14D">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5</w:t>
            </w:r>
          </w:p>
        </w:tc>
        <w:tc>
          <w:tcPr>
            <w:tcW w:w="2665" w:type="pct"/>
            <w:vAlign w:val="center"/>
          </w:tcPr>
          <w:p w14:paraId="17A83CF5">
            <w:pPr>
              <w:spacing w:after="0" w:line="240" w:lineRule="auto"/>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厂区西侧边界3#（办公楼外）</w:t>
            </w:r>
          </w:p>
        </w:tc>
        <w:tc>
          <w:tcPr>
            <w:tcW w:w="912" w:type="pct"/>
            <w:vAlign w:val="center"/>
          </w:tcPr>
          <w:p w14:paraId="2C374F82">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169</w:t>
            </w:r>
          </w:p>
        </w:tc>
        <w:tc>
          <w:tcPr>
            <w:tcW w:w="911" w:type="pct"/>
            <w:vAlign w:val="center"/>
          </w:tcPr>
          <w:p w14:paraId="60F1F329">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r>
      <w:tr w14:paraId="633B36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Align w:val="center"/>
          </w:tcPr>
          <w:p w14:paraId="4EC307BA">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w:t>
            </w:r>
          </w:p>
        </w:tc>
        <w:tc>
          <w:tcPr>
            <w:tcW w:w="2665" w:type="pct"/>
            <w:vAlign w:val="center"/>
          </w:tcPr>
          <w:p w14:paraId="2B0C435D">
            <w:pPr>
              <w:spacing w:after="0" w:line="240" w:lineRule="auto"/>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厂区西侧边界4#（宿舍楼外）</w:t>
            </w:r>
          </w:p>
        </w:tc>
        <w:tc>
          <w:tcPr>
            <w:tcW w:w="912" w:type="pct"/>
            <w:vAlign w:val="center"/>
          </w:tcPr>
          <w:p w14:paraId="108103A1">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168</w:t>
            </w:r>
          </w:p>
        </w:tc>
        <w:tc>
          <w:tcPr>
            <w:tcW w:w="911" w:type="pct"/>
            <w:vAlign w:val="center"/>
          </w:tcPr>
          <w:p w14:paraId="4074FDD9">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r>
      <w:tr w14:paraId="04E9B1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Align w:val="center"/>
          </w:tcPr>
          <w:p w14:paraId="71B2A040">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7</w:t>
            </w:r>
          </w:p>
        </w:tc>
        <w:tc>
          <w:tcPr>
            <w:tcW w:w="2665" w:type="pct"/>
            <w:vAlign w:val="center"/>
          </w:tcPr>
          <w:p w14:paraId="6CBABD85">
            <w:pPr>
              <w:spacing w:after="0" w:line="240" w:lineRule="auto"/>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厂区东侧测氡点</w:t>
            </w:r>
          </w:p>
        </w:tc>
        <w:tc>
          <w:tcPr>
            <w:tcW w:w="912" w:type="pct"/>
            <w:vAlign w:val="center"/>
          </w:tcPr>
          <w:p w14:paraId="53058456">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97.3</w:t>
            </w:r>
          </w:p>
        </w:tc>
        <w:tc>
          <w:tcPr>
            <w:tcW w:w="911" w:type="pct"/>
            <w:vAlign w:val="center"/>
          </w:tcPr>
          <w:p w14:paraId="15B2BC2C">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1.4</w:t>
            </w:r>
          </w:p>
        </w:tc>
      </w:tr>
      <w:tr w14:paraId="5E0F7A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Align w:val="center"/>
          </w:tcPr>
          <w:p w14:paraId="143E4F2F">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2665" w:type="pct"/>
            <w:vAlign w:val="center"/>
          </w:tcPr>
          <w:p w14:paraId="35707705">
            <w:pPr>
              <w:spacing w:after="0" w:line="240" w:lineRule="auto"/>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厂区东侧边界1#</w:t>
            </w:r>
          </w:p>
        </w:tc>
        <w:tc>
          <w:tcPr>
            <w:tcW w:w="912" w:type="pct"/>
            <w:vAlign w:val="center"/>
          </w:tcPr>
          <w:p w14:paraId="3692D674">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111</w:t>
            </w:r>
          </w:p>
        </w:tc>
        <w:tc>
          <w:tcPr>
            <w:tcW w:w="911" w:type="pct"/>
            <w:vAlign w:val="center"/>
          </w:tcPr>
          <w:p w14:paraId="3A39FF9A">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1.8</w:t>
            </w:r>
          </w:p>
        </w:tc>
      </w:tr>
      <w:tr w14:paraId="6913AD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Align w:val="center"/>
          </w:tcPr>
          <w:p w14:paraId="12CE27C0">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9</w:t>
            </w:r>
          </w:p>
        </w:tc>
        <w:tc>
          <w:tcPr>
            <w:tcW w:w="2665" w:type="pct"/>
            <w:vAlign w:val="center"/>
          </w:tcPr>
          <w:p w14:paraId="09D7B4B7">
            <w:pPr>
              <w:spacing w:after="0" w:line="240" w:lineRule="auto"/>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厂区东侧边界2#</w:t>
            </w:r>
          </w:p>
        </w:tc>
        <w:tc>
          <w:tcPr>
            <w:tcW w:w="912" w:type="pct"/>
            <w:vAlign w:val="center"/>
          </w:tcPr>
          <w:p w14:paraId="333C7A4B">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107</w:t>
            </w:r>
          </w:p>
        </w:tc>
        <w:tc>
          <w:tcPr>
            <w:tcW w:w="911" w:type="pct"/>
            <w:vAlign w:val="center"/>
          </w:tcPr>
          <w:p w14:paraId="322C505C">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1.4</w:t>
            </w:r>
          </w:p>
        </w:tc>
      </w:tr>
      <w:tr w14:paraId="1F3978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Align w:val="center"/>
          </w:tcPr>
          <w:p w14:paraId="32EDCD3B">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2665" w:type="pct"/>
            <w:vAlign w:val="center"/>
          </w:tcPr>
          <w:p w14:paraId="67E7161D">
            <w:pPr>
              <w:spacing w:after="0" w:line="240" w:lineRule="auto"/>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厂区东侧边界3#</w:t>
            </w:r>
          </w:p>
        </w:tc>
        <w:tc>
          <w:tcPr>
            <w:tcW w:w="912" w:type="pct"/>
            <w:vAlign w:val="center"/>
          </w:tcPr>
          <w:p w14:paraId="274853E4">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108</w:t>
            </w:r>
          </w:p>
        </w:tc>
        <w:tc>
          <w:tcPr>
            <w:tcW w:w="911" w:type="pct"/>
            <w:vAlign w:val="center"/>
          </w:tcPr>
          <w:p w14:paraId="1CC72740">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1.4</w:t>
            </w:r>
          </w:p>
        </w:tc>
      </w:tr>
      <w:tr w14:paraId="53165C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Align w:val="center"/>
          </w:tcPr>
          <w:p w14:paraId="7ACDAD95">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11</w:t>
            </w:r>
          </w:p>
        </w:tc>
        <w:tc>
          <w:tcPr>
            <w:tcW w:w="2665" w:type="pct"/>
            <w:vAlign w:val="center"/>
          </w:tcPr>
          <w:p w14:paraId="3F8931FA">
            <w:pPr>
              <w:spacing w:after="0" w:line="240" w:lineRule="auto"/>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厂区北侧边界1#</w:t>
            </w:r>
          </w:p>
        </w:tc>
        <w:tc>
          <w:tcPr>
            <w:tcW w:w="912" w:type="pct"/>
            <w:vAlign w:val="center"/>
          </w:tcPr>
          <w:p w14:paraId="0D4F1F9C">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159</w:t>
            </w:r>
          </w:p>
        </w:tc>
        <w:tc>
          <w:tcPr>
            <w:tcW w:w="911" w:type="pct"/>
            <w:vAlign w:val="center"/>
          </w:tcPr>
          <w:p w14:paraId="2F7C6AB5">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1.7</w:t>
            </w:r>
          </w:p>
        </w:tc>
      </w:tr>
      <w:tr w14:paraId="60AC53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Align w:val="center"/>
          </w:tcPr>
          <w:p w14:paraId="1BEFFD2D">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w:t>
            </w:r>
          </w:p>
        </w:tc>
        <w:tc>
          <w:tcPr>
            <w:tcW w:w="2665" w:type="pct"/>
            <w:vAlign w:val="center"/>
          </w:tcPr>
          <w:p w14:paraId="60D06443">
            <w:pPr>
              <w:spacing w:after="0" w:line="240" w:lineRule="auto"/>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厂区北侧边界2#</w:t>
            </w:r>
          </w:p>
        </w:tc>
        <w:tc>
          <w:tcPr>
            <w:tcW w:w="912" w:type="pct"/>
            <w:vAlign w:val="center"/>
          </w:tcPr>
          <w:p w14:paraId="35A35208">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139</w:t>
            </w:r>
          </w:p>
        </w:tc>
        <w:tc>
          <w:tcPr>
            <w:tcW w:w="911" w:type="pct"/>
            <w:vAlign w:val="center"/>
          </w:tcPr>
          <w:p w14:paraId="558EC1C4">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2.1</w:t>
            </w:r>
          </w:p>
        </w:tc>
      </w:tr>
      <w:tr w14:paraId="3BCCE5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Align w:val="center"/>
          </w:tcPr>
          <w:p w14:paraId="4E035A74">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13</w:t>
            </w:r>
          </w:p>
        </w:tc>
        <w:tc>
          <w:tcPr>
            <w:tcW w:w="2665" w:type="pct"/>
            <w:vAlign w:val="center"/>
          </w:tcPr>
          <w:p w14:paraId="71B1EC8E">
            <w:pPr>
              <w:spacing w:after="0" w:line="240" w:lineRule="auto"/>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厂区北侧边界3#</w:t>
            </w:r>
          </w:p>
        </w:tc>
        <w:tc>
          <w:tcPr>
            <w:tcW w:w="912" w:type="pct"/>
            <w:vAlign w:val="center"/>
          </w:tcPr>
          <w:p w14:paraId="51CCEA50">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147</w:t>
            </w:r>
          </w:p>
        </w:tc>
        <w:tc>
          <w:tcPr>
            <w:tcW w:w="911" w:type="pct"/>
            <w:vAlign w:val="center"/>
          </w:tcPr>
          <w:p w14:paraId="3D45DA1A">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r>
      <w:tr w14:paraId="5D2FE9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Align w:val="center"/>
          </w:tcPr>
          <w:p w14:paraId="3E8E037F">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14</w:t>
            </w:r>
          </w:p>
        </w:tc>
        <w:tc>
          <w:tcPr>
            <w:tcW w:w="2665" w:type="pct"/>
            <w:vAlign w:val="center"/>
          </w:tcPr>
          <w:p w14:paraId="6928F35B">
            <w:pPr>
              <w:spacing w:after="0" w:line="240" w:lineRule="auto"/>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厂区南侧边界1#</w:t>
            </w:r>
          </w:p>
        </w:tc>
        <w:tc>
          <w:tcPr>
            <w:tcW w:w="912" w:type="pct"/>
            <w:vAlign w:val="center"/>
          </w:tcPr>
          <w:p w14:paraId="630CCA31">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198</w:t>
            </w:r>
          </w:p>
        </w:tc>
        <w:tc>
          <w:tcPr>
            <w:tcW w:w="911" w:type="pct"/>
            <w:vAlign w:val="center"/>
          </w:tcPr>
          <w:p w14:paraId="7CB5955C">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2.8</w:t>
            </w:r>
          </w:p>
        </w:tc>
      </w:tr>
      <w:tr w14:paraId="5B35CE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Align w:val="center"/>
          </w:tcPr>
          <w:p w14:paraId="12151034">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15</w:t>
            </w:r>
          </w:p>
        </w:tc>
        <w:tc>
          <w:tcPr>
            <w:tcW w:w="2665" w:type="pct"/>
            <w:vAlign w:val="center"/>
          </w:tcPr>
          <w:p w14:paraId="4D1B5256">
            <w:pPr>
              <w:spacing w:after="0" w:line="240" w:lineRule="auto"/>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厂区南侧边界2#</w:t>
            </w:r>
          </w:p>
        </w:tc>
        <w:tc>
          <w:tcPr>
            <w:tcW w:w="912" w:type="pct"/>
            <w:vAlign w:val="center"/>
          </w:tcPr>
          <w:p w14:paraId="2C3296F8">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147</w:t>
            </w:r>
          </w:p>
        </w:tc>
        <w:tc>
          <w:tcPr>
            <w:tcW w:w="911" w:type="pct"/>
            <w:vAlign w:val="center"/>
          </w:tcPr>
          <w:p w14:paraId="2BD666E3">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w:t>
            </w:r>
          </w:p>
        </w:tc>
      </w:tr>
      <w:tr w14:paraId="2245B0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Align w:val="center"/>
          </w:tcPr>
          <w:p w14:paraId="3A33B1FF">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2665" w:type="pct"/>
            <w:vAlign w:val="center"/>
          </w:tcPr>
          <w:p w14:paraId="6C406411">
            <w:pPr>
              <w:spacing w:after="0" w:line="240" w:lineRule="auto"/>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公司厂区大门口</w:t>
            </w:r>
          </w:p>
        </w:tc>
        <w:tc>
          <w:tcPr>
            <w:tcW w:w="912" w:type="pct"/>
            <w:vAlign w:val="center"/>
          </w:tcPr>
          <w:p w14:paraId="7D4BD79C">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134</w:t>
            </w:r>
          </w:p>
        </w:tc>
        <w:tc>
          <w:tcPr>
            <w:tcW w:w="911" w:type="pct"/>
            <w:vAlign w:val="center"/>
          </w:tcPr>
          <w:p w14:paraId="619B6A30">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1.7</w:t>
            </w:r>
          </w:p>
        </w:tc>
      </w:tr>
      <w:tr w14:paraId="354D3F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Align w:val="center"/>
          </w:tcPr>
          <w:p w14:paraId="6696716C">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17</w:t>
            </w:r>
          </w:p>
        </w:tc>
        <w:tc>
          <w:tcPr>
            <w:tcW w:w="2665" w:type="pct"/>
            <w:vAlign w:val="center"/>
          </w:tcPr>
          <w:p w14:paraId="348A2104">
            <w:pPr>
              <w:spacing w:after="0" w:line="240" w:lineRule="auto"/>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钦州市广联物流有限公司</w:t>
            </w:r>
          </w:p>
        </w:tc>
        <w:tc>
          <w:tcPr>
            <w:tcW w:w="912" w:type="pct"/>
            <w:vAlign w:val="center"/>
          </w:tcPr>
          <w:p w14:paraId="322155B2">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115</w:t>
            </w:r>
          </w:p>
        </w:tc>
        <w:tc>
          <w:tcPr>
            <w:tcW w:w="911" w:type="pct"/>
            <w:vAlign w:val="center"/>
          </w:tcPr>
          <w:p w14:paraId="43E14CD4">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2.3</w:t>
            </w:r>
          </w:p>
        </w:tc>
      </w:tr>
      <w:tr w14:paraId="5A18BC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Align w:val="center"/>
          </w:tcPr>
          <w:p w14:paraId="6F8CCD15">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18</w:t>
            </w:r>
          </w:p>
        </w:tc>
        <w:tc>
          <w:tcPr>
            <w:tcW w:w="2665" w:type="pct"/>
            <w:vAlign w:val="center"/>
          </w:tcPr>
          <w:p w14:paraId="07A480F0">
            <w:pPr>
              <w:spacing w:after="0" w:line="240" w:lineRule="auto"/>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厂区南侧门口</w:t>
            </w:r>
          </w:p>
        </w:tc>
        <w:tc>
          <w:tcPr>
            <w:tcW w:w="912" w:type="pct"/>
            <w:vAlign w:val="center"/>
          </w:tcPr>
          <w:p w14:paraId="4CF336A7">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152</w:t>
            </w:r>
          </w:p>
        </w:tc>
        <w:tc>
          <w:tcPr>
            <w:tcW w:w="911" w:type="pct"/>
            <w:vAlign w:val="center"/>
          </w:tcPr>
          <w:p w14:paraId="298478BD">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3.4</w:t>
            </w:r>
          </w:p>
        </w:tc>
      </w:tr>
      <w:tr w14:paraId="304B53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Align w:val="center"/>
          </w:tcPr>
          <w:p w14:paraId="0212015E">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19</w:t>
            </w:r>
          </w:p>
        </w:tc>
        <w:tc>
          <w:tcPr>
            <w:tcW w:w="2665" w:type="pct"/>
            <w:vAlign w:val="center"/>
          </w:tcPr>
          <w:p w14:paraId="07CB2488">
            <w:pPr>
              <w:spacing w:after="0" w:line="240" w:lineRule="auto"/>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运输道路（厂区西南侧）</w:t>
            </w:r>
          </w:p>
        </w:tc>
        <w:tc>
          <w:tcPr>
            <w:tcW w:w="912" w:type="pct"/>
            <w:vAlign w:val="center"/>
          </w:tcPr>
          <w:p w14:paraId="17451D6C">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113</w:t>
            </w:r>
          </w:p>
        </w:tc>
        <w:tc>
          <w:tcPr>
            <w:tcW w:w="911" w:type="pct"/>
            <w:vAlign w:val="center"/>
          </w:tcPr>
          <w:p w14:paraId="5186828E">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1.9</w:t>
            </w:r>
          </w:p>
        </w:tc>
      </w:tr>
      <w:tr w14:paraId="511DE0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Align w:val="center"/>
          </w:tcPr>
          <w:p w14:paraId="54CA3422">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2665" w:type="pct"/>
            <w:vAlign w:val="center"/>
          </w:tcPr>
          <w:p w14:paraId="6C3EE746">
            <w:pPr>
              <w:spacing w:after="0" w:line="240" w:lineRule="auto"/>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运输道路（厂区西南侧道路拐角）</w:t>
            </w:r>
          </w:p>
        </w:tc>
        <w:tc>
          <w:tcPr>
            <w:tcW w:w="912" w:type="pct"/>
            <w:vAlign w:val="center"/>
          </w:tcPr>
          <w:p w14:paraId="443B49FD">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125</w:t>
            </w:r>
          </w:p>
        </w:tc>
        <w:tc>
          <w:tcPr>
            <w:tcW w:w="911" w:type="pct"/>
            <w:vAlign w:val="center"/>
          </w:tcPr>
          <w:p w14:paraId="31923592">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2.2</w:t>
            </w:r>
          </w:p>
        </w:tc>
      </w:tr>
      <w:tr w14:paraId="18AA73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Align w:val="center"/>
          </w:tcPr>
          <w:p w14:paraId="023B879E">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21</w:t>
            </w:r>
          </w:p>
        </w:tc>
        <w:tc>
          <w:tcPr>
            <w:tcW w:w="2665" w:type="pct"/>
            <w:vAlign w:val="center"/>
          </w:tcPr>
          <w:p w14:paraId="40CE7371">
            <w:pPr>
              <w:spacing w:after="0" w:line="240" w:lineRule="auto"/>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运输道路（厂区西侧）</w:t>
            </w:r>
          </w:p>
        </w:tc>
        <w:tc>
          <w:tcPr>
            <w:tcW w:w="912" w:type="pct"/>
            <w:vAlign w:val="center"/>
          </w:tcPr>
          <w:p w14:paraId="4B2F94FD">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107</w:t>
            </w:r>
          </w:p>
        </w:tc>
        <w:tc>
          <w:tcPr>
            <w:tcW w:w="911" w:type="pct"/>
            <w:vAlign w:val="center"/>
          </w:tcPr>
          <w:p w14:paraId="7B737DB5">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1.7</w:t>
            </w:r>
          </w:p>
        </w:tc>
      </w:tr>
      <w:tr w14:paraId="324AB5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Align w:val="center"/>
          </w:tcPr>
          <w:p w14:paraId="5E277546">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22</w:t>
            </w:r>
          </w:p>
        </w:tc>
        <w:tc>
          <w:tcPr>
            <w:tcW w:w="2665" w:type="pct"/>
            <w:vAlign w:val="center"/>
          </w:tcPr>
          <w:p w14:paraId="2ACAE72E">
            <w:pPr>
              <w:spacing w:after="0" w:line="240" w:lineRule="auto"/>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广西育群特种设备操作（钦州）训练基地</w:t>
            </w:r>
          </w:p>
        </w:tc>
        <w:tc>
          <w:tcPr>
            <w:tcW w:w="912" w:type="pct"/>
            <w:vAlign w:val="center"/>
          </w:tcPr>
          <w:p w14:paraId="4513A701">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108</w:t>
            </w:r>
          </w:p>
        </w:tc>
        <w:tc>
          <w:tcPr>
            <w:tcW w:w="911" w:type="pct"/>
            <w:vAlign w:val="center"/>
          </w:tcPr>
          <w:p w14:paraId="1DFA9C4B">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r>
      <w:tr w14:paraId="67910B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Align w:val="center"/>
          </w:tcPr>
          <w:p w14:paraId="771A0C75">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23</w:t>
            </w:r>
          </w:p>
        </w:tc>
        <w:tc>
          <w:tcPr>
            <w:tcW w:w="2665" w:type="pct"/>
            <w:vAlign w:val="center"/>
          </w:tcPr>
          <w:p w14:paraId="3D5CDB44">
            <w:pPr>
              <w:spacing w:after="0" w:line="240" w:lineRule="auto"/>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宝星科技产业园门口</w:t>
            </w:r>
          </w:p>
        </w:tc>
        <w:tc>
          <w:tcPr>
            <w:tcW w:w="912" w:type="pct"/>
            <w:vAlign w:val="center"/>
          </w:tcPr>
          <w:p w14:paraId="2E5495CC">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100</w:t>
            </w:r>
          </w:p>
        </w:tc>
        <w:tc>
          <w:tcPr>
            <w:tcW w:w="911" w:type="pct"/>
            <w:vAlign w:val="center"/>
          </w:tcPr>
          <w:p w14:paraId="7E0381A1">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1.5</w:t>
            </w:r>
          </w:p>
        </w:tc>
      </w:tr>
      <w:tr w14:paraId="2853BC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Align w:val="center"/>
          </w:tcPr>
          <w:p w14:paraId="42722940">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2665" w:type="pct"/>
            <w:vAlign w:val="center"/>
          </w:tcPr>
          <w:p w14:paraId="30A5659A">
            <w:pPr>
              <w:spacing w:after="0" w:line="240" w:lineRule="auto"/>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钦州市华盛混凝土有限公司门口</w:t>
            </w:r>
          </w:p>
        </w:tc>
        <w:tc>
          <w:tcPr>
            <w:tcW w:w="912" w:type="pct"/>
            <w:vAlign w:val="center"/>
          </w:tcPr>
          <w:p w14:paraId="54378742">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98.2</w:t>
            </w:r>
          </w:p>
        </w:tc>
        <w:tc>
          <w:tcPr>
            <w:tcW w:w="911" w:type="pct"/>
            <w:vAlign w:val="center"/>
          </w:tcPr>
          <w:p w14:paraId="714CBF4C">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r>
      <w:tr w14:paraId="7766F8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Align w:val="center"/>
          </w:tcPr>
          <w:p w14:paraId="2F60FDEF">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w:t>
            </w:r>
          </w:p>
        </w:tc>
        <w:tc>
          <w:tcPr>
            <w:tcW w:w="2665" w:type="pct"/>
            <w:vAlign w:val="center"/>
          </w:tcPr>
          <w:p w14:paraId="36FA85CD">
            <w:pPr>
              <w:spacing w:after="0" w:line="240" w:lineRule="auto"/>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钦州市永佳环保材料有限公司门口</w:t>
            </w:r>
          </w:p>
        </w:tc>
        <w:tc>
          <w:tcPr>
            <w:tcW w:w="912" w:type="pct"/>
            <w:vAlign w:val="center"/>
          </w:tcPr>
          <w:p w14:paraId="43EBEA5B">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95.5</w:t>
            </w:r>
          </w:p>
        </w:tc>
        <w:tc>
          <w:tcPr>
            <w:tcW w:w="911" w:type="pct"/>
            <w:vAlign w:val="center"/>
          </w:tcPr>
          <w:p w14:paraId="4C8A7994">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r>
      <w:tr w14:paraId="45CF61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Align w:val="center"/>
          </w:tcPr>
          <w:p w14:paraId="44549F39">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26</w:t>
            </w:r>
          </w:p>
        </w:tc>
        <w:tc>
          <w:tcPr>
            <w:tcW w:w="2665" w:type="pct"/>
            <w:vAlign w:val="center"/>
          </w:tcPr>
          <w:p w14:paraId="7D6D27D8">
            <w:pPr>
              <w:spacing w:after="0" w:line="240" w:lineRule="auto"/>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广西海家食品有限公司门口</w:t>
            </w:r>
          </w:p>
        </w:tc>
        <w:tc>
          <w:tcPr>
            <w:tcW w:w="912" w:type="pct"/>
            <w:vAlign w:val="center"/>
          </w:tcPr>
          <w:p w14:paraId="5F9E7703">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52.4</w:t>
            </w:r>
          </w:p>
        </w:tc>
        <w:tc>
          <w:tcPr>
            <w:tcW w:w="911" w:type="pct"/>
            <w:vAlign w:val="center"/>
          </w:tcPr>
          <w:p w14:paraId="5D489D82">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1.8</w:t>
            </w:r>
          </w:p>
        </w:tc>
      </w:tr>
      <w:tr w14:paraId="7457DA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Align w:val="center"/>
          </w:tcPr>
          <w:p w14:paraId="3FEB1D41">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27</w:t>
            </w:r>
          </w:p>
        </w:tc>
        <w:tc>
          <w:tcPr>
            <w:tcW w:w="2665" w:type="pct"/>
            <w:vAlign w:val="center"/>
          </w:tcPr>
          <w:p w14:paraId="39CE0DA5">
            <w:pPr>
              <w:spacing w:after="0" w:line="240" w:lineRule="auto"/>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分界村（农村电商物流服务点门口）</w:t>
            </w:r>
          </w:p>
        </w:tc>
        <w:tc>
          <w:tcPr>
            <w:tcW w:w="912" w:type="pct"/>
            <w:vAlign w:val="center"/>
          </w:tcPr>
          <w:p w14:paraId="30EE5446">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92.4</w:t>
            </w:r>
          </w:p>
        </w:tc>
        <w:tc>
          <w:tcPr>
            <w:tcW w:w="911" w:type="pct"/>
            <w:vAlign w:val="center"/>
          </w:tcPr>
          <w:p w14:paraId="4223D965">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1.3</w:t>
            </w:r>
          </w:p>
        </w:tc>
      </w:tr>
      <w:tr w14:paraId="254DBE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Align w:val="center"/>
          </w:tcPr>
          <w:p w14:paraId="69784FC8">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28</w:t>
            </w:r>
          </w:p>
        </w:tc>
        <w:tc>
          <w:tcPr>
            <w:tcW w:w="2665" w:type="pct"/>
            <w:vAlign w:val="center"/>
          </w:tcPr>
          <w:p w14:paraId="479996E1">
            <w:pPr>
              <w:spacing w:after="0" w:line="240" w:lineRule="auto"/>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瓦窑村（交叉路口）</w:t>
            </w:r>
          </w:p>
        </w:tc>
        <w:tc>
          <w:tcPr>
            <w:tcW w:w="912" w:type="pct"/>
            <w:vAlign w:val="center"/>
          </w:tcPr>
          <w:p w14:paraId="6A3E0CCD">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57.4</w:t>
            </w:r>
          </w:p>
        </w:tc>
        <w:tc>
          <w:tcPr>
            <w:tcW w:w="911" w:type="pct"/>
            <w:vAlign w:val="center"/>
          </w:tcPr>
          <w:p w14:paraId="697E1738">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r>
      <w:tr w14:paraId="5C9502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Align w:val="center"/>
          </w:tcPr>
          <w:p w14:paraId="328391FD">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29</w:t>
            </w:r>
          </w:p>
        </w:tc>
        <w:tc>
          <w:tcPr>
            <w:tcW w:w="2665" w:type="pct"/>
            <w:vAlign w:val="center"/>
          </w:tcPr>
          <w:p w14:paraId="7C8471DF">
            <w:pPr>
              <w:spacing w:after="0" w:line="240" w:lineRule="auto"/>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关草塘（时涛淋水器门口）</w:t>
            </w:r>
          </w:p>
        </w:tc>
        <w:tc>
          <w:tcPr>
            <w:tcW w:w="912" w:type="pct"/>
            <w:vAlign w:val="center"/>
          </w:tcPr>
          <w:p w14:paraId="0011657C">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40.2</w:t>
            </w:r>
          </w:p>
        </w:tc>
        <w:tc>
          <w:tcPr>
            <w:tcW w:w="911" w:type="pct"/>
            <w:vAlign w:val="center"/>
          </w:tcPr>
          <w:p w14:paraId="366F080F">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w:t>
            </w:r>
          </w:p>
        </w:tc>
      </w:tr>
      <w:tr w14:paraId="0E1701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Align w:val="center"/>
          </w:tcPr>
          <w:p w14:paraId="5B84B182">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30</w:t>
            </w:r>
          </w:p>
        </w:tc>
        <w:tc>
          <w:tcPr>
            <w:tcW w:w="2665" w:type="pct"/>
            <w:vAlign w:val="center"/>
          </w:tcPr>
          <w:p w14:paraId="0C9ABB05">
            <w:pPr>
              <w:spacing w:after="0" w:line="240" w:lineRule="auto"/>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黎合江（安惠三园小区门口）</w:t>
            </w:r>
          </w:p>
        </w:tc>
        <w:tc>
          <w:tcPr>
            <w:tcW w:w="912" w:type="pct"/>
            <w:vAlign w:val="center"/>
          </w:tcPr>
          <w:p w14:paraId="27056CC9">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54.2</w:t>
            </w:r>
          </w:p>
        </w:tc>
        <w:tc>
          <w:tcPr>
            <w:tcW w:w="911" w:type="pct"/>
            <w:vAlign w:val="center"/>
          </w:tcPr>
          <w:p w14:paraId="162B16D1">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r>
      <w:tr w14:paraId="6BC8F3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Align w:val="center"/>
          </w:tcPr>
          <w:p w14:paraId="239F9B74">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31</w:t>
            </w:r>
          </w:p>
        </w:tc>
        <w:tc>
          <w:tcPr>
            <w:tcW w:w="2665" w:type="pct"/>
            <w:vAlign w:val="center"/>
          </w:tcPr>
          <w:p w14:paraId="3D1B8297">
            <w:pPr>
              <w:spacing w:after="0" w:line="240" w:lineRule="auto"/>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杨梅村</w:t>
            </w:r>
          </w:p>
        </w:tc>
        <w:tc>
          <w:tcPr>
            <w:tcW w:w="912" w:type="pct"/>
            <w:vAlign w:val="center"/>
          </w:tcPr>
          <w:p w14:paraId="636D9F57">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67.6</w:t>
            </w:r>
          </w:p>
        </w:tc>
        <w:tc>
          <w:tcPr>
            <w:tcW w:w="911" w:type="pct"/>
            <w:vAlign w:val="center"/>
          </w:tcPr>
          <w:p w14:paraId="7F86A731">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r>
      <w:tr w14:paraId="2500CB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177" w:type="pct"/>
            <w:gridSpan w:val="2"/>
            <w:vAlign w:val="center"/>
          </w:tcPr>
          <w:p w14:paraId="173D894B">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测量值范围</w:t>
            </w:r>
          </w:p>
        </w:tc>
        <w:tc>
          <w:tcPr>
            <w:tcW w:w="912" w:type="pct"/>
            <w:vAlign w:val="center"/>
          </w:tcPr>
          <w:p w14:paraId="2EC8ADEE">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40.2~198</w:t>
            </w:r>
          </w:p>
        </w:tc>
        <w:tc>
          <w:tcPr>
            <w:tcW w:w="911" w:type="pct"/>
            <w:vAlign w:val="center"/>
          </w:tcPr>
          <w:p w14:paraId="63C55954">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tc>
      </w:tr>
      <w:bookmarkEnd w:id="53"/>
    </w:tbl>
    <w:p w14:paraId="2A8BBB21">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p>
    <w:p w14:paraId="4D969B5B">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（2）确定本项目的源项</w:t>
      </w:r>
    </w:p>
    <w:p w14:paraId="25D2DF02">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本项目</w:t>
      </w:r>
      <w:r>
        <w:rPr>
          <w:rFonts w:hint="eastAsia" w:ascii="Times New Roman" w:hAnsi="Times New Roman" w:eastAsia="宋体" w:cs="Times New Roman"/>
          <w:color w:val="000000" w:themeColor="text1"/>
          <w:spacing w:val="-2"/>
          <w:sz w:val="24"/>
          <w:szCs w:val="20"/>
          <w14:textFill>
            <w14:solidFill>
              <w14:schemeClr w14:val="tx1"/>
            </w14:solidFill>
          </w14:textFill>
        </w:rPr>
        <w:t>1#原料处理车间、2#分选车间均具有生产及物料仓储功能，因此选取对应的生产车间和储存场所中的γ辐射剂量率较高值进行类比分析。1#原料处理车间取生产场所烘干炉出口平均值，2#分选车间选取中矿晒场平均值进行类比计算。</w:t>
      </w:r>
      <w:r>
        <w:rPr>
          <w:rFonts w:ascii="Times New Roman" w:hAnsi="Times New Roman" w:eastAsia="宋体" w:cs="Times New Roman"/>
          <w:color w:val="000000" w:themeColor="text1"/>
          <w:spacing w:val="-2"/>
          <w:sz w:val="24"/>
          <w:szCs w:val="20"/>
          <w14:textFill>
            <w14:solidFill>
              <w14:schemeClr w14:val="tx1"/>
            </w14:solidFill>
          </w14:textFill>
        </w:rPr>
        <w:t>本项目</w:t>
      </w:r>
      <w:r>
        <w:rPr>
          <w:rFonts w:hint="eastAsia" w:ascii="Times New Roman" w:hAnsi="Times New Roman" w:eastAsia="宋体" w:cs="Times New Roman"/>
          <w:color w:val="000000" w:themeColor="text1"/>
          <w:spacing w:val="-2"/>
          <w:sz w:val="24"/>
          <w:szCs w:val="20"/>
          <w14:textFill>
            <w14:solidFill>
              <w14:schemeClr w14:val="tx1"/>
            </w14:solidFill>
          </w14:textFill>
        </w:rPr>
        <w:t>产品</w:t>
      </w:r>
      <w:r>
        <w:rPr>
          <w:rFonts w:ascii="Times New Roman" w:hAnsi="Times New Roman" w:eastAsia="宋体" w:cs="Times New Roman"/>
          <w:color w:val="000000" w:themeColor="text1"/>
          <w:spacing w:val="-2"/>
          <w:sz w:val="24"/>
          <w:szCs w:val="20"/>
          <w14:textFill>
            <w14:solidFill>
              <w14:schemeClr w14:val="tx1"/>
            </w14:solidFill>
          </w14:textFill>
        </w:rPr>
        <w:t>规模2</w:t>
      </w:r>
      <w:r>
        <w:rPr>
          <w:rFonts w:hint="eastAsia" w:ascii="Times New Roman" w:hAnsi="Times New Roman" w:eastAsia="宋体" w:cs="Times New Roman"/>
          <w:color w:val="000000" w:themeColor="text1"/>
          <w:spacing w:val="-2"/>
          <w:sz w:val="24"/>
          <w:szCs w:val="20"/>
          <w14:textFill>
            <w14:solidFill>
              <w14:schemeClr w14:val="tx1"/>
            </w14:solidFill>
          </w14:textFill>
        </w:rPr>
        <w:t>.4</w:t>
      </w:r>
      <w:r>
        <w:rPr>
          <w:rFonts w:ascii="Times New Roman" w:hAnsi="Times New Roman" w:eastAsia="宋体" w:cs="Times New Roman"/>
          <w:color w:val="000000" w:themeColor="text1"/>
          <w:spacing w:val="-2"/>
          <w:sz w:val="24"/>
          <w:szCs w:val="20"/>
          <w14:textFill>
            <w14:solidFill>
              <w14:schemeClr w14:val="tx1"/>
            </w14:solidFill>
          </w14:textFill>
        </w:rPr>
        <w:t>倍于类比项目，</w:t>
      </w:r>
      <w:r>
        <w:rPr>
          <w:rFonts w:hint="eastAsia" w:ascii="Times New Roman" w:hAnsi="Times New Roman" w:eastAsia="宋体" w:cs="Times New Roman"/>
          <w:color w:val="000000" w:themeColor="text1"/>
          <w:spacing w:val="-2"/>
          <w:sz w:val="24"/>
          <w:szCs w:val="20"/>
          <w14:textFill>
            <w14:solidFill>
              <w14:schemeClr w14:val="tx1"/>
            </w14:solidFill>
          </w14:textFill>
        </w:rPr>
        <w:t>因此</w:t>
      </w:r>
      <w:r>
        <w:rPr>
          <w:rFonts w:ascii="Times New Roman" w:hAnsi="Times New Roman" w:eastAsia="宋体" w:cs="Times New Roman"/>
          <w:color w:val="000000" w:themeColor="text1"/>
          <w:spacing w:val="-2"/>
          <w:sz w:val="24"/>
          <w:szCs w:val="20"/>
          <w14:textFill>
            <w14:solidFill>
              <w14:schemeClr w14:val="tx1"/>
            </w14:solidFill>
          </w14:textFill>
        </w:rPr>
        <w:t>按2</w:t>
      </w:r>
      <w:r>
        <w:rPr>
          <w:rFonts w:hint="eastAsia" w:ascii="Times New Roman" w:hAnsi="Times New Roman" w:eastAsia="宋体" w:cs="Times New Roman"/>
          <w:color w:val="000000" w:themeColor="text1"/>
          <w:spacing w:val="-2"/>
          <w:sz w:val="24"/>
          <w:szCs w:val="20"/>
          <w14:textFill>
            <w14:solidFill>
              <w14:schemeClr w14:val="tx1"/>
            </w14:solidFill>
          </w14:textFill>
        </w:rPr>
        <w:t>.4</w:t>
      </w:r>
      <w:r>
        <w:rPr>
          <w:rFonts w:ascii="Times New Roman" w:hAnsi="Times New Roman" w:eastAsia="宋体" w:cs="Times New Roman"/>
          <w:color w:val="000000" w:themeColor="text1"/>
          <w:spacing w:val="-2"/>
          <w:sz w:val="24"/>
          <w:szCs w:val="20"/>
          <w14:textFill>
            <w14:solidFill>
              <w14:schemeClr w14:val="tx1"/>
            </w14:solidFill>
          </w14:textFill>
        </w:rPr>
        <w:t>倍系数确定本项目正常生产时各车间或操作工位的γ辐射剂量率见表2.</w:t>
      </w:r>
      <w:r>
        <w:rPr>
          <w:rFonts w:hint="eastAsia" w:ascii="Times New Roman" w:hAnsi="Times New Roman" w:eastAsia="宋体" w:cs="Times New Roman"/>
          <w:color w:val="000000" w:themeColor="text1"/>
          <w:spacing w:val="-2"/>
          <w:sz w:val="24"/>
          <w:szCs w:val="20"/>
          <w14:textFill>
            <w14:solidFill>
              <w14:schemeClr w14:val="tx1"/>
            </w14:solidFill>
          </w14:textFill>
        </w:rPr>
        <w:t>2</w:t>
      </w:r>
      <w:r>
        <w:rPr>
          <w:rFonts w:ascii="Times New Roman" w:hAnsi="Times New Roman" w:eastAsia="宋体" w:cs="Times New Roman"/>
          <w:color w:val="000000" w:themeColor="text1"/>
          <w:spacing w:val="-2"/>
          <w:sz w:val="24"/>
          <w:szCs w:val="20"/>
          <w14:textFill>
            <w14:solidFill>
              <w14:schemeClr w14:val="tx1"/>
            </w14:solidFill>
          </w14:textFill>
        </w:rPr>
        <w:fldChar w:fldCharType="begin"/>
      </w:r>
      <w:r>
        <w:rPr>
          <w:rFonts w:ascii="Times New Roman" w:hAnsi="Times New Roman" w:eastAsia="宋体" w:cs="Times New Roman"/>
          <w:color w:val="000000" w:themeColor="text1"/>
          <w:spacing w:val="-2"/>
          <w:sz w:val="24"/>
          <w:szCs w:val="20"/>
          <w14:textFill>
            <w14:solidFill>
              <w14:schemeClr w14:val="tx1"/>
            </w14:solidFill>
          </w14:textFill>
        </w:rPr>
        <w:instrText xml:space="preserve"> STYLEREF 2 \s </w:instrText>
      </w:r>
      <w:r>
        <w:rPr>
          <w:rFonts w:ascii="Times New Roman" w:hAnsi="Times New Roman" w:eastAsia="宋体" w:cs="Times New Roman"/>
          <w:color w:val="000000" w:themeColor="text1"/>
          <w:spacing w:val="-2"/>
          <w:sz w:val="24"/>
          <w:szCs w:val="20"/>
          <w14:textFill>
            <w14:solidFill>
              <w14:schemeClr w14:val="tx1"/>
            </w14:solidFill>
          </w14:textFill>
        </w:rPr>
        <w:fldChar w:fldCharType="separate"/>
      </w:r>
      <w:r>
        <w:rPr>
          <w:rFonts w:ascii="Times New Roman" w:hAnsi="Times New Roman" w:eastAsia="宋体" w:cs="Times New Roman"/>
          <w:color w:val="000000" w:themeColor="text1"/>
          <w:spacing w:val="-2"/>
          <w:sz w:val="24"/>
          <w:szCs w:val="20"/>
          <w14:textFill>
            <w14:solidFill>
              <w14:schemeClr w14:val="tx1"/>
            </w14:solidFill>
          </w14:textFill>
        </w:rPr>
        <w:t>2.2</w:t>
      </w:r>
      <w:r>
        <w:rPr>
          <w:rFonts w:ascii="Times New Roman" w:hAnsi="Times New Roman" w:eastAsia="宋体" w:cs="Times New Roman"/>
          <w:color w:val="000000" w:themeColor="text1"/>
          <w:spacing w:val="-2"/>
          <w:sz w:val="24"/>
          <w:szCs w:val="20"/>
          <w14:textFill>
            <w14:solidFill>
              <w14:schemeClr w14:val="tx1"/>
            </w14:solidFill>
          </w14:textFill>
        </w:rPr>
        <w:fldChar w:fldCharType="end"/>
      </w:r>
      <w:r>
        <w:rPr>
          <w:rFonts w:ascii="Times New Roman" w:hAnsi="Times New Roman" w:eastAsia="宋体" w:cs="Times New Roman"/>
          <w:color w:val="000000" w:themeColor="text1"/>
          <w:spacing w:val="-2"/>
          <w:sz w:val="24"/>
          <w:szCs w:val="20"/>
          <w14:textFill>
            <w14:solidFill>
              <w14:schemeClr w14:val="tx1"/>
            </w14:solidFill>
          </w14:textFill>
        </w:rPr>
        <w:noBreakHyphen/>
      </w:r>
      <w:r>
        <w:rPr>
          <w:rFonts w:ascii="Times New Roman" w:hAnsi="Times New Roman" w:eastAsia="宋体" w:cs="Times New Roman"/>
          <w:color w:val="000000" w:themeColor="text1"/>
          <w:spacing w:val="-2"/>
          <w:sz w:val="24"/>
          <w:szCs w:val="20"/>
          <w14:textFill>
            <w14:solidFill>
              <w14:schemeClr w14:val="tx1"/>
            </w14:solidFill>
          </w14:textFill>
        </w:rPr>
        <w:t>6。</w:t>
      </w:r>
    </w:p>
    <w:p w14:paraId="25C20740">
      <w:pPr>
        <w:widowControl w:val="0"/>
        <w:spacing w:after="0" w:line="360" w:lineRule="auto"/>
        <w:jc w:val="center"/>
        <w:rPr>
          <w:rFonts w:ascii="Times New Roman" w:hAnsi="Times New Roman" w:eastAsia="宋体" w:cs="Times New Roman"/>
          <w:b/>
          <w:bCs/>
          <w:color w:val="000000" w:themeColor="text1"/>
          <w:spacing w:val="-2"/>
          <w:sz w:val="24"/>
          <w:szCs w:val="20"/>
          <w14:textFill>
            <w14:solidFill>
              <w14:schemeClr w14:val="tx1"/>
            </w14:solidFill>
          </w14:textFill>
        </w:rPr>
      </w:pPr>
      <w:r>
        <w:rPr>
          <w:rFonts w:ascii="Times New Roman" w:hAnsi="Times New Roman" w:eastAsia="宋体" w:cs="Times New Roman"/>
          <w:b/>
          <w:bCs/>
          <w:color w:val="000000" w:themeColor="text1"/>
          <w:spacing w:val="-2"/>
          <w:sz w:val="24"/>
          <w:szCs w:val="20"/>
          <w14:textFill>
            <w14:solidFill>
              <w14:schemeClr w14:val="tx1"/>
            </w14:solidFill>
          </w14:textFill>
        </w:rPr>
        <w:t>表2.</w:t>
      </w:r>
      <w:r>
        <w:rPr>
          <w:rFonts w:hint="eastAsia" w:ascii="Times New Roman" w:hAnsi="Times New Roman" w:eastAsia="宋体" w:cs="Times New Roman"/>
          <w:b/>
          <w:bCs/>
          <w:color w:val="000000" w:themeColor="text1"/>
          <w:spacing w:val="-2"/>
          <w:sz w:val="24"/>
          <w:szCs w:val="20"/>
          <w14:textFill>
            <w14:solidFill>
              <w14:schemeClr w14:val="tx1"/>
            </w14:solidFill>
          </w14:textFill>
        </w:rPr>
        <w:t>2</w:t>
      </w:r>
      <w:r>
        <w:rPr>
          <w:rFonts w:ascii="Times New Roman" w:hAnsi="Times New Roman" w:eastAsia="宋体" w:cs="Times New Roman"/>
          <w:b/>
          <w:bCs/>
          <w:color w:val="000000" w:themeColor="text1"/>
          <w:spacing w:val="-2"/>
          <w:sz w:val="24"/>
          <w:szCs w:val="20"/>
          <w14:textFill>
            <w14:solidFill>
              <w14:schemeClr w14:val="tx1"/>
            </w14:solidFill>
          </w14:textFill>
        </w:rPr>
        <w:fldChar w:fldCharType="begin"/>
      </w:r>
      <w:r>
        <w:rPr>
          <w:rFonts w:ascii="Times New Roman" w:hAnsi="Times New Roman" w:eastAsia="宋体" w:cs="Times New Roman"/>
          <w:b/>
          <w:bCs/>
          <w:color w:val="000000" w:themeColor="text1"/>
          <w:spacing w:val="-2"/>
          <w:sz w:val="24"/>
          <w:szCs w:val="20"/>
          <w14:textFill>
            <w14:solidFill>
              <w14:schemeClr w14:val="tx1"/>
            </w14:solidFill>
          </w14:textFill>
        </w:rPr>
        <w:instrText xml:space="preserve"> STYLEREF 2 \s </w:instrText>
      </w:r>
      <w:r>
        <w:rPr>
          <w:rFonts w:ascii="Times New Roman" w:hAnsi="Times New Roman" w:eastAsia="宋体" w:cs="Times New Roman"/>
          <w:b/>
          <w:bCs/>
          <w:color w:val="000000" w:themeColor="text1"/>
          <w:spacing w:val="-2"/>
          <w:sz w:val="24"/>
          <w:szCs w:val="20"/>
          <w14:textFill>
            <w14:solidFill>
              <w14:schemeClr w14:val="tx1"/>
            </w14:solidFill>
          </w14:textFill>
        </w:rPr>
        <w:fldChar w:fldCharType="separate"/>
      </w:r>
      <w:r>
        <w:rPr>
          <w:rFonts w:ascii="Times New Roman" w:hAnsi="Times New Roman" w:eastAsia="宋体" w:cs="Times New Roman"/>
          <w:b/>
          <w:bCs/>
          <w:color w:val="000000" w:themeColor="text1"/>
          <w:spacing w:val="-2"/>
          <w:sz w:val="24"/>
          <w:szCs w:val="20"/>
          <w14:textFill>
            <w14:solidFill>
              <w14:schemeClr w14:val="tx1"/>
            </w14:solidFill>
          </w14:textFill>
        </w:rPr>
        <w:t>2.2</w:t>
      </w:r>
      <w:r>
        <w:rPr>
          <w:rFonts w:ascii="Times New Roman" w:hAnsi="Times New Roman" w:eastAsia="宋体" w:cs="Times New Roman"/>
          <w:b/>
          <w:bCs/>
          <w:color w:val="000000" w:themeColor="text1"/>
          <w:spacing w:val="-2"/>
          <w:sz w:val="24"/>
          <w:szCs w:val="20"/>
          <w14:textFill>
            <w14:solidFill>
              <w14:schemeClr w14:val="tx1"/>
            </w14:solidFill>
          </w14:textFill>
        </w:rPr>
        <w:fldChar w:fldCharType="end"/>
      </w:r>
      <w:r>
        <w:rPr>
          <w:rFonts w:ascii="Times New Roman" w:hAnsi="Times New Roman" w:eastAsia="宋体" w:cs="Times New Roman"/>
          <w:b/>
          <w:bCs/>
          <w:color w:val="000000" w:themeColor="text1"/>
          <w:spacing w:val="-2"/>
          <w:sz w:val="24"/>
          <w:szCs w:val="20"/>
          <w14:textFill>
            <w14:solidFill>
              <w14:schemeClr w14:val="tx1"/>
            </w14:solidFill>
          </w14:textFill>
        </w:rPr>
        <w:noBreakHyphen/>
      </w:r>
      <w:r>
        <w:rPr>
          <w:rFonts w:ascii="Times New Roman" w:hAnsi="Times New Roman" w:eastAsia="宋体" w:cs="Times New Roman"/>
          <w:b/>
          <w:bCs/>
          <w:color w:val="000000" w:themeColor="text1"/>
          <w:spacing w:val="-2"/>
          <w:sz w:val="24"/>
          <w:szCs w:val="20"/>
          <w14:textFill>
            <w14:solidFill>
              <w14:schemeClr w14:val="tx1"/>
            </w14:solidFill>
          </w14:textFill>
        </w:rPr>
        <w:t>6  本项目车间正常生产时操作工位γ辐射剂量率水平</w:t>
      </w:r>
    </w:p>
    <w:tbl>
      <w:tblPr>
        <w:tblStyle w:val="4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92"/>
        <w:gridCol w:w="3765"/>
        <w:gridCol w:w="3765"/>
      </w:tblGrid>
      <w:tr w14:paraId="497046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582" w:type="pct"/>
            <w:vAlign w:val="center"/>
          </w:tcPr>
          <w:p w14:paraId="1F9CEC95">
            <w:pPr>
              <w:pStyle w:val="245"/>
              <w:spacing w:line="240" w:lineRule="auto"/>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编号</w:t>
            </w:r>
          </w:p>
        </w:tc>
        <w:tc>
          <w:tcPr>
            <w:tcW w:w="2209" w:type="pct"/>
            <w:vAlign w:val="center"/>
          </w:tcPr>
          <w:p w14:paraId="622CCACC">
            <w:pPr>
              <w:pStyle w:val="245"/>
              <w:spacing w:line="240" w:lineRule="auto"/>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工作场所描述</w:t>
            </w:r>
          </w:p>
        </w:tc>
        <w:tc>
          <w:tcPr>
            <w:tcW w:w="2209" w:type="pct"/>
            <w:vAlign w:val="center"/>
          </w:tcPr>
          <w:p w14:paraId="6B6CD690">
            <w:pPr>
              <w:pStyle w:val="245"/>
              <w:spacing w:line="240" w:lineRule="auto"/>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γ辐射剂量率（μGy/h）</w:t>
            </w:r>
          </w:p>
        </w:tc>
      </w:tr>
      <w:tr w14:paraId="6FBB71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82" w:type="pct"/>
            <w:vAlign w:val="center"/>
          </w:tcPr>
          <w:p w14:paraId="733D392A">
            <w:pPr>
              <w:pStyle w:val="245"/>
              <w:spacing w:line="240" w:lineRule="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w:t>
            </w:r>
          </w:p>
        </w:tc>
        <w:tc>
          <w:tcPr>
            <w:tcW w:w="2209" w:type="pct"/>
            <w:vAlign w:val="center"/>
          </w:tcPr>
          <w:p w14:paraId="0EC7008A">
            <w:pPr>
              <w:pStyle w:val="245"/>
              <w:spacing w:line="240" w:lineRule="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1#原料处理车间</w:t>
            </w:r>
          </w:p>
        </w:tc>
        <w:tc>
          <w:tcPr>
            <w:tcW w:w="2209" w:type="pct"/>
            <w:vAlign w:val="center"/>
          </w:tcPr>
          <w:p w14:paraId="036C606A">
            <w:pPr>
              <w:pStyle w:val="245"/>
              <w:spacing w:line="240" w:lineRule="auto"/>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1.4640</w:t>
            </w:r>
          </w:p>
        </w:tc>
      </w:tr>
      <w:tr w14:paraId="7C4B1D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82" w:type="pct"/>
            <w:vAlign w:val="center"/>
          </w:tcPr>
          <w:p w14:paraId="04FABE1D">
            <w:pPr>
              <w:pStyle w:val="245"/>
              <w:spacing w:line="240" w:lineRule="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w:t>
            </w:r>
          </w:p>
        </w:tc>
        <w:tc>
          <w:tcPr>
            <w:tcW w:w="2209" w:type="pct"/>
            <w:vAlign w:val="center"/>
          </w:tcPr>
          <w:p w14:paraId="225C007B">
            <w:pPr>
              <w:pStyle w:val="245"/>
              <w:spacing w:line="240" w:lineRule="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2#分选车间</w:t>
            </w:r>
          </w:p>
        </w:tc>
        <w:tc>
          <w:tcPr>
            <w:tcW w:w="2209" w:type="pct"/>
            <w:vAlign w:val="center"/>
          </w:tcPr>
          <w:p w14:paraId="3E8B2D06">
            <w:pPr>
              <w:pStyle w:val="245"/>
              <w:spacing w:line="240" w:lineRule="auto"/>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1.3488</w:t>
            </w:r>
          </w:p>
        </w:tc>
      </w:tr>
    </w:tbl>
    <w:p w14:paraId="68C39E36">
      <w:pPr>
        <w:widowControl w:val="0"/>
        <w:spacing w:after="0" w:line="360" w:lineRule="auto"/>
        <w:ind w:firstLine="361" w:firstLineChars="200"/>
        <w:jc w:val="both"/>
        <w:rPr>
          <w:rFonts w:ascii="Times New Roman" w:hAnsi="Times New Roman" w:cs="Times New Roman"/>
          <w:b/>
          <w:color w:val="000000" w:themeColor="text1"/>
          <w:sz w:val="18"/>
          <w:szCs w:val="18"/>
          <w14:textFill>
            <w14:solidFill>
              <w14:schemeClr w14:val="tx1"/>
            </w14:solidFill>
          </w14:textFill>
        </w:rPr>
      </w:pPr>
    </w:p>
    <w:p w14:paraId="33995BF4">
      <w:pPr>
        <w:pStyle w:val="6"/>
        <w:widowControl w:val="0"/>
        <w:numPr>
          <w:ilvl w:val="3"/>
          <w:numId w:val="1"/>
        </w:numPr>
        <w:spacing w:before="0" w:line="360" w:lineRule="auto"/>
        <w:ind w:left="0" w:firstLine="0"/>
        <w:jc w:val="both"/>
        <w:rPr>
          <w:rFonts w:ascii="Times New Roman" w:hAnsi="Times New Roman" w:eastAsia="黑体" w:cs="Times New Roman"/>
          <w:bCs/>
          <w:i w:val="0"/>
          <w:iCs w:val="0"/>
          <w:color w:val="000000" w:themeColor="text1"/>
          <w:kern w:val="2"/>
          <w:sz w:val="24"/>
          <w14:textFill>
            <w14:solidFill>
              <w14:schemeClr w14:val="tx1"/>
            </w14:solidFill>
          </w14:textFill>
        </w:rPr>
      </w:pPr>
      <w:r>
        <w:rPr>
          <w:rFonts w:ascii="Times New Roman" w:hAnsi="Times New Roman" w:eastAsia="黑体" w:cs="Times New Roman"/>
          <w:bCs/>
          <w:i w:val="0"/>
          <w:iCs w:val="0"/>
          <w:color w:val="000000" w:themeColor="text1"/>
          <w:kern w:val="2"/>
          <w:sz w:val="24"/>
          <w14:textFill>
            <w14:solidFill>
              <w14:schemeClr w14:val="tx1"/>
            </w14:solidFill>
          </w14:textFill>
        </w:rPr>
        <w:t>含铀、钍无组织排放粉尘</w:t>
      </w:r>
    </w:p>
    <w:p w14:paraId="325D4C60">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根据</w:t>
      </w:r>
      <w:r>
        <w:rPr>
          <w:rFonts w:hint="eastAsia" w:ascii="Times New Roman" w:hAnsi="Times New Roman" w:eastAsia="宋体" w:cs="Times New Roman"/>
          <w:color w:val="000000" w:themeColor="text1"/>
          <w:spacing w:val="-2"/>
          <w:sz w:val="24"/>
          <w:szCs w:val="20"/>
          <w14:textFill>
            <w14:solidFill>
              <w14:schemeClr w14:val="tx1"/>
            </w14:solidFill>
          </w14:textFill>
        </w:rPr>
        <w:t>项目环境影响报告书的含矿粉尘的有组织排放口浓度估算值、最大地面浓度</w:t>
      </w:r>
      <w:r>
        <w:rPr>
          <w:rFonts w:ascii="Times New Roman" w:hAnsi="Times New Roman" w:eastAsia="宋体" w:cs="Times New Roman"/>
          <w:color w:val="000000" w:themeColor="text1"/>
          <w:spacing w:val="-2"/>
          <w:sz w:val="24"/>
          <w:szCs w:val="20"/>
          <w14:textFill>
            <w14:solidFill>
              <w14:schemeClr w14:val="tx1"/>
            </w14:solidFill>
          </w14:textFill>
        </w:rPr>
        <w:t>估算</w:t>
      </w:r>
      <w:r>
        <w:rPr>
          <w:rFonts w:hint="eastAsia" w:ascii="Times New Roman" w:hAnsi="Times New Roman" w:eastAsia="宋体" w:cs="Times New Roman"/>
          <w:color w:val="000000" w:themeColor="text1"/>
          <w:spacing w:val="-2"/>
          <w:sz w:val="24"/>
          <w:szCs w:val="20"/>
          <w14:textFill>
            <w14:solidFill>
              <w14:schemeClr w14:val="tx1"/>
            </w14:solidFill>
          </w14:textFill>
        </w:rPr>
        <w:t>值，以及无组织排放源最大地面浓度</w:t>
      </w:r>
      <w:r>
        <w:rPr>
          <w:rFonts w:ascii="Times New Roman" w:hAnsi="Times New Roman" w:eastAsia="宋体" w:cs="Times New Roman"/>
          <w:color w:val="000000" w:themeColor="text1"/>
          <w:spacing w:val="-2"/>
          <w:sz w:val="24"/>
          <w:szCs w:val="20"/>
          <w14:textFill>
            <w14:solidFill>
              <w14:schemeClr w14:val="tx1"/>
            </w14:solidFill>
          </w14:textFill>
        </w:rPr>
        <w:t>估算</w:t>
      </w:r>
      <w:r>
        <w:rPr>
          <w:rFonts w:hint="eastAsia" w:ascii="Times New Roman" w:hAnsi="Times New Roman" w:eastAsia="宋体" w:cs="Times New Roman"/>
          <w:color w:val="000000" w:themeColor="text1"/>
          <w:spacing w:val="-2"/>
          <w:sz w:val="24"/>
          <w:szCs w:val="20"/>
          <w14:textFill>
            <w14:solidFill>
              <w14:schemeClr w14:val="tx1"/>
            </w14:solidFill>
          </w14:textFill>
        </w:rPr>
        <w:t>值</w:t>
      </w:r>
      <w:r>
        <w:rPr>
          <w:rFonts w:ascii="Times New Roman" w:hAnsi="Times New Roman" w:eastAsia="宋体" w:cs="Times New Roman"/>
          <w:color w:val="000000" w:themeColor="text1"/>
          <w:spacing w:val="-2"/>
          <w:sz w:val="24"/>
          <w:szCs w:val="20"/>
          <w14:textFill>
            <w14:solidFill>
              <w14:schemeClr w14:val="tx1"/>
            </w14:solidFill>
          </w14:textFill>
        </w:rPr>
        <w:t>，</w:t>
      </w:r>
      <w:r>
        <w:rPr>
          <w:rFonts w:hint="eastAsia" w:ascii="Times New Roman" w:hAnsi="Times New Roman" w:eastAsia="宋体" w:cs="Times New Roman"/>
          <w:color w:val="000000" w:themeColor="text1"/>
          <w:spacing w:val="-2"/>
          <w:sz w:val="24"/>
          <w:szCs w:val="20"/>
          <w14:textFill>
            <w14:solidFill>
              <w14:schemeClr w14:val="tx1"/>
            </w14:solidFill>
          </w14:textFill>
        </w:rPr>
        <w:t>结合原料毛矿中铀、钍含量比例估算本项目废气排放放射性核素源强。毛矿中铀含量为0.03%、钍含量为0.07%，</w:t>
      </w:r>
      <w:r>
        <w:rPr>
          <w:rFonts w:ascii="Times New Roman" w:hAnsi="Times New Roman" w:eastAsia="宋体" w:cs="Times New Roman"/>
          <w:color w:val="000000" w:themeColor="text1"/>
          <w:spacing w:val="-2"/>
          <w:sz w:val="24"/>
          <w:szCs w:val="20"/>
          <w14:textFill>
            <w14:solidFill>
              <w14:schemeClr w14:val="tx1"/>
            </w14:solidFill>
          </w14:textFill>
        </w:rPr>
        <w:t>本项目排放放射性核素源强见表2.</w:t>
      </w:r>
      <w:r>
        <w:rPr>
          <w:rFonts w:hint="eastAsia" w:ascii="Times New Roman" w:hAnsi="Times New Roman" w:eastAsia="宋体" w:cs="Times New Roman"/>
          <w:color w:val="000000" w:themeColor="text1"/>
          <w:spacing w:val="-2"/>
          <w:sz w:val="24"/>
          <w:szCs w:val="20"/>
          <w14:textFill>
            <w14:solidFill>
              <w14:schemeClr w14:val="tx1"/>
            </w14:solidFill>
          </w14:textFill>
        </w:rPr>
        <w:t>2</w:t>
      </w:r>
      <w:r>
        <w:rPr>
          <w:rFonts w:ascii="Times New Roman" w:hAnsi="Times New Roman" w:eastAsia="宋体" w:cs="Times New Roman"/>
          <w:color w:val="000000" w:themeColor="text1"/>
          <w:spacing w:val="-2"/>
          <w:sz w:val="24"/>
          <w:szCs w:val="20"/>
          <w14:textFill>
            <w14:solidFill>
              <w14:schemeClr w14:val="tx1"/>
            </w14:solidFill>
          </w14:textFill>
        </w:rPr>
        <w:t>-</w:t>
      </w:r>
      <w:r>
        <w:rPr>
          <w:rFonts w:hint="eastAsia" w:ascii="Times New Roman" w:hAnsi="Times New Roman" w:eastAsia="宋体" w:cs="Times New Roman"/>
          <w:color w:val="000000" w:themeColor="text1"/>
          <w:spacing w:val="-2"/>
          <w:sz w:val="24"/>
          <w:szCs w:val="20"/>
          <w14:textFill>
            <w14:solidFill>
              <w14:schemeClr w14:val="tx1"/>
            </w14:solidFill>
          </w14:textFill>
        </w:rPr>
        <w:t>7</w:t>
      </w:r>
      <w:r>
        <w:rPr>
          <w:rFonts w:ascii="Times New Roman" w:hAnsi="Times New Roman" w:eastAsia="宋体" w:cs="Times New Roman"/>
          <w:color w:val="000000" w:themeColor="text1"/>
          <w:spacing w:val="-2"/>
          <w:sz w:val="24"/>
          <w:szCs w:val="20"/>
          <w14:textFill>
            <w14:solidFill>
              <w14:schemeClr w14:val="tx1"/>
            </w14:solidFill>
          </w14:textFill>
        </w:rPr>
        <w:t>。</w:t>
      </w:r>
    </w:p>
    <w:p w14:paraId="70976A2D">
      <w:pPr>
        <w:widowControl w:val="0"/>
        <w:spacing w:after="0" w:line="360" w:lineRule="auto"/>
        <w:jc w:val="center"/>
        <w:rPr>
          <w:rFonts w:ascii="Times New Roman" w:hAnsi="Times New Roman" w:eastAsia="宋体" w:cs="Times New Roman"/>
          <w:b/>
          <w:bCs/>
          <w:color w:val="000000" w:themeColor="text1"/>
          <w:spacing w:val="-2"/>
          <w:sz w:val="24"/>
          <w:szCs w:val="20"/>
          <w14:textFill>
            <w14:solidFill>
              <w14:schemeClr w14:val="tx1"/>
            </w14:solidFill>
          </w14:textFill>
        </w:rPr>
      </w:pPr>
      <w:r>
        <w:rPr>
          <w:rFonts w:ascii="Times New Roman" w:hAnsi="Times New Roman" w:eastAsia="宋体" w:cs="Times New Roman"/>
          <w:b/>
          <w:bCs/>
          <w:color w:val="000000" w:themeColor="text1"/>
          <w:spacing w:val="-2"/>
          <w:sz w:val="24"/>
          <w:szCs w:val="20"/>
          <w14:textFill>
            <w14:solidFill>
              <w14:schemeClr w14:val="tx1"/>
            </w14:solidFill>
          </w14:textFill>
        </w:rPr>
        <w:t>表 2.</w:t>
      </w:r>
      <w:r>
        <w:rPr>
          <w:rFonts w:hint="eastAsia" w:ascii="Times New Roman" w:hAnsi="Times New Roman" w:eastAsia="宋体" w:cs="Times New Roman"/>
          <w:b/>
          <w:bCs/>
          <w:color w:val="000000" w:themeColor="text1"/>
          <w:spacing w:val="-2"/>
          <w:sz w:val="24"/>
          <w:szCs w:val="20"/>
          <w14:textFill>
            <w14:solidFill>
              <w14:schemeClr w14:val="tx1"/>
            </w14:solidFill>
          </w14:textFill>
        </w:rPr>
        <w:t>2</w:t>
      </w:r>
      <w:r>
        <w:rPr>
          <w:rFonts w:ascii="Times New Roman" w:hAnsi="Times New Roman" w:eastAsia="宋体" w:cs="Times New Roman"/>
          <w:b/>
          <w:bCs/>
          <w:color w:val="000000" w:themeColor="text1"/>
          <w:spacing w:val="-2"/>
          <w:sz w:val="24"/>
          <w:szCs w:val="20"/>
          <w14:textFill>
            <w14:solidFill>
              <w14:schemeClr w14:val="tx1"/>
            </w14:solidFill>
          </w14:textFill>
        </w:rPr>
        <w:fldChar w:fldCharType="begin"/>
      </w:r>
      <w:r>
        <w:rPr>
          <w:rFonts w:ascii="Times New Roman" w:hAnsi="Times New Roman" w:eastAsia="宋体" w:cs="Times New Roman"/>
          <w:b/>
          <w:bCs/>
          <w:color w:val="000000" w:themeColor="text1"/>
          <w:spacing w:val="-2"/>
          <w:sz w:val="24"/>
          <w:szCs w:val="20"/>
          <w14:textFill>
            <w14:solidFill>
              <w14:schemeClr w14:val="tx1"/>
            </w14:solidFill>
          </w14:textFill>
        </w:rPr>
        <w:instrText xml:space="preserve"> STYLEREF 2 \s </w:instrText>
      </w:r>
      <w:r>
        <w:rPr>
          <w:rFonts w:ascii="Times New Roman" w:hAnsi="Times New Roman" w:eastAsia="宋体" w:cs="Times New Roman"/>
          <w:b/>
          <w:bCs/>
          <w:color w:val="000000" w:themeColor="text1"/>
          <w:spacing w:val="-2"/>
          <w:sz w:val="24"/>
          <w:szCs w:val="20"/>
          <w14:textFill>
            <w14:solidFill>
              <w14:schemeClr w14:val="tx1"/>
            </w14:solidFill>
          </w14:textFill>
        </w:rPr>
        <w:fldChar w:fldCharType="separate"/>
      </w:r>
      <w:r>
        <w:rPr>
          <w:rFonts w:ascii="Times New Roman" w:hAnsi="Times New Roman" w:eastAsia="宋体" w:cs="Times New Roman"/>
          <w:b/>
          <w:bCs/>
          <w:color w:val="000000" w:themeColor="text1"/>
          <w:spacing w:val="-2"/>
          <w:sz w:val="24"/>
          <w:szCs w:val="20"/>
          <w14:textFill>
            <w14:solidFill>
              <w14:schemeClr w14:val="tx1"/>
            </w14:solidFill>
          </w14:textFill>
        </w:rPr>
        <w:t>2.2</w:t>
      </w:r>
      <w:r>
        <w:rPr>
          <w:rFonts w:ascii="Times New Roman" w:hAnsi="Times New Roman" w:eastAsia="宋体" w:cs="Times New Roman"/>
          <w:b/>
          <w:bCs/>
          <w:color w:val="000000" w:themeColor="text1"/>
          <w:spacing w:val="-2"/>
          <w:sz w:val="24"/>
          <w:szCs w:val="20"/>
          <w14:textFill>
            <w14:solidFill>
              <w14:schemeClr w14:val="tx1"/>
            </w14:solidFill>
          </w14:textFill>
        </w:rPr>
        <w:fldChar w:fldCharType="end"/>
      </w:r>
      <w:r>
        <w:rPr>
          <w:rFonts w:ascii="Times New Roman" w:hAnsi="Times New Roman" w:eastAsia="宋体" w:cs="Times New Roman"/>
          <w:b/>
          <w:bCs/>
          <w:color w:val="000000" w:themeColor="text1"/>
          <w:spacing w:val="-2"/>
          <w:sz w:val="24"/>
          <w:szCs w:val="20"/>
          <w14:textFill>
            <w14:solidFill>
              <w14:schemeClr w14:val="tx1"/>
            </w14:solidFill>
          </w14:textFill>
        </w:rPr>
        <w:noBreakHyphen/>
      </w:r>
      <w:r>
        <w:rPr>
          <w:rFonts w:hint="eastAsia" w:ascii="Times New Roman" w:hAnsi="Times New Roman" w:eastAsia="宋体" w:cs="Times New Roman"/>
          <w:b/>
          <w:bCs/>
          <w:color w:val="000000" w:themeColor="text1"/>
          <w:spacing w:val="-2"/>
          <w:sz w:val="24"/>
          <w:szCs w:val="20"/>
          <w14:textFill>
            <w14:solidFill>
              <w14:schemeClr w14:val="tx1"/>
            </w14:solidFill>
          </w14:textFill>
        </w:rPr>
        <w:t>7</w:t>
      </w:r>
      <w:r>
        <w:rPr>
          <w:rFonts w:ascii="Times New Roman" w:hAnsi="Times New Roman" w:eastAsia="宋体" w:cs="Times New Roman"/>
          <w:b/>
          <w:bCs/>
          <w:color w:val="000000" w:themeColor="text1"/>
          <w:spacing w:val="-2"/>
          <w:sz w:val="24"/>
          <w:szCs w:val="20"/>
          <w14:textFill>
            <w14:solidFill>
              <w14:schemeClr w14:val="tx1"/>
            </w14:solidFill>
          </w14:textFill>
        </w:rPr>
        <w:t xml:space="preserve">  </w:t>
      </w:r>
      <w:r>
        <w:rPr>
          <w:rFonts w:hint="eastAsia" w:ascii="Times New Roman" w:hAnsi="Times New Roman" w:eastAsia="宋体" w:cs="Times New Roman"/>
          <w:b/>
          <w:bCs/>
          <w:color w:val="000000" w:themeColor="text1"/>
          <w:spacing w:val="-2"/>
          <w:sz w:val="24"/>
          <w:szCs w:val="20"/>
          <w14:textFill>
            <w14:solidFill>
              <w14:schemeClr w14:val="tx1"/>
            </w14:solidFill>
          </w14:textFill>
        </w:rPr>
        <w:t>项目</w:t>
      </w:r>
      <w:r>
        <w:rPr>
          <w:rFonts w:ascii="Times New Roman" w:hAnsi="Times New Roman" w:eastAsia="宋体" w:cs="Times New Roman"/>
          <w:b/>
          <w:bCs/>
          <w:color w:val="000000" w:themeColor="text1"/>
          <w:spacing w:val="-2"/>
          <w:sz w:val="24"/>
          <w:szCs w:val="20"/>
          <w14:textFill>
            <w14:solidFill>
              <w14:schemeClr w14:val="tx1"/>
            </w14:solidFill>
          </w14:textFill>
        </w:rPr>
        <w:t>废气排放</w:t>
      </w:r>
      <w:r>
        <w:rPr>
          <w:rFonts w:hint="eastAsia" w:ascii="Times New Roman" w:hAnsi="Times New Roman" w:eastAsia="宋体" w:cs="Times New Roman"/>
          <w:b/>
          <w:bCs/>
          <w:color w:val="000000" w:themeColor="text1"/>
          <w:spacing w:val="-2"/>
          <w:sz w:val="24"/>
          <w:szCs w:val="20"/>
          <w14:textFill>
            <w14:solidFill>
              <w14:schemeClr w14:val="tx1"/>
            </w14:solidFill>
          </w14:textFill>
        </w:rPr>
        <w:t>放射性核素</w:t>
      </w:r>
      <w:r>
        <w:rPr>
          <w:rFonts w:ascii="Times New Roman" w:hAnsi="Times New Roman" w:eastAsia="宋体" w:cs="Times New Roman"/>
          <w:b/>
          <w:bCs/>
          <w:color w:val="000000" w:themeColor="text1"/>
          <w:spacing w:val="-2"/>
          <w:sz w:val="24"/>
          <w:szCs w:val="20"/>
          <w14:textFill>
            <w14:solidFill>
              <w14:schemeClr w14:val="tx1"/>
            </w14:solidFill>
          </w14:textFill>
        </w:rPr>
        <w:t>源强</w:t>
      </w:r>
      <w:r>
        <w:rPr>
          <w:rFonts w:hint="eastAsia" w:ascii="Times New Roman" w:hAnsi="Times New Roman" w:eastAsia="宋体" w:cs="Times New Roman"/>
          <w:b/>
          <w:bCs/>
          <w:color w:val="000000" w:themeColor="text1"/>
          <w:spacing w:val="-2"/>
          <w:sz w:val="24"/>
          <w:szCs w:val="20"/>
          <w14:textFill>
            <w14:solidFill>
              <w14:schemeClr w14:val="tx1"/>
            </w14:solidFill>
          </w14:textFill>
        </w:rPr>
        <w:t>表</w:t>
      </w:r>
    </w:p>
    <w:tbl>
      <w:tblPr>
        <w:tblStyle w:val="46"/>
        <w:tblW w:w="822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51"/>
        <w:gridCol w:w="1544"/>
        <w:gridCol w:w="1456"/>
        <w:gridCol w:w="1457"/>
        <w:gridCol w:w="1457"/>
        <w:gridCol w:w="1457"/>
      </w:tblGrid>
      <w:tr w14:paraId="6D07A5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51" w:type="dxa"/>
            <w:vMerge w:val="restart"/>
            <w:vAlign w:val="center"/>
          </w:tcPr>
          <w:p w14:paraId="7BD1250C">
            <w:pPr>
              <w:adjustRightInd w:val="0"/>
              <w:snapToGrid w:val="0"/>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序号</w:t>
            </w:r>
          </w:p>
        </w:tc>
        <w:tc>
          <w:tcPr>
            <w:tcW w:w="1544" w:type="dxa"/>
            <w:vMerge w:val="restart"/>
            <w:vAlign w:val="center"/>
          </w:tcPr>
          <w:p w14:paraId="2187425C">
            <w:pPr>
              <w:adjustRightInd w:val="0"/>
              <w:snapToGrid w:val="0"/>
              <w:spacing w:after="0" w:line="240" w:lineRule="auto"/>
              <w:jc w:val="center"/>
              <w:rPr>
                <w:rFonts w:ascii="Times New Roman" w:hAnsi="Times New Roman" w:eastAsia="宋体" w:cs="Times New Roman"/>
                <w:color w:val="000000" w:themeColor="text1"/>
                <w:spacing w:val="-2"/>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污染源</w:t>
            </w:r>
          </w:p>
        </w:tc>
        <w:tc>
          <w:tcPr>
            <w:tcW w:w="1456" w:type="dxa"/>
            <w:vMerge w:val="restart"/>
            <w:tcBorders>
              <w:right w:val="single" w:color="auto" w:sz="4" w:space="0"/>
            </w:tcBorders>
            <w:vAlign w:val="center"/>
          </w:tcPr>
          <w:p w14:paraId="5D0986C8">
            <w:pPr>
              <w:autoSpaceDE w:val="0"/>
              <w:autoSpaceDN w:val="0"/>
              <w:snapToGrid w:val="0"/>
              <w:spacing w:after="0" w:line="240" w:lineRule="auto"/>
              <w:jc w:val="center"/>
              <w:rPr>
                <w:rFonts w:ascii="Times New Roman" w:hAnsi="Times New Roman" w:eastAsia="宋体" w:cs="Times New Roman"/>
                <w:b/>
                <w:bCs/>
                <w:color w:val="000000" w:themeColor="text1"/>
                <w14:textFill>
                  <w14:solidFill>
                    <w14:schemeClr w14:val="tx1"/>
                  </w14:solidFill>
                </w14:textFill>
              </w:rPr>
            </w:pPr>
            <w:r>
              <w:rPr>
                <w:rFonts w:hint="eastAsia" w:ascii="Times New Roman" w:hAnsi="Times New Roman" w:eastAsia="宋体" w:cs="Times New Roman"/>
                <w:b/>
                <w:bCs/>
                <w:color w:val="000000" w:themeColor="text1"/>
                <w14:textFill>
                  <w14:solidFill>
                    <w14:schemeClr w14:val="tx1"/>
                  </w14:solidFill>
                </w14:textFill>
              </w:rPr>
              <w:t>有组织</w:t>
            </w:r>
            <w:r>
              <w:rPr>
                <w:rFonts w:ascii="Times New Roman" w:hAnsi="Times New Roman" w:eastAsia="宋体" w:cs="Times New Roman"/>
                <w:b/>
                <w:bCs/>
                <w:color w:val="000000" w:themeColor="text1"/>
                <w14:textFill>
                  <w14:solidFill>
                    <w14:schemeClr w14:val="tx1"/>
                  </w14:solidFill>
                </w14:textFill>
              </w:rPr>
              <w:t>粉尘排放</w:t>
            </w:r>
            <w:r>
              <w:rPr>
                <w:rFonts w:hint="eastAsia" w:ascii="Times New Roman" w:hAnsi="Times New Roman" w:eastAsia="宋体" w:cs="Times New Roman"/>
                <w:b/>
                <w:bCs/>
                <w:color w:val="000000" w:themeColor="text1"/>
                <w14:textFill>
                  <w14:solidFill>
                    <w14:schemeClr w14:val="tx1"/>
                  </w14:solidFill>
                </w14:textFill>
              </w:rPr>
              <w:t>口浓度</w:t>
            </w:r>
          </w:p>
          <w:p w14:paraId="51848BCF">
            <w:pPr>
              <w:adjustRightInd w:val="0"/>
              <w:snapToGrid w:val="0"/>
              <w:spacing w:after="0" w:line="240" w:lineRule="auto"/>
              <w:jc w:val="center"/>
              <w:rPr>
                <w:rFonts w:ascii="Times New Roman" w:hAnsi="Times New Roman" w:eastAsia="宋体" w:cs="Times New Roman"/>
                <w:color w:val="000000" w:themeColor="text1"/>
                <w:spacing w:val="-2"/>
                <w14:textFill>
                  <w14:solidFill>
                    <w14:schemeClr w14:val="tx1"/>
                  </w14:solidFill>
                </w14:textFill>
              </w:rPr>
            </w:pPr>
            <w:r>
              <w:rPr>
                <w:rFonts w:ascii="Times New Roman" w:hAnsi="Times New Roman" w:eastAsia="宋体" w:cs="Times New Roman"/>
                <w:b/>
                <w:color w:val="000000" w:themeColor="text1"/>
                <w:spacing w:val="-2"/>
                <w14:textFill>
                  <w14:solidFill>
                    <w14:schemeClr w14:val="tx1"/>
                  </w14:solidFill>
                </w14:textFill>
              </w:rPr>
              <w:t>(</w:t>
            </w:r>
            <w:r>
              <w:rPr>
                <w:rFonts w:hint="eastAsia" w:ascii="Times New Roman" w:hAnsi="Times New Roman" w:eastAsia="宋体" w:cs="Times New Roman"/>
                <w:b/>
                <w:color w:val="000000" w:themeColor="text1"/>
                <w:spacing w:val="-2"/>
                <w14:textFill>
                  <w14:solidFill>
                    <w14:schemeClr w14:val="tx1"/>
                  </w14:solidFill>
                </w14:textFill>
              </w:rPr>
              <w:t>m</w:t>
            </w:r>
            <w:r>
              <w:rPr>
                <w:rFonts w:ascii="Times New Roman" w:hAnsi="Times New Roman" w:eastAsia="宋体" w:cs="Times New Roman"/>
                <w:b/>
                <w:color w:val="000000" w:themeColor="text1"/>
                <w:spacing w:val="-2"/>
                <w14:textFill>
                  <w14:solidFill>
                    <w14:schemeClr w14:val="tx1"/>
                  </w14:solidFill>
                </w14:textFill>
              </w:rPr>
              <w:t>g/m</w:t>
            </w:r>
            <w:r>
              <w:rPr>
                <w:rFonts w:ascii="Times New Roman" w:hAnsi="Times New Roman" w:eastAsia="宋体" w:cs="Times New Roman"/>
                <w:b/>
                <w:color w:val="000000" w:themeColor="text1"/>
                <w:spacing w:val="-2"/>
                <w:vertAlign w:val="superscript"/>
                <w14:textFill>
                  <w14:solidFill>
                    <w14:schemeClr w14:val="tx1"/>
                  </w14:solidFill>
                </w14:textFill>
              </w:rPr>
              <w:t>3</w:t>
            </w:r>
            <w:r>
              <w:rPr>
                <w:rFonts w:ascii="Times New Roman" w:hAnsi="Times New Roman" w:eastAsia="宋体" w:cs="Times New Roman"/>
                <w:b/>
                <w:color w:val="000000" w:themeColor="text1"/>
                <w:spacing w:val="-2"/>
                <w14:textFill>
                  <w14:solidFill>
                    <w14:schemeClr w14:val="tx1"/>
                  </w14:solidFill>
                </w14:textFill>
              </w:rPr>
              <w:t>)</w:t>
            </w:r>
          </w:p>
        </w:tc>
        <w:tc>
          <w:tcPr>
            <w:tcW w:w="1457" w:type="dxa"/>
            <w:vMerge w:val="restart"/>
            <w:tcBorders>
              <w:left w:val="single" w:color="auto" w:sz="4" w:space="0"/>
            </w:tcBorders>
            <w:vAlign w:val="center"/>
          </w:tcPr>
          <w:p w14:paraId="64F46647">
            <w:pPr>
              <w:autoSpaceDE w:val="0"/>
              <w:autoSpaceDN w:val="0"/>
              <w:snapToGrid w:val="0"/>
              <w:spacing w:after="0" w:line="240" w:lineRule="auto"/>
              <w:jc w:val="center"/>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粉尘最大</w:t>
            </w:r>
          </w:p>
          <w:p w14:paraId="0F04A915">
            <w:pPr>
              <w:autoSpaceDE w:val="0"/>
              <w:autoSpaceDN w:val="0"/>
              <w:snapToGrid w:val="0"/>
              <w:spacing w:after="0" w:line="240" w:lineRule="auto"/>
              <w:jc w:val="center"/>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地面浓度</w:t>
            </w:r>
          </w:p>
          <w:p w14:paraId="40D744B3">
            <w:pPr>
              <w:adjustRightInd w:val="0"/>
              <w:snapToGrid w:val="0"/>
              <w:spacing w:after="0" w:line="240" w:lineRule="auto"/>
              <w:jc w:val="center"/>
              <w:rPr>
                <w:rFonts w:ascii="Times New Roman" w:hAnsi="Times New Roman" w:eastAsia="宋体" w:cs="Times New Roman"/>
                <w:color w:val="000000" w:themeColor="text1"/>
                <w:spacing w:val="-2"/>
                <w14:textFill>
                  <w14:solidFill>
                    <w14:schemeClr w14:val="tx1"/>
                  </w14:solidFill>
                </w14:textFill>
              </w:rPr>
            </w:pPr>
            <w:r>
              <w:rPr>
                <w:rFonts w:ascii="Times New Roman" w:hAnsi="Times New Roman" w:eastAsia="宋体" w:cs="Times New Roman"/>
                <w:b/>
                <w:color w:val="000000" w:themeColor="text1"/>
                <w:spacing w:val="-2"/>
                <w14:textFill>
                  <w14:solidFill>
                    <w14:schemeClr w14:val="tx1"/>
                  </w14:solidFill>
                </w14:textFill>
              </w:rPr>
              <w:t>(</w:t>
            </w:r>
            <w:r>
              <w:rPr>
                <w:rFonts w:hint="eastAsia" w:ascii="Times New Roman" w:hAnsi="Times New Roman" w:eastAsia="宋体" w:cs="Times New Roman"/>
                <w:b/>
                <w:color w:val="000000" w:themeColor="text1"/>
                <w:spacing w:val="-2"/>
                <w14:textFill>
                  <w14:solidFill>
                    <w14:schemeClr w14:val="tx1"/>
                  </w14:solidFill>
                </w14:textFill>
              </w:rPr>
              <w:t>m</w:t>
            </w:r>
            <w:r>
              <w:rPr>
                <w:rFonts w:ascii="Times New Roman" w:hAnsi="Times New Roman" w:eastAsia="宋体" w:cs="Times New Roman"/>
                <w:b/>
                <w:color w:val="000000" w:themeColor="text1"/>
                <w:spacing w:val="-2"/>
                <w14:textFill>
                  <w14:solidFill>
                    <w14:schemeClr w14:val="tx1"/>
                  </w14:solidFill>
                </w14:textFill>
              </w:rPr>
              <w:t>g/m</w:t>
            </w:r>
            <w:r>
              <w:rPr>
                <w:rFonts w:ascii="Times New Roman" w:hAnsi="Times New Roman" w:eastAsia="宋体" w:cs="Times New Roman"/>
                <w:b/>
                <w:color w:val="000000" w:themeColor="text1"/>
                <w:spacing w:val="-2"/>
                <w:vertAlign w:val="superscript"/>
                <w14:textFill>
                  <w14:solidFill>
                    <w14:schemeClr w14:val="tx1"/>
                  </w14:solidFill>
                </w14:textFill>
              </w:rPr>
              <w:t>3</w:t>
            </w:r>
            <w:r>
              <w:rPr>
                <w:rFonts w:ascii="Times New Roman" w:hAnsi="Times New Roman" w:eastAsia="宋体" w:cs="Times New Roman"/>
                <w:b/>
                <w:color w:val="000000" w:themeColor="text1"/>
                <w:spacing w:val="-2"/>
                <w14:textFill>
                  <w14:solidFill>
                    <w14:schemeClr w14:val="tx1"/>
                  </w14:solidFill>
                </w14:textFill>
              </w:rPr>
              <w:t>)</w:t>
            </w:r>
          </w:p>
        </w:tc>
        <w:tc>
          <w:tcPr>
            <w:tcW w:w="2914" w:type="dxa"/>
            <w:gridSpan w:val="2"/>
            <w:vAlign w:val="center"/>
          </w:tcPr>
          <w:p w14:paraId="1D73581A">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铀、钍总量</w:t>
            </w:r>
          </w:p>
        </w:tc>
      </w:tr>
      <w:tr w14:paraId="786303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51" w:type="dxa"/>
            <w:vMerge w:val="continue"/>
            <w:vAlign w:val="center"/>
          </w:tcPr>
          <w:p w14:paraId="59631BF8">
            <w:pPr>
              <w:adjustRightInd w:val="0"/>
              <w:snapToGrid w:val="0"/>
              <w:spacing w:after="0" w:line="240" w:lineRule="auto"/>
              <w:jc w:val="center"/>
              <w:rPr>
                <w:rFonts w:ascii="Times New Roman" w:hAnsi="Times New Roman" w:eastAsia="宋体" w:cs="Times New Roman"/>
                <w:color w:val="000000" w:themeColor="text1"/>
                <w14:textFill>
                  <w14:solidFill>
                    <w14:schemeClr w14:val="tx1"/>
                  </w14:solidFill>
                </w14:textFill>
              </w:rPr>
            </w:pPr>
          </w:p>
        </w:tc>
        <w:tc>
          <w:tcPr>
            <w:tcW w:w="1544" w:type="dxa"/>
            <w:vMerge w:val="continue"/>
            <w:vAlign w:val="center"/>
          </w:tcPr>
          <w:p w14:paraId="4A34E836">
            <w:pPr>
              <w:adjustRightInd w:val="0"/>
              <w:snapToGrid w:val="0"/>
              <w:spacing w:after="0" w:line="240" w:lineRule="auto"/>
              <w:jc w:val="center"/>
              <w:rPr>
                <w:rFonts w:ascii="Times New Roman" w:hAnsi="Times New Roman" w:eastAsia="宋体" w:cs="Times New Roman"/>
                <w:color w:val="000000" w:themeColor="text1"/>
                <w14:textFill>
                  <w14:solidFill>
                    <w14:schemeClr w14:val="tx1"/>
                  </w14:solidFill>
                </w14:textFill>
              </w:rPr>
            </w:pPr>
          </w:p>
        </w:tc>
        <w:tc>
          <w:tcPr>
            <w:tcW w:w="1456" w:type="dxa"/>
            <w:vMerge w:val="continue"/>
            <w:tcBorders>
              <w:right w:val="single" w:color="auto" w:sz="4" w:space="0"/>
            </w:tcBorders>
            <w:vAlign w:val="center"/>
          </w:tcPr>
          <w:p w14:paraId="6ABD47C4">
            <w:pPr>
              <w:adjustRightInd w:val="0"/>
              <w:snapToGrid w:val="0"/>
              <w:spacing w:after="0" w:line="240" w:lineRule="auto"/>
              <w:jc w:val="center"/>
              <w:rPr>
                <w:rFonts w:ascii="Times New Roman" w:hAnsi="Times New Roman" w:eastAsia="宋体" w:cs="Times New Roman"/>
                <w:color w:val="000000" w:themeColor="text1"/>
                <w:spacing w:val="-2"/>
                <w14:textFill>
                  <w14:solidFill>
                    <w14:schemeClr w14:val="tx1"/>
                  </w14:solidFill>
                </w14:textFill>
              </w:rPr>
            </w:pPr>
          </w:p>
        </w:tc>
        <w:tc>
          <w:tcPr>
            <w:tcW w:w="1457" w:type="dxa"/>
            <w:vMerge w:val="continue"/>
            <w:tcBorders>
              <w:left w:val="single" w:color="auto" w:sz="4" w:space="0"/>
            </w:tcBorders>
            <w:vAlign w:val="center"/>
          </w:tcPr>
          <w:p w14:paraId="7A771679">
            <w:pPr>
              <w:adjustRightInd w:val="0"/>
              <w:snapToGrid w:val="0"/>
              <w:spacing w:after="0" w:line="240" w:lineRule="auto"/>
              <w:jc w:val="center"/>
              <w:rPr>
                <w:rFonts w:ascii="Times New Roman" w:hAnsi="Times New Roman" w:eastAsia="宋体" w:cs="Times New Roman"/>
                <w:color w:val="000000" w:themeColor="text1"/>
                <w:spacing w:val="-2"/>
                <w14:textFill>
                  <w14:solidFill>
                    <w14:schemeClr w14:val="tx1"/>
                  </w14:solidFill>
                </w14:textFill>
              </w:rPr>
            </w:pPr>
          </w:p>
        </w:tc>
        <w:tc>
          <w:tcPr>
            <w:tcW w:w="1457" w:type="dxa"/>
            <w:vAlign w:val="center"/>
          </w:tcPr>
          <w:p w14:paraId="45A60BDB">
            <w:pPr>
              <w:adjustRightInd w:val="0"/>
              <w:snapToGrid w:val="0"/>
              <w:spacing w:after="0" w:line="240" w:lineRule="auto"/>
              <w:jc w:val="center"/>
              <w:rPr>
                <w:rFonts w:ascii="Times New Roman" w:hAnsi="Times New Roman" w:eastAsia="宋体" w:cs="Times New Roman"/>
                <w:b/>
                <w:color w:val="000000" w:themeColor="text1"/>
                <w:spacing w:val="-2"/>
                <w14:textFill>
                  <w14:solidFill>
                    <w14:schemeClr w14:val="tx1"/>
                  </w14:solidFill>
                </w14:textFill>
              </w:rPr>
            </w:pPr>
            <w:r>
              <w:rPr>
                <w:rFonts w:hint="eastAsia" w:ascii="Times New Roman" w:hAnsi="Times New Roman" w:eastAsia="宋体" w:cs="Times New Roman"/>
                <w:b/>
                <w:color w:val="000000" w:themeColor="text1"/>
                <w:spacing w:val="-2"/>
                <w14:textFill>
                  <w14:solidFill>
                    <w14:schemeClr w14:val="tx1"/>
                  </w14:solidFill>
                </w14:textFill>
              </w:rPr>
              <w:t>有组织</w:t>
            </w:r>
          </w:p>
          <w:p w14:paraId="0E21999E">
            <w:pPr>
              <w:adjustRightInd w:val="0"/>
              <w:snapToGrid w:val="0"/>
              <w:spacing w:after="0" w:line="240" w:lineRule="auto"/>
              <w:jc w:val="center"/>
              <w:rPr>
                <w:rFonts w:ascii="Times New Roman" w:hAnsi="Times New Roman" w:eastAsia="宋体" w:cs="Times New Roman"/>
                <w:b/>
                <w:color w:val="000000" w:themeColor="text1"/>
                <w:spacing w:val="-2"/>
                <w14:textFill>
                  <w14:solidFill>
                    <w14:schemeClr w14:val="tx1"/>
                  </w14:solidFill>
                </w14:textFill>
              </w:rPr>
            </w:pPr>
            <w:r>
              <w:rPr>
                <w:rFonts w:ascii="Times New Roman" w:hAnsi="Times New Roman" w:eastAsia="宋体" w:cs="Times New Roman"/>
                <w:b/>
                <w:color w:val="000000" w:themeColor="text1"/>
                <w:spacing w:val="-2"/>
                <w14:textFill>
                  <w14:solidFill>
                    <w14:schemeClr w14:val="tx1"/>
                  </w14:solidFill>
                </w14:textFill>
              </w:rPr>
              <w:t>排放</w:t>
            </w:r>
            <w:r>
              <w:rPr>
                <w:rFonts w:hint="eastAsia" w:ascii="Times New Roman" w:hAnsi="Times New Roman" w:eastAsia="宋体" w:cs="Times New Roman"/>
                <w:b/>
                <w:color w:val="000000" w:themeColor="text1"/>
                <w:spacing w:val="-2"/>
                <w14:textFill>
                  <w14:solidFill>
                    <w14:schemeClr w14:val="tx1"/>
                  </w14:solidFill>
                </w14:textFill>
              </w:rPr>
              <w:t>浓度</w:t>
            </w:r>
          </w:p>
          <w:p w14:paraId="3A0EF9B2">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color w:val="000000" w:themeColor="text1"/>
                <w:spacing w:val="-2"/>
                <w14:textFill>
                  <w14:solidFill>
                    <w14:schemeClr w14:val="tx1"/>
                  </w14:solidFill>
                </w14:textFill>
              </w:rPr>
              <w:t>(</w:t>
            </w:r>
            <w:r>
              <w:rPr>
                <w:rFonts w:hint="eastAsia" w:ascii="Times New Roman" w:hAnsi="Times New Roman" w:eastAsia="宋体" w:cs="Times New Roman"/>
                <w:b/>
                <w:color w:val="000000" w:themeColor="text1"/>
                <w:spacing w:val="-2"/>
                <w14:textFill>
                  <w14:solidFill>
                    <w14:schemeClr w14:val="tx1"/>
                  </w14:solidFill>
                </w14:textFill>
              </w:rPr>
              <w:t>m</w:t>
            </w:r>
            <w:r>
              <w:rPr>
                <w:rFonts w:ascii="Times New Roman" w:hAnsi="Times New Roman" w:eastAsia="宋体" w:cs="Times New Roman"/>
                <w:b/>
                <w:color w:val="000000" w:themeColor="text1"/>
                <w:spacing w:val="-2"/>
                <w14:textFill>
                  <w14:solidFill>
                    <w14:schemeClr w14:val="tx1"/>
                  </w14:solidFill>
                </w14:textFill>
              </w:rPr>
              <w:t>g/m</w:t>
            </w:r>
            <w:r>
              <w:rPr>
                <w:rFonts w:ascii="Times New Roman" w:hAnsi="Times New Roman" w:eastAsia="宋体" w:cs="Times New Roman"/>
                <w:b/>
                <w:color w:val="000000" w:themeColor="text1"/>
                <w:spacing w:val="-2"/>
                <w:vertAlign w:val="superscript"/>
                <w14:textFill>
                  <w14:solidFill>
                    <w14:schemeClr w14:val="tx1"/>
                  </w14:solidFill>
                </w14:textFill>
              </w:rPr>
              <w:t>3</w:t>
            </w:r>
            <w:r>
              <w:rPr>
                <w:rFonts w:ascii="Times New Roman" w:hAnsi="Times New Roman" w:eastAsia="宋体" w:cs="Times New Roman"/>
                <w:b/>
                <w:color w:val="000000" w:themeColor="text1"/>
                <w:spacing w:val="-2"/>
                <w14:textFill>
                  <w14:solidFill>
                    <w14:schemeClr w14:val="tx1"/>
                  </w14:solidFill>
                </w14:textFill>
              </w:rPr>
              <w:t>)</w:t>
            </w:r>
          </w:p>
        </w:tc>
        <w:tc>
          <w:tcPr>
            <w:tcW w:w="1457" w:type="dxa"/>
            <w:vAlign w:val="center"/>
          </w:tcPr>
          <w:p w14:paraId="6B8DFD73">
            <w:pPr>
              <w:adjustRightInd w:val="0"/>
              <w:snapToGrid w:val="0"/>
              <w:spacing w:after="0" w:line="240" w:lineRule="auto"/>
              <w:jc w:val="center"/>
              <w:rPr>
                <w:rFonts w:ascii="Times New Roman" w:hAnsi="Times New Roman" w:eastAsia="宋体" w:cs="Times New Roman"/>
                <w:b/>
                <w:color w:val="000000" w:themeColor="text1"/>
                <w:spacing w:val="-2"/>
                <w14:textFill>
                  <w14:solidFill>
                    <w14:schemeClr w14:val="tx1"/>
                  </w14:solidFill>
                </w14:textFill>
              </w:rPr>
            </w:pPr>
            <w:r>
              <w:rPr>
                <w:rFonts w:ascii="Times New Roman" w:hAnsi="Times New Roman" w:eastAsia="宋体" w:cs="Times New Roman"/>
                <w:b/>
                <w:color w:val="000000" w:themeColor="text1"/>
                <w:spacing w:val="-2"/>
                <w14:textFill>
                  <w14:solidFill>
                    <w14:schemeClr w14:val="tx1"/>
                  </w14:solidFill>
                </w14:textFill>
              </w:rPr>
              <w:t>最大地面浓度</w:t>
            </w:r>
          </w:p>
          <w:p w14:paraId="4141122C">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color w:val="000000" w:themeColor="text1"/>
                <w:spacing w:val="-2"/>
                <w14:textFill>
                  <w14:solidFill>
                    <w14:schemeClr w14:val="tx1"/>
                  </w14:solidFill>
                </w14:textFill>
              </w:rPr>
              <w:t>(</w:t>
            </w:r>
            <w:r>
              <w:rPr>
                <w:rFonts w:hint="eastAsia" w:ascii="Times New Roman" w:hAnsi="Times New Roman" w:eastAsia="宋体" w:cs="Times New Roman"/>
                <w:b/>
                <w:color w:val="000000" w:themeColor="text1"/>
                <w:spacing w:val="-2"/>
                <w14:textFill>
                  <w14:solidFill>
                    <w14:schemeClr w14:val="tx1"/>
                  </w14:solidFill>
                </w14:textFill>
              </w:rPr>
              <w:t>m</w:t>
            </w:r>
            <w:r>
              <w:rPr>
                <w:rFonts w:ascii="Times New Roman" w:hAnsi="Times New Roman" w:eastAsia="宋体" w:cs="Times New Roman"/>
                <w:b/>
                <w:color w:val="000000" w:themeColor="text1"/>
                <w:spacing w:val="-2"/>
                <w14:textFill>
                  <w14:solidFill>
                    <w14:schemeClr w14:val="tx1"/>
                  </w14:solidFill>
                </w14:textFill>
              </w:rPr>
              <w:t>g/m</w:t>
            </w:r>
            <w:r>
              <w:rPr>
                <w:rFonts w:ascii="Times New Roman" w:hAnsi="Times New Roman" w:eastAsia="宋体" w:cs="Times New Roman"/>
                <w:b/>
                <w:color w:val="000000" w:themeColor="text1"/>
                <w:spacing w:val="-2"/>
                <w:vertAlign w:val="superscript"/>
                <w14:textFill>
                  <w14:solidFill>
                    <w14:schemeClr w14:val="tx1"/>
                  </w14:solidFill>
                </w14:textFill>
              </w:rPr>
              <w:t>3</w:t>
            </w:r>
            <w:r>
              <w:rPr>
                <w:rFonts w:ascii="Times New Roman" w:hAnsi="Times New Roman" w:eastAsia="宋体" w:cs="Times New Roman"/>
                <w:b/>
                <w:color w:val="000000" w:themeColor="text1"/>
                <w:spacing w:val="-2"/>
                <w14:textFill>
                  <w14:solidFill>
                    <w14:schemeClr w14:val="tx1"/>
                  </w14:solidFill>
                </w14:textFill>
              </w:rPr>
              <w:t>)</w:t>
            </w:r>
          </w:p>
        </w:tc>
      </w:tr>
      <w:tr w14:paraId="5D3104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51" w:type="dxa"/>
            <w:vAlign w:val="center"/>
          </w:tcPr>
          <w:p w14:paraId="09831265">
            <w:pPr>
              <w:adjustRightInd w:val="0"/>
              <w:snapToGrid w:val="0"/>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1</w:t>
            </w:r>
          </w:p>
        </w:tc>
        <w:tc>
          <w:tcPr>
            <w:tcW w:w="1544" w:type="dxa"/>
            <w:vAlign w:val="center"/>
          </w:tcPr>
          <w:p w14:paraId="046569C3">
            <w:pPr>
              <w:adjustRightInd w:val="0"/>
              <w:snapToGrid w:val="0"/>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烘干炉</w:t>
            </w:r>
            <w:r>
              <w:rPr>
                <w:rFonts w:ascii="Times New Roman" w:hAnsi="Times New Roman" w:eastAsia="宋体" w:cs="Times New Roman"/>
                <w:color w:val="000000" w:themeColor="text1"/>
                <w:u w:val="single"/>
                <w14:textFill>
                  <w14:solidFill>
                    <w14:schemeClr w14:val="tx1"/>
                  </w14:solidFill>
                </w14:textFill>
              </w:rPr>
              <w:t>排气筒排放</w:t>
            </w:r>
          </w:p>
        </w:tc>
        <w:tc>
          <w:tcPr>
            <w:tcW w:w="1456" w:type="dxa"/>
            <w:tcBorders>
              <w:right w:val="single" w:color="auto" w:sz="4" w:space="0"/>
            </w:tcBorders>
            <w:vAlign w:val="center"/>
          </w:tcPr>
          <w:p w14:paraId="419712BD">
            <w:pPr>
              <w:adjustRightInd w:val="0"/>
              <w:snapToGrid w:val="0"/>
              <w:spacing w:after="0" w:line="240" w:lineRule="auto"/>
              <w:jc w:val="center"/>
              <w:rPr>
                <w:rFonts w:ascii="Times New Roman" w:hAnsi="Times New Roman" w:eastAsia="宋体" w:cs="Times New Roman"/>
                <w:color w:val="000000" w:themeColor="text1"/>
                <w:spacing w:val="-2"/>
                <w:u w:val="single"/>
                <w14:textFill>
                  <w14:solidFill>
                    <w14:schemeClr w14:val="tx1"/>
                  </w14:solidFill>
                </w14:textFill>
              </w:rPr>
            </w:pPr>
            <w:r>
              <w:rPr>
                <w:rFonts w:ascii="Times New Roman" w:hAnsi="Times New Roman" w:eastAsia="等线" w:cs="Times New Roman"/>
                <w:color w:val="000000" w:themeColor="text1"/>
                <w:u w:val="single"/>
                <w14:textFill>
                  <w14:solidFill>
                    <w14:schemeClr w14:val="tx1"/>
                  </w14:solidFill>
                </w14:textFill>
              </w:rPr>
              <w:t>3.5</w:t>
            </w:r>
          </w:p>
        </w:tc>
        <w:tc>
          <w:tcPr>
            <w:tcW w:w="1457" w:type="dxa"/>
            <w:tcBorders>
              <w:left w:val="single" w:color="auto" w:sz="4" w:space="0"/>
            </w:tcBorders>
            <w:vAlign w:val="center"/>
          </w:tcPr>
          <w:p w14:paraId="5BB6BFA4">
            <w:pPr>
              <w:adjustRightInd w:val="0"/>
              <w:snapToGrid w:val="0"/>
              <w:spacing w:after="0" w:line="240" w:lineRule="auto"/>
              <w:jc w:val="center"/>
              <w:rPr>
                <w:rFonts w:ascii="Times New Roman" w:hAnsi="Times New Roman" w:eastAsia="宋体" w:cs="Times New Roman"/>
                <w:color w:val="000000" w:themeColor="text1"/>
                <w:spacing w:val="-2"/>
                <w:u w:val="single"/>
                <w14:textFill>
                  <w14:solidFill>
                    <w14:schemeClr w14:val="tx1"/>
                  </w14:solidFill>
                </w14:textFill>
              </w:rPr>
            </w:pPr>
            <w:r>
              <w:rPr>
                <w:rFonts w:ascii="Times New Roman" w:hAnsi="Times New Roman" w:eastAsia="等线" w:cs="Times New Roman"/>
                <w:color w:val="000000" w:themeColor="text1"/>
                <w:u w:val="single"/>
                <w14:textFill>
                  <w14:solidFill>
                    <w14:schemeClr w14:val="tx1"/>
                  </w14:solidFill>
                </w14:textFill>
              </w:rPr>
              <w:t>0.000512</w:t>
            </w:r>
          </w:p>
        </w:tc>
        <w:tc>
          <w:tcPr>
            <w:tcW w:w="1457" w:type="dxa"/>
            <w:vAlign w:val="center"/>
          </w:tcPr>
          <w:p w14:paraId="0CE2CE66">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等线" w:cs="Times New Roman"/>
                <w:color w:val="000000" w:themeColor="text1"/>
                <w:u w:val="single"/>
                <w14:textFill>
                  <w14:solidFill>
                    <w14:schemeClr w14:val="tx1"/>
                  </w14:solidFill>
                </w14:textFill>
              </w:rPr>
              <w:t>0.0025</w:t>
            </w:r>
          </w:p>
        </w:tc>
        <w:tc>
          <w:tcPr>
            <w:tcW w:w="1457" w:type="dxa"/>
            <w:vAlign w:val="center"/>
          </w:tcPr>
          <w:p w14:paraId="7414CE08">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5.12×10</w:t>
            </w:r>
            <w:r>
              <w:rPr>
                <w:rFonts w:hint="eastAsia" w:ascii="Times New Roman" w:hAnsi="Times New Roman" w:eastAsia="宋体" w:cs="Times New Roman"/>
                <w:color w:val="000000" w:themeColor="text1"/>
                <w:u w:val="single"/>
                <w:vertAlign w:val="superscript"/>
                <w14:textFill>
                  <w14:solidFill>
                    <w14:schemeClr w14:val="tx1"/>
                  </w14:solidFill>
                </w14:textFill>
              </w:rPr>
              <w:t>-7</w:t>
            </w:r>
          </w:p>
        </w:tc>
      </w:tr>
      <w:tr w14:paraId="199F04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51" w:type="dxa"/>
            <w:vAlign w:val="center"/>
          </w:tcPr>
          <w:p w14:paraId="15402F21">
            <w:pPr>
              <w:adjustRightInd w:val="0"/>
              <w:snapToGrid w:val="0"/>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2</w:t>
            </w:r>
          </w:p>
        </w:tc>
        <w:tc>
          <w:tcPr>
            <w:tcW w:w="1544" w:type="dxa"/>
            <w:vAlign w:val="center"/>
          </w:tcPr>
          <w:p w14:paraId="5A5CC9EC">
            <w:pPr>
              <w:adjustRightInd w:val="0"/>
              <w:snapToGrid w:val="0"/>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1#</w:t>
            </w:r>
            <w:r>
              <w:rPr>
                <w:rFonts w:ascii="Times New Roman" w:hAnsi="Times New Roman" w:eastAsia="宋体" w:cs="Times New Roman"/>
                <w:color w:val="000000" w:themeColor="text1"/>
                <w:u w:val="single"/>
                <w14:textFill>
                  <w14:solidFill>
                    <w14:schemeClr w14:val="tx1"/>
                  </w14:solidFill>
                </w14:textFill>
              </w:rPr>
              <w:t>车间粉尘排气筒排放</w:t>
            </w:r>
          </w:p>
        </w:tc>
        <w:tc>
          <w:tcPr>
            <w:tcW w:w="1456" w:type="dxa"/>
            <w:tcBorders>
              <w:right w:val="single" w:color="auto" w:sz="4" w:space="0"/>
            </w:tcBorders>
            <w:vAlign w:val="center"/>
          </w:tcPr>
          <w:p w14:paraId="34BB40C5">
            <w:pPr>
              <w:adjustRightInd w:val="0"/>
              <w:snapToGrid w:val="0"/>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等线" w:cs="Times New Roman"/>
                <w:color w:val="000000" w:themeColor="text1"/>
                <w:u w:val="single"/>
                <w14:textFill>
                  <w14:solidFill>
                    <w14:schemeClr w14:val="tx1"/>
                  </w14:solidFill>
                </w14:textFill>
              </w:rPr>
              <w:t>0.16</w:t>
            </w:r>
          </w:p>
        </w:tc>
        <w:tc>
          <w:tcPr>
            <w:tcW w:w="1457" w:type="dxa"/>
            <w:tcBorders>
              <w:left w:val="single" w:color="auto" w:sz="4" w:space="0"/>
            </w:tcBorders>
            <w:vAlign w:val="center"/>
          </w:tcPr>
          <w:p w14:paraId="0EB09DD6">
            <w:pPr>
              <w:adjustRightInd w:val="0"/>
              <w:snapToGrid w:val="0"/>
              <w:spacing w:after="0" w:line="240" w:lineRule="auto"/>
              <w:jc w:val="center"/>
              <w:rPr>
                <w:rFonts w:ascii="Times New Roman" w:hAnsi="Times New Roman" w:eastAsia="等线" w:cs="Times New Roman"/>
                <w:color w:val="000000" w:themeColor="text1"/>
                <w:u w:val="single"/>
                <w14:textFill>
                  <w14:solidFill>
                    <w14:schemeClr w14:val="tx1"/>
                  </w14:solidFill>
                </w14:textFill>
              </w:rPr>
            </w:pPr>
            <w:r>
              <w:rPr>
                <w:rFonts w:ascii="Times New Roman" w:hAnsi="Times New Roman" w:eastAsia="等线" w:cs="Times New Roman"/>
                <w:color w:val="000000" w:themeColor="text1"/>
                <w:u w:val="single"/>
                <w14:textFill>
                  <w14:solidFill>
                    <w14:schemeClr w14:val="tx1"/>
                  </w14:solidFill>
                </w14:textFill>
              </w:rPr>
              <w:t>0.000095</w:t>
            </w:r>
          </w:p>
        </w:tc>
        <w:tc>
          <w:tcPr>
            <w:tcW w:w="1457" w:type="dxa"/>
            <w:vAlign w:val="center"/>
          </w:tcPr>
          <w:p w14:paraId="28A3CD2C">
            <w:pPr>
              <w:spacing w:after="0" w:line="240" w:lineRule="auto"/>
              <w:jc w:val="center"/>
              <w:rPr>
                <w:rFonts w:ascii="Times New Roman" w:hAnsi="Times New Roman" w:eastAsia="等线" w:cs="Times New Roman"/>
                <w:color w:val="000000" w:themeColor="text1"/>
                <w:u w:val="single"/>
                <w14:textFill>
                  <w14:solidFill>
                    <w14:schemeClr w14:val="tx1"/>
                  </w14:solidFill>
                </w14:textFill>
              </w:rPr>
            </w:pPr>
            <w:r>
              <w:rPr>
                <w:rFonts w:ascii="Times New Roman" w:hAnsi="Times New Roman" w:eastAsia="等线" w:cs="Times New Roman"/>
                <w:color w:val="000000" w:themeColor="text1"/>
                <w:u w:val="single"/>
                <w14:textFill>
                  <w14:solidFill>
                    <w14:schemeClr w14:val="tx1"/>
                  </w14:solidFill>
                </w14:textFill>
              </w:rPr>
              <w:t>0.0001</w:t>
            </w:r>
          </w:p>
        </w:tc>
        <w:tc>
          <w:tcPr>
            <w:tcW w:w="1457" w:type="dxa"/>
            <w:vAlign w:val="center"/>
          </w:tcPr>
          <w:p w14:paraId="2F02CDD4">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9.53×10</w:t>
            </w:r>
            <w:r>
              <w:rPr>
                <w:rFonts w:hint="eastAsia" w:ascii="Times New Roman" w:hAnsi="Times New Roman" w:eastAsia="宋体" w:cs="Times New Roman"/>
                <w:color w:val="000000" w:themeColor="text1"/>
                <w:u w:val="single"/>
                <w:vertAlign w:val="superscript"/>
                <w14:textFill>
                  <w14:solidFill>
                    <w14:schemeClr w14:val="tx1"/>
                  </w14:solidFill>
                </w14:textFill>
              </w:rPr>
              <w:t>-8</w:t>
            </w:r>
          </w:p>
        </w:tc>
      </w:tr>
      <w:tr w14:paraId="6DBDE0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51" w:type="dxa"/>
            <w:vAlign w:val="center"/>
          </w:tcPr>
          <w:p w14:paraId="3C93705E">
            <w:pPr>
              <w:adjustRightInd w:val="0"/>
              <w:snapToGrid w:val="0"/>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3</w:t>
            </w:r>
          </w:p>
        </w:tc>
        <w:tc>
          <w:tcPr>
            <w:tcW w:w="1544" w:type="dxa"/>
            <w:vAlign w:val="center"/>
          </w:tcPr>
          <w:p w14:paraId="7F4A8BD4">
            <w:pPr>
              <w:adjustRightInd w:val="0"/>
              <w:snapToGrid w:val="0"/>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2#</w:t>
            </w:r>
            <w:r>
              <w:rPr>
                <w:rFonts w:ascii="Times New Roman" w:hAnsi="Times New Roman" w:eastAsia="宋体" w:cs="Times New Roman"/>
                <w:color w:val="000000" w:themeColor="text1"/>
                <w:u w:val="single"/>
                <w14:textFill>
                  <w14:solidFill>
                    <w14:schemeClr w14:val="tx1"/>
                  </w14:solidFill>
                </w14:textFill>
              </w:rPr>
              <w:t>车间粉尘排气筒排放</w:t>
            </w:r>
          </w:p>
        </w:tc>
        <w:tc>
          <w:tcPr>
            <w:tcW w:w="1456" w:type="dxa"/>
            <w:tcBorders>
              <w:right w:val="single" w:color="auto" w:sz="4" w:space="0"/>
            </w:tcBorders>
            <w:vAlign w:val="center"/>
          </w:tcPr>
          <w:p w14:paraId="69E3415E">
            <w:pPr>
              <w:adjustRightInd w:val="0"/>
              <w:snapToGrid w:val="0"/>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等线" w:cs="Times New Roman"/>
                <w:color w:val="000000" w:themeColor="text1"/>
                <w:u w:val="single"/>
                <w14:textFill>
                  <w14:solidFill>
                    <w14:schemeClr w14:val="tx1"/>
                  </w14:solidFill>
                </w14:textFill>
              </w:rPr>
              <w:t>0.21</w:t>
            </w:r>
          </w:p>
        </w:tc>
        <w:tc>
          <w:tcPr>
            <w:tcW w:w="1457" w:type="dxa"/>
            <w:tcBorders>
              <w:left w:val="single" w:color="auto" w:sz="4" w:space="0"/>
            </w:tcBorders>
            <w:vAlign w:val="center"/>
          </w:tcPr>
          <w:p w14:paraId="4E4FAF01">
            <w:pPr>
              <w:adjustRightInd w:val="0"/>
              <w:snapToGrid w:val="0"/>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等线" w:cs="Times New Roman"/>
                <w:color w:val="000000" w:themeColor="text1"/>
                <w:u w:val="single"/>
                <w14:textFill>
                  <w14:solidFill>
                    <w14:schemeClr w14:val="tx1"/>
                  </w14:solidFill>
                </w14:textFill>
              </w:rPr>
              <w:t>0.000125</w:t>
            </w:r>
          </w:p>
        </w:tc>
        <w:tc>
          <w:tcPr>
            <w:tcW w:w="1457" w:type="dxa"/>
            <w:vAlign w:val="center"/>
          </w:tcPr>
          <w:p w14:paraId="61F99CDE">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等线" w:cs="Times New Roman"/>
                <w:color w:val="000000" w:themeColor="text1"/>
                <w:u w:val="single"/>
                <w14:textFill>
                  <w14:solidFill>
                    <w14:schemeClr w14:val="tx1"/>
                  </w14:solidFill>
                </w14:textFill>
              </w:rPr>
              <w:t>0.0001</w:t>
            </w:r>
          </w:p>
        </w:tc>
        <w:tc>
          <w:tcPr>
            <w:tcW w:w="1457" w:type="dxa"/>
            <w:vAlign w:val="center"/>
          </w:tcPr>
          <w:p w14:paraId="4003D2E1">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1.25×10</w:t>
            </w:r>
            <w:r>
              <w:rPr>
                <w:rFonts w:hint="eastAsia" w:ascii="Times New Roman" w:hAnsi="Times New Roman" w:eastAsia="宋体" w:cs="Times New Roman"/>
                <w:color w:val="000000" w:themeColor="text1"/>
                <w:u w:val="single"/>
                <w:vertAlign w:val="superscript"/>
                <w14:textFill>
                  <w14:solidFill>
                    <w14:schemeClr w14:val="tx1"/>
                  </w14:solidFill>
                </w14:textFill>
              </w:rPr>
              <w:t>-8</w:t>
            </w:r>
          </w:p>
        </w:tc>
      </w:tr>
      <w:tr w14:paraId="5CC661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51" w:type="dxa"/>
            <w:vAlign w:val="center"/>
          </w:tcPr>
          <w:p w14:paraId="285E25C6">
            <w:pPr>
              <w:adjustRightInd w:val="0"/>
              <w:snapToGrid w:val="0"/>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4</w:t>
            </w:r>
          </w:p>
        </w:tc>
        <w:tc>
          <w:tcPr>
            <w:tcW w:w="1544" w:type="dxa"/>
            <w:vAlign w:val="center"/>
          </w:tcPr>
          <w:p w14:paraId="3EDBEED4">
            <w:pPr>
              <w:adjustRightInd w:val="0"/>
              <w:snapToGrid w:val="0"/>
              <w:spacing w:after="0" w:line="240" w:lineRule="auto"/>
              <w:jc w:val="center"/>
              <w:rPr>
                <w:rFonts w:ascii="Times New Roman" w:hAnsi="Times New Roman" w:eastAsia="宋体" w:cs="Times New Roman"/>
                <w:color w:val="000000" w:themeColor="text1"/>
                <w:spacing w:val="-2"/>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车间粉尘无组织排放</w:t>
            </w:r>
          </w:p>
        </w:tc>
        <w:tc>
          <w:tcPr>
            <w:tcW w:w="1456" w:type="dxa"/>
            <w:tcBorders>
              <w:right w:val="single" w:color="auto" w:sz="4" w:space="0"/>
            </w:tcBorders>
            <w:vAlign w:val="center"/>
          </w:tcPr>
          <w:p w14:paraId="166602F3">
            <w:pPr>
              <w:adjustRightInd w:val="0"/>
              <w:snapToGrid w:val="0"/>
              <w:spacing w:after="0" w:line="240" w:lineRule="auto"/>
              <w:jc w:val="center"/>
              <w:rPr>
                <w:rFonts w:ascii="Times New Roman" w:hAnsi="Times New Roman" w:eastAsia="宋体" w:cs="Times New Roman"/>
                <w:color w:val="000000" w:themeColor="text1"/>
                <w:spacing w:val="-2"/>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w:t>
            </w:r>
          </w:p>
        </w:tc>
        <w:tc>
          <w:tcPr>
            <w:tcW w:w="1457" w:type="dxa"/>
            <w:tcBorders>
              <w:left w:val="single" w:color="auto" w:sz="4" w:space="0"/>
            </w:tcBorders>
            <w:vAlign w:val="center"/>
          </w:tcPr>
          <w:p w14:paraId="628BE623">
            <w:pPr>
              <w:adjustRightInd w:val="0"/>
              <w:snapToGrid w:val="0"/>
              <w:spacing w:after="0" w:line="240" w:lineRule="auto"/>
              <w:jc w:val="center"/>
              <w:rPr>
                <w:rFonts w:ascii="Times New Roman" w:hAnsi="Times New Roman" w:eastAsia="宋体" w:cs="Times New Roman"/>
                <w:color w:val="000000" w:themeColor="text1"/>
                <w:spacing w:val="-2"/>
                <w:u w:val="single"/>
                <w14:textFill>
                  <w14:solidFill>
                    <w14:schemeClr w14:val="tx1"/>
                  </w14:solidFill>
                </w14:textFill>
              </w:rPr>
            </w:pPr>
            <w:r>
              <w:rPr>
                <w:rFonts w:ascii="Times New Roman" w:hAnsi="Times New Roman" w:eastAsia="等线" w:cs="Times New Roman"/>
                <w:color w:val="000000" w:themeColor="text1"/>
                <w:u w:val="single"/>
                <w14:textFill>
                  <w14:solidFill>
                    <w14:schemeClr w14:val="tx1"/>
                  </w14:solidFill>
                </w14:textFill>
              </w:rPr>
              <w:t>0.083524</w:t>
            </w:r>
          </w:p>
        </w:tc>
        <w:tc>
          <w:tcPr>
            <w:tcW w:w="1457" w:type="dxa"/>
            <w:vAlign w:val="center"/>
          </w:tcPr>
          <w:p w14:paraId="2C08BFF5">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w:t>
            </w:r>
          </w:p>
        </w:tc>
        <w:tc>
          <w:tcPr>
            <w:tcW w:w="1457" w:type="dxa"/>
            <w:vAlign w:val="center"/>
          </w:tcPr>
          <w:p w14:paraId="66B8DB6A">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8.35×10</w:t>
            </w:r>
            <w:r>
              <w:rPr>
                <w:rFonts w:hint="eastAsia" w:ascii="Times New Roman" w:hAnsi="Times New Roman" w:eastAsia="宋体" w:cs="Times New Roman"/>
                <w:color w:val="000000" w:themeColor="text1"/>
                <w:u w:val="single"/>
                <w:vertAlign w:val="superscript"/>
                <w14:textFill>
                  <w14:solidFill>
                    <w14:schemeClr w14:val="tx1"/>
                  </w14:solidFill>
                </w14:textFill>
              </w:rPr>
              <w:t>-5</w:t>
            </w:r>
          </w:p>
        </w:tc>
      </w:tr>
      <w:tr w14:paraId="4865A1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95" w:type="dxa"/>
            <w:gridSpan w:val="2"/>
            <w:vAlign w:val="center"/>
          </w:tcPr>
          <w:p w14:paraId="418FA11D">
            <w:pPr>
              <w:adjustRightInd w:val="0"/>
              <w:snapToGrid w:val="0"/>
              <w:spacing w:after="0" w:line="240" w:lineRule="auto"/>
              <w:jc w:val="center"/>
              <w:rPr>
                <w:rFonts w:ascii="Times New Roman" w:hAnsi="Times New Roman" w:eastAsia="宋体" w:cs="Times New Roman"/>
                <w:color w:val="000000" w:themeColor="text1"/>
                <w:spacing w:val="-2"/>
                <w:u w:val="single"/>
                <w14:textFill>
                  <w14:solidFill>
                    <w14:schemeClr w14:val="tx1"/>
                  </w14:solidFill>
                </w14:textFill>
              </w:rPr>
            </w:pPr>
            <w:r>
              <w:rPr>
                <w:rFonts w:hint="eastAsia" w:ascii="Times New Roman" w:hAnsi="Times New Roman" w:eastAsia="宋体" w:cs="Times New Roman"/>
                <w:color w:val="000000" w:themeColor="text1"/>
                <w:spacing w:val="-2"/>
                <w:u w:val="single"/>
                <w14:textFill>
                  <w14:solidFill>
                    <w14:schemeClr w14:val="tx1"/>
                  </w14:solidFill>
                </w14:textFill>
              </w:rPr>
              <w:t>叠加值</w:t>
            </w:r>
          </w:p>
        </w:tc>
        <w:tc>
          <w:tcPr>
            <w:tcW w:w="1456" w:type="dxa"/>
            <w:tcBorders>
              <w:right w:val="single" w:color="auto" w:sz="4" w:space="0"/>
            </w:tcBorders>
            <w:vAlign w:val="center"/>
          </w:tcPr>
          <w:p w14:paraId="3E249CB8">
            <w:pPr>
              <w:adjustRightInd w:val="0"/>
              <w:snapToGrid w:val="0"/>
              <w:spacing w:after="0" w:line="240" w:lineRule="auto"/>
              <w:jc w:val="center"/>
              <w:rPr>
                <w:rFonts w:ascii="Times New Roman" w:hAnsi="Times New Roman" w:eastAsia="宋体" w:cs="Times New Roman"/>
                <w:color w:val="000000" w:themeColor="text1"/>
                <w:spacing w:val="-2"/>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w:t>
            </w:r>
          </w:p>
        </w:tc>
        <w:tc>
          <w:tcPr>
            <w:tcW w:w="1457" w:type="dxa"/>
            <w:tcBorders>
              <w:left w:val="single" w:color="auto" w:sz="4" w:space="0"/>
            </w:tcBorders>
            <w:vAlign w:val="center"/>
          </w:tcPr>
          <w:p w14:paraId="1D9D07C0">
            <w:pPr>
              <w:spacing w:after="0" w:line="240" w:lineRule="auto"/>
              <w:jc w:val="center"/>
              <w:rPr>
                <w:rFonts w:ascii="Times New Roman" w:hAnsi="Times New Roman" w:eastAsia="宋体" w:cs="Times New Roman"/>
                <w:color w:val="000000" w:themeColor="text1"/>
                <w:spacing w:val="-2"/>
                <w:u w:val="single"/>
                <w14:textFill>
                  <w14:solidFill>
                    <w14:schemeClr w14:val="tx1"/>
                  </w14:solidFill>
                </w14:textFill>
              </w:rPr>
            </w:pPr>
            <w:r>
              <w:rPr>
                <w:rFonts w:hint="eastAsia" w:ascii="Times New Roman" w:hAnsi="Times New Roman" w:eastAsia="等线" w:cs="Times New Roman"/>
                <w:color w:val="000000" w:themeColor="text1"/>
                <w:u w:val="single"/>
                <w14:textFill>
                  <w14:solidFill>
                    <w14:schemeClr w14:val="tx1"/>
                  </w14:solidFill>
                </w14:textFill>
              </w:rPr>
              <w:t>0.0842560</w:t>
            </w:r>
          </w:p>
        </w:tc>
        <w:tc>
          <w:tcPr>
            <w:tcW w:w="1457" w:type="dxa"/>
            <w:vAlign w:val="center"/>
          </w:tcPr>
          <w:p w14:paraId="2C3F207A">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w:t>
            </w:r>
          </w:p>
        </w:tc>
        <w:tc>
          <w:tcPr>
            <w:tcW w:w="1457" w:type="dxa"/>
            <w:vAlign w:val="center"/>
          </w:tcPr>
          <w:p w14:paraId="0CCDA5FD">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8.43×10</w:t>
            </w:r>
            <w:r>
              <w:rPr>
                <w:rFonts w:hint="eastAsia" w:ascii="Times New Roman" w:hAnsi="Times New Roman" w:eastAsia="宋体" w:cs="Times New Roman"/>
                <w:color w:val="000000" w:themeColor="text1"/>
                <w:u w:val="single"/>
                <w:vertAlign w:val="superscript"/>
                <w14:textFill>
                  <w14:solidFill>
                    <w14:schemeClr w14:val="tx1"/>
                  </w14:solidFill>
                </w14:textFill>
              </w:rPr>
              <w:t>-5</w:t>
            </w:r>
          </w:p>
        </w:tc>
      </w:tr>
    </w:tbl>
    <w:p w14:paraId="7DE5BD2C">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p>
    <w:p w14:paraId="71974228">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u w:val="single"/>
          <w14:textFill>
            <w14:solidFill>
              <w14:schemeClr w14:val="tx1"/>
            </w14:solidFill>
          </w14:textFill>
        </w:rPr>
      </w:pPr>
      <w:r>
        <w:rPr>
          <w:rFonts w:ascii="Times New Roman" w:hAnsi="Times New Roman" w:eastAsia="宋体" w:cs="Times New Roman"/>
          <w:color w:val="000000" w:themeColor="text1"/>
          <w:spacing w:val="-2"/>
          <w:sz w:val="24"/>
          <w:szCs w:val="20"/>
          <w:u w:val="single"/>
          <w14:textFill>
            <w14:solidFill>
              <w14:schemeClr w14:val="tx1"/>
            </w14:solidFill>
          </w14:textFill>
        </w:rPr>
        <w:t>从表2.</w:t>
      </w:r>
      <w:r>
        <w:rPr>
          <w:rFonts w:hint="eastAsia" w:ascii="Times New Roman" w:hAnsi="Times New Roman" w:eastAsia="宋体" w:cs="Times New Roman"/>
          <w:color w:val="000000" w:themeColor="text1"/>
          <w:spacing w:val="-2"/>
          <w:sz w:val="24"/>
          <w:szCs w:val="20"/>
          <w:u w:val="single"/>
          <w14:textFill>
            <w14:solidFill>
              <w14:schemeClr w14:val="tx1"/>
            </w14:solidFill>
          </w14:textFill>
        </w:rPr>
        <w:t>2</w:t>
      </w:r>
      <w:r>
        <w:rPr>
          <w:rFonts w:ascii="Times New Roman" w:hAnsi="Times New Roman" w:eastAsia="宋体" w:cs="Times New Roman"/>
          <w:color w:val="000000" w:themeColor="text1"/>
          <w:spacing w:val="-2"/>
          <w:sz w:val="24"/>
          <w:szCs w:val="20"/>
          <w:u w:val="single"/>
          <w14:textFill>
            <w14:solidFill>
              <w14:schemeClr w14:val="tx1"/>
            </w14:solidFill>
          </w14:textFill>
        </w:rPr>
        <w:fldChar w:fldCharType="begin"/>
      </w:r>
      <w:r>
        <w:rPr>
          <w:rFonts w:ascii="Times New Roman" w:hAnsi="Times New Roman" w:eastAsia="宋体" w:cs="Times New Roman"/>
          <w:color w:val="000000" w:themeColor="text1"/>
          <w:spacing w:val="-2"/>
          <w:sz w:val="24"/>
          <w:szCs w:val="20"/>
          <w:u w:val="single"/>
          <w14:textFill>
            <w14:solidFill>
              <w14:schemeClr w14:val="tx1"/>
            </w14:solidFill>
          </w14:textFill>
        </w:rPr>
        <w:instrText xml:space="preserve"> STYLEREF 2 \s </w:instrText>
      </w:r>
      <w:r>
        <w:rPr>
          <w:rFonts w:ascii="Times New Roman" w:hAnsi="Times New Roman" w:eastAsia="宋体" w:cs="Times New Roman"/>
          <w:color w:val="000000" w:themeColor="text1"/>
          <w:spacing w:val="-2"/>
          <w:sz w:val="24"/>
          <w:szCs w:val="20"/>
          <w:u w:val="single"/>
          <w14:textFill>
            <w14:solidFill>
              <w14:schemeClr w14:val="tx1"/>
            </w14:solidFill>
          </w14:textFill>
        </w:rPr>
        <w:fldChar w:fldCharType="separate"/>
      </w:r>
      <w:r>
        <w:rPr>
          <w:rFonts w:ascii="Times New Roman" w:hAnsi="Times New Roman" w:eastAsia="宋体" w:cs="Times New Roman"/>
          <w:color w:val="000000" w:themeColor="text1"/>
          <w:spacing w:val="-2"/>
          <w:sz w:val="24"/>
          <w:szCs w:val="20"/>
          <w:u w:val="single"/>
          <w14:textFill>
            <w14:solidFill>
              <w14:schemeClr w14:val="tx1"/>
            </w14:solidFill>
          </w14:textFill>
        </w:rPr>
        <w:t>2.2</w:t>
      </w:r>
      <w:r>
        <w:rPr>
          <w:rFonts w:ascii="Times New Roman" w:hAnsi="Times New Roman" w:eastAsia="宋体" w:cs="Times New Roman"/>
          <w:color w:val="000000" w:themeColor="text1"/>
          <w:spacing w:val="-2"/>
          <w:sz w:val="24"/>
          <w:szCs w:val="20"/>
          <w:u w:val="single"/>
          <w14:textFill>
            <w14:solidFill>
              <w14:schemeClr w14:val="tx1"/>
            </w14:solidFill>
          </w14:textFill>
        </w:rPr>
        <w:fldChar w:fldCharType="end"/>
      </w:r>
      <w:r>
        <w:rPr>
          <w:rFonts w:ascii="Times New Roman" w:hAnsi="Times New Roman" w:eastAsia="宋体" w:cs="Times New Roman"/>
          <w:color w:val="000000" w:themeColor="text1"/>
          <w:spacing w:val="-2"/>
          <w:sz w:val="24"/>
          <w:szCs w:val="20"/>
          <w:u w:val="single"/>
          <w14:textFill>
            <w14:solidFill>
              <w14:schemeClr w14:val="tx1"/>
            </w14:solidFill>
          </w14:textFill>
        </w:rPr>
        <w:noBreakHyphen/>
      </w:r>
      <w:r>
        <w:rPr>
          <w:rFonts w:hint="eastAsia" w:ascii="Times New Roman" w:hAnsi="Times New Roman" w:eastAsia="宋体" w:cs="Times New Roman"/>
          <w:color w:val="000000" w:themeColor="text1"/>
          <w:spacing w:val="-2"/>
          <w:sz w:val="24"/>
          <w:szCs w:val="20"/>
          <w:u w:val="single"/>
          <w14:textFill>
            <w14:solidFill>
              <w14:schemeClr w14:val="tx1"/>
            </w14:solidFill>
          </w14:textFill>
        </w:rPr>
        <w:t>7</w:t>
      </w:r>
      <w:r>
        <w:rPr>
          <w:rFonts w:ascii="Times New Roman" w:hAnsi="Times New Roman" w:eastAsia="宋体" w:cs="Times New Roman"/>
          <w:color w:val="000000" w:themeColor="text1"/>
          <w:spacing w:val="-2"/>
          <w:sz w:val="24"/>
          <w:szCs w:val="20"/>
          <w:u w:val="single"/>
          <w14:textFill>
            <w14:solidFill>
              <w14:schemeClr w14:val="tx1"/>
            </w14:solidFill>
          </w14:textFill>
        </w:rPr>
        <w:t>估算结果可知，</w:t>
      </w:r>
      <w:r>
        <w:rPr>
          <w:rFonts w:hint="eastAsia" w:ascii="Times New Roman" w:hAnsi="Times New Roman" w:eastAsia="宋体" w:cs="Times New Roman"/>
          <w:color w:val="000000" w:themeColor="text1"/>
          <w:spacing w:val="-2"/>
          <w:sz w:val="24"/>
          <w:szCs w:val="20"/>
          <w:u w:val="single"/>
          <w14:textFill>
            <w14:solidFill>
              <w14:schemeClr w14:val="tx1"/>
            </w14:solidFill>
          </w14:textFill>
        </w:rPr>
        <w:t>项目烘干炉、车间2个粉尘排气筒排放的铀、钍总量的浓度分别为0.0003mg/m</w:t>
      </w:r>
      <w:r>
        <w:rPr>
          <w:rFonts w:hint="eastAsia" w:ascii="Times New Roman" w:hAnsi="Times New Roman" w:eastAsia="宋体" w:cs="Times New Roman"/>
          <w:color w:val="000000" w:themeColor="text1"/>
          <w:spacing w:val="-2"/>
          <w:sz w:val="24"/>
          <w:szCs w:val="20"/>
          <w:u w:val="single"/>
          <w:vertAlign w:val="superscript"/>
          <w14:textFill>
            <w14:solidFill>
              <w14:schemeClr w14:val="tx1"/>
            </w14:solidFill>
          </w14:textFill>
        </w:rPr>
        <w:t>3</w:t>
      </w:r>
      <w:r>
        <w:rPr>
          <w:rFonts w:hint="eastAsia" w:ascii="Times New Roman" w:hAnsi="Times New Roman" w:eastAsia="宋体" w:cs="Times New Roman"/>
          <w:color w:val="000000" w:themeColor="text1"/>
          <w:spacing w:val="-2"/>
          <w:sz w:val="24"/>
          <w:szCs w:val="20"/>
          <w:u w:val="single"/>
          <w14:textFill>
            <w14:solidFill>
              <w14:schemeClr w14:val="tx1"/>
            </w14:solidFill>
          </w14:textFill>
        </w:rPr>
        <w:t>、0.0001mg/m</w:t>
      </w:r>
      <w:r>
        <w:rPr>
          <w:rFonts w:hint="eastAsia" w:ascii="Times New Roman" w:hAnsi="Times New Roman" w:eastAsia="宋体" w:cs="Times New Roman"/>
          <w:color w:val="000000" w:themeColor="text1"/>
          <w:spacing w:val="-2"/>
          <w:sz w:val="24"/>
          <w:szCs w:val="20"/>
          <w:u w:val="single"/>
          <w:vertAlign w:val="superscript"/>
          <w14:textFill>
            <w14:solidFill>
              <w14:schemeClr w14:val="tx1"/>
            </w14:solidFill>
          </w14:textFill>
        </w:rPr>
        <w:t>3</w:t>
      </w:r>
      <w:r>
        <w:rPr>
          <w:rFonts w:hint="eastAsia" w:ascii="Times New Roman" w:hAnsi="Times New Roman" w:eastAsia="宋体" w:cs="Times New Roman"/>
          <w:color w:val="000000" w:themeColor="text1"/>
          <w:spacing w:val="-2"/>
          <w:sz w:val="24"/>
          <w:szCs w:val="20"/>
          <w:u w:val="single"/>
          <w14:textFill>
            <w14:solidFill>
              <w14:schemeClr w14:val="tx1"/>
            </w14:solidFill>
          </w14:textFill>
        </w:rPr>
        <w:t>、0.0001mg/m</w:t>
      </w:r>
      <w:r>
        <w:rPr>
          <w:rFonts w:hint="eastAsia" w:ascii="Times New Roman" w:hAnsi="Times New Roman" w:eastAsia="宋体" w:cs="Times New Roman"/>
          <w:color w:val="000000" w:themeColor="text1"/>
          <w:spacing w:val="-2"/>
          <w:sz w:val="24"/>
          <w:szCs w:val="20"/>
          <w:u w:val="single"/>
          <w:vertAlign w:val="superscript"/>
          <w14:textFill>
            <w14:solidFill>
              <w14:schemeClr w14:val="tx1"/>
            </w14:solidFill>
          </w14:textFill>
        </w:rPr>
        <w:t>3</w:t>
      </w:r>
      <w:r>
        <w:rPr>
          <w:rFonts w:hint="eastAsia" w:ascii="Times New Roman" w:hAnsi="Times New Roman" w:eastAsia="宋体" w:cs="Times New Roman"/>
          <w:color w:val="000000" w:themeColor="text1"/>
          <w:spacing w:val="-2"/>
          <w:sz w:val="24"/>
          <w:szCs w:val="20"/>
          <w:u w:val="single"/>
          <w14:textFill>
            <w14:solidFill>
              <w14:schemeClr w14:val="tx1"/>
            </w14:solidFill>
          </w14:textFill>
        </w:rPr>
        <w:t>，小于</w:t>
      </w:r>
      <w:r>
        <w:rPr>
          <w:rFonts w:ascii="Times New Roman" w:hAnsi="Times New Roman" w:eastAsia="宋体" w:cs="Times New Roman"/>
          <w:color w:val="000000" w:themeColor="text1"/>
          <w:spacing w:val="-2"/>
          <w:sz w:val="24"/>
          <w:szCs w:val="20"/>
          <w:u w:val="single"/>
          <w14:textFill>
            <w14:solidFill>
              <w14:schemeClr w14:val="tx1"/>
            </w14:solidFill>
          </w14:textFill>
        </w:rPr>
        <w:t>《稀土工业污染物排放标准》（GB26451-2011）</w:t>
      </w:r>
      <w:r>
        <w:rPr>
          <w:rFonts w:hint="eastAsia" w:ascii="Times New Roman" w:hAnsi="Times New Roman" w:eastAsia="宋体" w:cs="Times New Roman"/>
          <w:color w:val="000000" w:themeColor="text1"/>
          <w:spacing w:val="-2"/>
          <w:sz w:val="24"/>
          <w:szCs w:val="20"/>
          <w:u w:val="single"/>
          <w14:textFill>
            <w14:solidFill>
              <w14:schemeClr w14:val="tx1"/>
            </w14:solidFill>
          </w14:textFill>
        </w:rPr>
        <w:t>修改单表1中车间或生产设施排气筒的</w:t>
      </w:r>
      <w:r>
        <w:rPr>
          <w:rFonts w:ascii="Times New Roman" w:hAnsi="Times New Roman" w:eastAsia="宋体" w:cs="Times New Roman"/>
          <w:color w:val="000000" w:themeColor="text1"/>
          <w:spacing w:val="-2"/>
          <w:sz w:val="24"/>
          <w:szCs w:val="20"/>
          <w:u w:val="single"/>
          <w14:textFill>
            <w14:solidFill>
              <w14:schemeClr w14:val="tx1"/>
            </w14:solidFill>
          </w14:textFill>
        </w:rPr>
        <w:t>铀、钍总量排放浓度</w:t>
      </w:r>
      <w:r>
        <w:rPr>
          <w:rFonts w:hint="eastAsia" w:ascii="Times New Roman" w:hAnsi="Times New Roman" w:eastAsia="宋体" w:cs="Times New Roman"/>
          <w:color w:val="000000" w:themeColor="text1"/>
          <w:spacing w:val="-2"/>
          <w:sz w:val="24"/>
          <w:szCs w:val="20"/>
          <w:u w:val="single"/>
          <w14:textFill>
            <w14:solidFill>
              <w14:schemeClr w14:val="tx1"/>
            </w14:solidFill>
          </w14:textFill>
        </w:rPr>
        <w:t>限制0.10mg/m</w:t>
      </w:r>
      <w:r>
        <w:rPr>
          <w:rFonts w:hint="eastAsia" w:ascii="Times New Roman" w:hAnsi="Times New Roman" w:eastAsia="宋体" w:cs="Times New Roman"/>
          <w:color w:val="000000" w:themeColor="text1"/>
          <w:spacing w:val="-2"/>
          <w:sz w:val="24"/>
          <w:szCs w:val="20"/>
          <w:u w:val="single"/>
          <w:vertAlign w:val="superscript"/>
          <w14:textFill>
            <w14:solidFill>
              <w14:schemeClr w14:val="tx1"/>
            </w14:solidFill>
          </w14:textFill>
        </w:rPr>
        <w:t>3</w:t>
      </w:r>
      <w:r>
        <w:rPr>
          <w:rFonts w:hint="eastAsia" w:ascii="Times New Roman" w:hAnsi="Times New Roman" w:eastAsia="宋体" w:cs="Times New Roman"/>
          <w:color w:val="000000" w:themeColor="text1"/>
          <w:spacing w:val="-2"/>
          <w:sz w:val="24"/>
          <w:szCs w:val="20"/>
          <w:u w:val="single"/>
          <w14:textFill>
            <w14:solidFill>
              <w14:schemeClr w14:val="tx1"/>
            </w14:solidFill>
          </w14:textFill>
        </w:rPr>
        <w:t>；项目有组织、无组织排放源的铀、钍总量最大地面浓度值叠加后为0.00008</w:t>
      </w:r>
      <w:r>
        <w:rPr>
          <w:rFonts w:ascii="Times New Roman" w:hAnsi="Times New Roman" w:eastAsia="宋体" w:cs="Times New Roman"/>
          <w:color w:val="000000" w:themeColor="text1"/>
          <w:spacing w:val="-2"/>
          <w:sz w:val="24"/>
          <w:szCs w:val="20"/>
          <w:u w:val="single"/>
          <w14:textFill>
            <w14:solidFill>
              <w14:schemeClr w14:val="tx1"/>
            </w14:solidFill>
          </w14:textFill>
        </w:rPr>
        <w:t>mg/m</w:t>
      </w:r>
      <w:r>
        <w:rPr>
          <w:rFonts w:ascii="Times New Roman" w:hAnsi="Times New Roman" w:eastAsia="宋体" w:cs="Times New Roman"/>
          <w:color w:val="000000" w:themeColor="text1"/>
          <w:spacing w:val="-2"/>
          <w:sz w:val="24"/>
          <w:szCs w:val="20"/>
          <w:u w:val="single"/>
          <w:vertAlign w:val="superscript"/>
          <w14:textFill>
            <w14:solidFill>
              <w14:schemeClr w14:val="tx1"/>
            </w14:solidFill>
          </w14:textFill>
        </w:rPr>
        <w:t>3</w:t>
      </w:r>
      <w:r>
        <w:rPr>
          <w:rFonts w:ascii="Times New Roman" w:hAnsi="Times New Roman" w:eastAsia="宋体" w:cs="Times New Roman"/>
          <w:color w:val="000000" w:themeColor="text1"/>
          <w:spacing w:val="-2"/>
          <w:sz w:val="24"/>
          <w:szCs w:val="20"/>
          <w:u w:val="single"/>
          <w14:textFill>
            <w14:solidFill>
              <w14:schemeClr w14:val="tx1"/>
            </w14:solidFill>
          </w14:textFill>
        </w:rPr>
        <w:t>，</w:t>
      </w:r>
      <w:r>
        <w:rPr>
          <w:rFonts w:hint="eastAsia" w:ascii="Times New Roman" w:hAnsi="Times New Roman" w:eastAsia="宋体" w:cs="Times New Roman"/>
          <w:color w:val="000000" w:themeColor="text1"/>
          <w:spacing w:val="-2"/>
          <w:sz w:val="24"/>
          <w:szCs w:val="20"/>
          <w:u w:val="single"/>
          <w14:textFill>
            <w14:solidFill>
              <w14:schemeClr w14:val="tx1"/>
            </w14:solidFill>
          </w14:textFill>
        </w:rPr>
        <w:t>小于</w:t>
      </w:r>
      <w:r>
        <w:rPr>
          <w:rFonts w:ascii="Times New Roman" w:hAnsi="Times New Roman" w:eastAsia="宋体" w:cs="Times New Roman"/>
          <w:color w:val="000000" w:themeColor="text1"/>
          <w:spacing w:val="-2"/>
          <w:sz w:val="24"/>
          <w:szCs w:val="20"/>
          <w:u w:val="single"/>
          <w14:textFill>
            <w14:solidFill>
              <w14:schemeClr w14:val="tx1"/>
            </w14:solidFill>
          </w14:textFill>
        </w:rPr>
        <w:t>《稀土工业污染物排放标准》（GB26451-2011）</w:t>
      </w:r>
      <w:r>
        <w:rPr>
          <w:rFonts w:hint="eastAsia" w:ascii="Times New Roman" w:hAnsi="Times New Roman" w:eastAsia="宋体" w:cs="Times New Roman"/>
          <w:color w:val="000000" w:themeColor="text1"/>
          <w:spacing w:val="-2"/>
          <w:sz w:val="24"/>
          <w:szCs w:val="20"/>
          <w:u w:val="single"/>
          <w14:textFill>
            <w14:solidFill>
              <w14:schemeClr w14:val="tx1"/>
            </w14:solidFill>
          </w14:textFill>
        </w:rPr>
        <w:t>表6中企业边界铀、钍总量浓度限值0.0025mg/m</w:t>
      </w:r>
      <w:r>
        <w:rPr>
          <w:rFonts w:hint="eastAsia" w:ascii="Times New Roman" w:hAnsi="Times New Roman" w:eastAsia="宋体" w:cs="Times New Roman"/>
          <w:color w:val="000000" w:themeColor="text1"/>
          <w:spacing w:val="-2"/>
          <w:sz w:val="24"/>
          <w:szCs w:val="20"/>
          <w:u w:val="single"/>
          <w:vertAlign w:val="superscript"/>
          <w14:textFill>
            <w14:solidFill>
              <w14:schemeClr w14:val="tx1"/>
            </w14:solidFill>
          </w14:textFill>
        </w:rPr>
        <w:t>3</w:t>
      </w:r>
      <w:r>
        <w:rPr>
          <w:rFonts w:hint="eastAsia" w:ascii="Times New Roman" w:hAnsi="Times New Roman" w:eastAsia="宋体" w:cs="Times New Roman"/>
          <w:color w:val="000000" w:themeColor="text1"/>
          <w:spacing w:val="-2"/>
          <w:sz w:val="24"/>
          <w:szCs w:val="20"/>
          <w:u w:val="single"/>
          <w14:textFill>
            <w14:solidFill>
              <w14:schemeClr w14:val="tx1"/>
            </w14:solidFill>
          </w14:textFill>
        </w:rPr>
        <w:t>。</w:t>
      </w:r>
    </w:p>
    <w:p w14:paraId="52D1FE6D">
      <w:pPr>
        <w:pStyle w:val="5"/>
        <w:widowControl w:val="0"/>
        <w:numPr>
          <w:ilvl w:val="2"/>
          <w:numId w:val="1"/>
        </w:numPr>
        <w:spacing w:before="0" w:line="360" w:lineRule="auto"/>
        <w:jc w:val="both"/>
        <w:rPr>
          <w:rFonts w:ascii="Times New Roman" w:hAnsi="Times New Roman" w:eastAsia="黑体" w:cs="Times New Roman"/>
          <w:b/>
          <w:bCs/>
          <w:caps w:val="0"/>
          <w:color w:val="000000" w:themeColor="text1"/>
          <w:kern w:val="2"/>
          <w:sz w:val="24"/>
          <w:szCs w:val="32"/>
          <w14:textFill>
            <w14:solidFill>
              <w14:schemeClr w14:val="tx1"/>
            </w14:solidFill>
          </w14:textFill>
        </w:rPr>
      </w:pPr>
      <w:bookmarkStart w:id="54" w:name="_Toc78822654"/>
      <w:r>
        <w:rPr>
          <w:rFonts w:ascii="Times New Roman" w:hAnsi="Times New Roman" w:eastAsia="黑体" w:cs="Times New Roman"/>
          <w:b/>
          <w:bCs/>
          <w:caps w:val="0"/>
          <w:color w:val="000000" w:themeColor="text1"/>
          <w:kern w:val="2"/>
          <w:sz w:val="24"/>
          <w:szCs w:val="32"/>
          <w14:textFill>
            <w14:solidFill>
              <w14:schemeClr w14:val="tx1"/>
            </w14:solidFill>
          </w14:textFill>
        </w:rPr>
        <w:t>固体废物</w:t>
      </w:r>
      <w:bookmarkEnd w:id="54"/>
    </w:p>
    <w:p w14:paraId="5D1A8C37">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u w:val="single"/>
          <w14:textFill>
            <w14:solidFill>
              <w14:schemeClr w14:val="tx1"/>
            </w14:solidFill>
          </w14:textFill>
        </w:rPr>
      </w:pPr>
      <w:r>
        <w:rPr>
          <w:rFonts w:hint="eastAsia" w:ascii="Times New Roman" w:hAnsi="Times New Roman" w:eastAsia="宋体" w:cs="Times New Roman"/>
          <w:color w:val="000000" w:themeColor="text1"/>
          <w:spacing w:val="-2"/>
          <w:sz w:val="24"/>
          <w:szCs w:val="20"/>
          <w:u w:val="single"/>
          <w14:textFill>
            <w14:solidFill>
              <w14:schemeClr w14:val="tx1"/>
            </w14:solidFill>
          </w14:textFill>
        </w:rPr>
        <w:t>项目生产过程中产生的含矿尘的副产品或固废主要有：烘干炉除尘器粉尘、生产车间除尘器粉尘、生产车间地面粉尘、除尘器废除尘袋。</w:t>
      </w:r>
    </w:p>
    <w:p w14:paraId="5E81F40B">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u w:val="single"/>
          <w14:textFill>
            <w14:solidFill>
              <w14:schemeClr w14:val="tx1"/>
            </w14:solidFill>
          </w14:textFill>
        </w:rPr>
      </w:pPr>
      <w:r>
        <w:rPr>
          <w:rFonts w:hint="eastAsia" w:ascii="Times New Roman" w:hAnsi="Times New Roman" w:eastAsia="宋体" w:cs="Times New Roman"/>
          <w:color w:val="000000" w:themeColor="text1"/>
          <w:spacing w:val="-2"/>
          <w:sz w:val="24"/>
          <w:szCs w:val="20"/>
          <w:u w:val="single"/>
          <w14:textFill>
            <w14:solidFill>
              <w14:schemeClr w14:val="tx1"/>
            </w14:solidFill>
          </w14:textFill>
        </w:rPr>
        <w:t>（1）烘干炉除尘器粉尘、生产车间除尘器粉尘</w:t>
      </w:r>
    </w:p>
    <w:p w14:paraId="3A7C3093">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u w:val="single"/>
          <w14:textFill>
            <w14:solidFill>
              <w14:schemeClr w14:val="tx1"/>
            </w14:solidFill>
          </w14:textFill>
        </w:rPr>
      </w:pPr>
      <w:r>
        <w:rPr>
          <w:rFonts w:hint="eastAsia" w:ascii="Times New Roman" w:hAnsi="Times New Roman" w:eastAsia="宋体" w:cs="Times New Roman"/>
          <w:color w:val="000000" w:themeColor="text1"/>
          <w:spacing w:val="-2"/>
          <w:sz w:val="24"/>
          <w:szCs w:val="20"/>
          <w:u w:val="single"/>
          <w14:textFill>
            <w14:solidFill>
              <w14:schemeClr w14:val="tx1"/>
            </w14:solidFill>
          </w14:textFill>
        </w:rPr>
        <w:t>烘干炉除尘器粉尘、生产车间除尘器粉尘等均含一定量的钛铁等金属矿成分，仍有使用价值，收集后掺入2#车间内的锆中矿堆放区，与锆中矿一并外售。烘干炉除尘器粉尘、生产车间除尘器粉尘合计为9.7589t/a，相对锆中矿占比非常小，掺入锆中矿后对锆中矿堆放区的放射性核素浓度增量基本可以忽略不计。</w:t>
      </w:r>
    </w:p>
    <w:p w14:paraId="30A03E25">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u w:val="single"/>
          <w14:textFill>
            <w14:solidFill>
              <w14:schemeClr w14:val="tx1"/>
            </w14:solidFill>
          </w14:textFill>
        </w:rPr>
      </w:pPr>
      <w:r>
        <w:rPr>
          <w:rFonts w:hint="eastAsia" w:ascii="Times New Roman" w:hAnsi="Times New Roman" w:eastAsia="宋体" w:cs="Times New Roman"/>
          <w:color w:val="000000" w:themeColor="text1"/>
          <w:spacing w:val="-2"/>
          <w:sz w:val="24"/>
          <w:szCs w:val="20"/>
          <w:u w:val="single"/>
          <w14:textFill>
            <w14:solidFill>
              <w14:schemeClr w14:val="tx1"/>
            </w14:solidFill>
          </w14:textFill>
        </w:rPr>
        <w:t>（2）生产车间地面粉尘</w:t>
      </w:r>
    </w:p>
    <w:p w14:paraId="0E7CE391">
      <w:pPr>
        <w:widowControl w:val="0"/>
        <w:spacing w:after="0" w:line="360" w:lineRule="auto"/>
        <w:ind w:firstLine="480" w:firstLineChars="200"/>
        <w:jc w:val="both"/>
        <w:rPr>
          <w:rFonts w:ascii="Times New Roman" w:hAnsi="Times New Roman" w:eastAsia="宋体" w:cs="Times New Roman"/>
          <w:color w:val="000000" w:themeColor="text1"/>
          <w:spacing w:val="-2"/>
          <w:sz w:val="24"/>
          <w:szCs w:val="20"/>
          <w:u w:val="single"/>
          <w14:textFill>
            <w14:solidFill>
              <w14:schemeClr w14:val="tx1"/>
            </w14:solidFill>
          </w14:textFill>
        </w:rPr>
      </w:pPr>
      <w:r>
        <w:rPr>
          <w:rFonts w:hint="eastAsia" w:ascii="Times New Roman" w:hAnsi="Times New Roman"/>
          <w:color w:val="000000" w:themeColor="text1"/>
          <w:sz w:val="24"/>
          <w:szCs w:val="24"/>
          <w:u w:val="single"/>
          <w14:textFill>
            <w14:solidFill>
              <w14:schemeClr w14:val="tx1"/>
            </w14:solidFill>
          </w14:textFill>
        </w:rPr>
        <w:t>项目生产车间地面沉降粉尘为含矿粉尘，产生量为3.5699t/a，收集后作为原料重新投入到生产线进行分选。</w:t>
      </w:r>
      <w:r>
        <w:rPr>
          <w:rFonts w:hint="eastAsia" w:ascii="Times New Roman" w:hAnsi="Times New Roman" w:eastAsia="宋体" w:cs="Times New Roman"/>
          <w:color w:val="000000" w:themeColor="text1"/>
          <w:spacing w:val="-2"/>
          <w:sz w:val="24"/>
          <w:szCs w:val="20"/>
          <w:u w:val="single"/>
          <w14:textFill>
            <w14:solidFill>
              <w14:schemeClr w14:val="tx1"/>
            </w14:solidFill>
          </w14:textFill>
        </w:rPr>
        <w:t>相对毛矿占比非常小，掺入原料后对原料堆放区的放射性核素浓度增量基本可以忽略不计。</w:t>
      </w:r>
    </w:p>
    <w:p w14:paraId="4960446E">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u w:val="single"/>
          <w14:textFill>
            <w14:solidFill>
              <w14:schemeClr w14:val="tx1"/>
            </w14:solidFill>
          </w14:textFill>
        </w:rPr>
      </w:pPr>
      <w:r>
        <w:rPr>
          <w:rFonts w:hint="eastAsia" w:ascii="Times New Roman" w:hAnsi="Times New Roman" w:eastAsia="宋体" w:cs="Times New Roman"/>
          <w:color w:val="000000" w:themeColor="text1"/>
          <w:spacing w:val="-2"/>
          <w:sz w:val="24"/>
          <w:szCs w:val="20"/>
          <w:u w:val="single"/>
          <w14:textFill>
            <w14:solidFill>
              <w14:schemeClr w14:val="tx1"/>
            </w14:solidFill>
          </w14:textFill>
        </w:rPr>
        <w:t>（3）除尘器废除尘袋</w:t>
      </w:r>
    </w:p>
    <w:p w14:paraId="0D2DFF50">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u w:val="single"/>
          <w14:textFill>
            <w14:solidFill>
              <w14:schemeClr w14:val="tx1"/>
            </w14:solidFill>
          </w14:textFill>
        </w:rPr>
      </w:pPr>
      <w:r>
        <w:rPr>
          <w:rFonts w:hint="eastAsia" w:ascii="Times New Roman" w:hAnsi="Times New Roman" w:eastAsia="宋体" w:cs="Times New Roman"/>
          <w:color w:val="000000" w:themeColor="text1"/>
          <w:spacing w:val="-2"/>
          <w:sz w:val="24"/>
          <w:szCs w:val="20"/>
          <w:u w:val="single"/>
          <w14:textFill>
            <w14:solidFill>
              <w14:schemeClr w14:val="tx1"/>
            </w14:solidFill>
          </w14:textFill>
        </w:rPr>
        <w:t>项目除尘器产生废除尘袋，年产生量约0.6t/a，含有一定量的放射性，应妥善收集后暂存于专用贮存场地，在2#分选车间内部东北角规划一处专用暂存库进行存放。2#分选车间内布置有磁选生产线、锆中矿堆放区、钛铁精矿堆放区，涉及的放射性物料量均远远大于废除尘袋的产生量，并且生产车间除尘器产生废除尘袋为间歇产生，除尘器废除尘袋产生的放射性核素浓度相对于磁选生产线、锆中矿堆放区、钛铁精矿堆放区的放射性核素浓度基本可以忽略不计。</w:t>
      </w:r>
    </w:p>
    <w:p w14:paraId="38A86140">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项目2#分选车间根据一般防渗区及《伴生放射性物料贮存及固体废物填埋辐射环境保护技术规范（试行）》（HJ1114-2020）中伴生放射性物料贮存的要求进行严格管理，含放射性固体废物的暂存方式合理。</w:t>
      </w:r>
      <w:bookmarkStart w:id="55" w:name="_Toc78822655"/>
    </w:p>
    <w:bookmarkEnd w:id="55"/>
    <w:p w14:paraId="2EA7AF24">
      <w:pPr>
        <w:pStyle w:val="4"/>
        <w:widowControl w:val="0"/>
        <w:numPr>
          <w:ilvl w:val="1"/>
          <w:numId w:val="1"/>
        </w:numPr>
        <w:spacing w:before="0" w:line="360" w:lineRule="auto"/>
        <w:ind w:left="0" w:firstLine="0"/>
        <w:jc w:val="both"/>
        <w:rPr>
          <w:rFonts w:ascii="Times New Roman" w:hAnsi="Times New Roman" w:eastAsia="黑体" w:cs="Times New Roman"/>
          <w:b/>
          <w:bCs/>
          <w:color w:val="000000" w:themeColor="text1"/>
          <w:kern w:val="2"/>
          <w:sz w:val="28"/>
          <w:szCs w:val="32"/>
          <w14:textFill>
            <w14:solidFill>
              <w14:schemeClr w14:val="tx1"/>
            </w14:solidFill>
          </w14:textFill>
        </w:rPr>
      </w:pPr>
      <w:bookmarkStart w:id="56" w:name="_Toc187653465"/>
      <w:r>
        <w:rPr>
          <w:rFonts w:hint="eastAsia" w:ascii="Times New Roman" w:hAnsi="Times New Roman" w:eastAsia="黑体" w:cs="Times New Roman"/>
          <w:b/>
          <w:bCs/>
          <w:color w:val="000000" w:themeColor="text1"/>
          <w:kern w:val="2"/>
          <w:sz w:val="28"/>
          <w:szCs w:val="32"/>
          <w14:textFill>
            <w14:solidFill>
              <w14:schemeClr w14:val="tx1"/>
            </w14:solidFill>
          </w14:textFill>
        </w:rPr>
        <w:t>辐射防护措施</w:t>
      </w:r>
      <w:bookmarkEnd w:id="56"/>
    </w:p>
    <w:p w14:paraId="71F6B837">
      <w:pPr>
        <w:pStyle w:val="5"/>
        <w:widowControl w:val="0"/>
        <w:numPr>
          <w:ilvl w:val="2"/>
          <w:numId w:val="1"/>
        </w:numPr>
        <w:spacing w:before="0" w:line="360" w:lineRule="auto"/>
        <w:jc w:val="both"/>
        <w:rPr>
          <w:rFonts w:ascii="Times New Roman" w:hAnsi="Times New Roman" w:eastAsia="黑体" w:cs="Times New Roman"/>
          <w:b/>
          <w:bCs/>
          <w:caps w:val="0"/>
          <w:color w:val="000000" w:themeColor="text1"/>
          <w:kern w:val="2"/>
          <w:sz w:val="24"/>
          <w:szCs w:val="32"/>
          <w14:textFill>
            <w14:solidFill>
              <w14:schemeClr w14:val="tx1"/>
            </w14:solidFill>
          </w14:textFill>
        </w:rPr>
      </w:pPr>
      <w:r>
        <w:rPr>
          <w:rFonts w:hint="eastAsia" w:ascii="Times New Roman" w:hAnsi="Times New Roman" w:eastAsia="黑体" w:cs="Times New Roman"/>
          <w:b/>
          <w:bCs/>
          <w:caps w:val="0"/>
          <w:color w:val="000000" w:themeColor="text1"/>
          <w:kern w:val="2"/>
          <w:sz w:val="24"/>
          <w:szCs w:val="32"/>
          <w14:textFill>
            <w14:solidFill>
              <w14:schemeClr w14:val="tx1"/>
            </w14:solidFill>
          </w14:textFill>
        </w:rPr>
        <w:t>生产物料贮存管理防护措施</w:t>
      </w:r>
    </w:p>
    <w:p w14:paraId="21060267">
      <w:pPr>
        <w:pStyle w:val="6"/>
        <w:widowControl w:val="0"/>
        <w:numPr>
          <w:ilvl w:val="3"/>
          <w:numId w:val="1"/>
        </w:numPr>
        <w:spacing w:before="0" w:line="360" w:lineRule="auto"/>
        <w:ind w:left="0" w:firstLine="0"/>
        <w:jc w:val="both"/>
        <w:rPr>
          <w:rFonts w:ascii="Times New Roman" w:hAnsi="Times New Roman" w:eastAsia="黑体" w:cs="Times New Roman"/>
          <w:bCs/>
          <w:i w:val="0"/>
          <w:iCs w:val="0"/>
          <w:color w:val="000000" w:themeColor="text1"/>
          <w:kern w:val="2"/>
          <w:sz w:val="24"/>
          <w:u w:val="single"/>
          <w14:textFill>
            <w14:solidFill>
              <w14:schemeClr w14:val="tx1"/>
            </w14:solidFill>
          </w14:textFill>
        </w:rPr>
      </w:pPr>
      <w:r>
        <w:rPr>
          <w:rFonts w:hint="eastAsia" w:ascii="Times New Roman" w:hAnsi="Times New Roman" w:eastAsia="黑体" w:cs="Times New Roman"/>
          <w:bCs/>
          <w:i w:val="0"/>
          <w:iCs w:val="0"/>
          <w:color w:val="000000" w:themeColor="text1"/>
          <w:kern w:val="2"/>
          <w:sz w:val="24"/>
          <w:u w:val="single"/>
          <w14:textFill>
            <w14:solidFill>
              <w14:schemeClr w14:val="tx1"/>
            </w14:solidFill>
          </w14:textFill>
        </w:rPr>
        <w:t>项目涉及伴生放射性物料的种类</w:t>
      </w:r>
    </w:p>
    <w:p w14:paraId="7E96FCF6">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u w:val="single"/>
          <w14:textFill>
            <w14:solidFill>
              <w14:schemeClr w14:val="tx1"/>
            </w14:solidFill>
          </w14:textFill>
        </w:rPr>
      </w:pPr>
      <w:r>
        <w:rPr>
          <w:rFonts w:hint="eastAsia" w:ascii="Times New Roman" w:hAnsi="Times New Roman" w:eastAsia="宋体" w:cs="Times New Roman"/>
          <w:color w:val="000000" w:themeColor="text1"/>
          <w:spacing w:val="-2"/>
          <w:sz w:val="24"/>
          <w:szCs w:val="20"/>
          <w:u w:val="single"/>
          <w14:textFill>
            <w14:solidFill>
              <w14:schemeClr w14:val="tx1"/>
            </w14:solidFill>
          </w14:textFill>
        </w:rPr>
        <w:t>项目涉及放射性的物料主要有原料毛矿、钛铁精矿、锆中矿、少量含放射性粉尘的废除尘袋。以上含放射性的物料均需要</w:t>
      </w:r>
      <w:r>
        <w:rPr>
          <w:rFonts w:ascii="Times New Roman" w:hAnsi="Times New Roman" w:eastAsia="宋体" w:cs="Times New Roman"/>
          <w:color w:val="000000" w:themeColor="text1"/>
          <w:spacing w:val="-2"/>
          <w:sz w:val="24"/>
          <w:szCs w:val="20"/>
          <w:u w:val="single"/>
          <w14:textFill>
            <w14:solidFill>
              <w14:schemeClr w14:val="tx1"/>
            </w14:solidFill>
          </w14:textFill>
        </w:rPr>
        <w:t>根据《伴生放射性物料贮存及固体废物填埋辐射环境保护技术规范（试行）》</w:t>
      </w:r>
      <w:r>
        <w:rPr>
          <w:rFonts w:hint="eastAsia" w:ascii="Times New Roman" w:hAnsi="Times New Roman" w:eastAsia="宋体" w:cs="Times New Roman"/>
          <w:color w:val="000000" w:themeColor="text1"/>
          <w:spacing w:val="-2"/>
          <w:sz w:val="24"/>
          <w:szCs w:val="20"/>
          <w:u w:val="single"/>
          <w14:textFill>
            <w14:solidFill>
              <w14:schemeClr w14:val="tx1"/>
            </w14:solidFill>
          </w14:textFill>
        </w:rPr>
        <w:t>（HJ</w:t>
      </w:r>
      <w:r>
        <w:rPr>
          <w:rFonts w:ascii="Times New Roman" w:hAnsi="Times New Roman" w:eastAsia="宋体" w:cs="Times New Roman"/>
          <w:color w:val="000000" w:themeColor="text1"/>
          <w:spacing w:val="-2"/>
          <w:sz w:val="24"/>
          <w:szCs w:val="20"/>
          <w:u w:val="single"/>
          <w14:textFill>
            <w14:solidFill>
              <w14:schemeClr w14:val="tx1"/>
            </w14:solidFill>
          </w14:textFill>
        </w:rPr>
        <w:t>1114-2020）相关要求</w:t>
      </w:r>
      <w:r>
        <w:rPr>
          <w:rFonts w:hint="eastAsia" w:ascii="Times New Roman" w:hAnsi="Times New Roman" w:eastAsia="宋体" w:cs="Times New Roman"/>
          <w:color w:val="000000" w:themeColor="text1"/>
          <w:spacing w:val="-2"/>
          <w:sz w:val="24"/>
          <w:szCs w:val="20"/>
          <w:u w:val="single"/>
          <w14:textFill>
            <w14:solidFill>
              <w14:schemeClr w14:val="tx1"/>
            </w14:solidFill>
          </w14:textFill>
        </w:rPr>
        <w:t>进行贮存</w:t>
      </w:r>
      <w:r>
        <w:rPr>
          <w:rFonts w:ascii="Times New Roman" w:hAnsi="Times New Roman" w:eastAsia="宋体" w:cs="Times New Roman"/>
          <w:color w:val="000000" w:themeColor="text1"/>
          <w:spacing w:val="-2"/>
          <w:sz w:val="24"/>
          <w:szCs w:val="20"/>
          <w:u w:val="single"/>
          <w14:textFill>
            <w14:solidFill>
              <w14:schemeClr w14:val="tx1"/>
            </w14:solidFill>
          </w14:textFill>
        </w:rPr>
        <w:t>，</w:t>
      </w:r>
      <w:r>
        <w:rPr>
          <w:rFonts w:hint="eastAsia" w:ascii="Times New Roman" w:hAnsi="Times New Roman" w:eastAsia="宋体" w:cs="Times New Roman"/>
          <w:color w:val="000000" w:themeColor="text1"/>
          <w:spacing w:val="-2"/>
          <w:sz w:val="24"/>
          <w:szCs w:val="20"/>
          <w:u w:val="single"/>
          <w14:textFill>
            <w14:solidFill>
              <w14:schemeClr w14:val="tx1"/>
            </w14:solidFill>
          </w14:textFill>
        </w:rPr>
        <w:t>尤其是原料毛矿和锆中矿，核素浓度均大于1 Bq/g。</w:t>
      </w:r>
    </w:p>
    <w:p w14:paraId="01735784">
      <w:pPr>
        <w:pStyle w:val="6"/>
        <w:widowControl w:val="0"/>
        <w:numPr>
          <w:ilvl w:val="3"/>
          <w:numId w:val="1"/>
        </w:numPr>
        <w:spacing w:before="0" w:line="360" w:lineRule="auto"/>
        <w:ind w:left="0" w:firstLine="0"/>
        <w:jc w:val="both"/>
        <w:rPr>
          <w:rFonts w:ascii="Times New Roman" w:hAnsi="Times New Roman" w:eastAsia="黑体" w:cs="Times New Roman"/>
          <w:bCs/>
          <w:i w:val="0"/>
          <w:iCs w:val="0"/>
          <w:color w:val="000000" w:themeColor="text1"/>
          <w:kern w:val="2"/>
          <w:sz w:val="24"/>
          <w:u w:val="single"/>
          <w14:textFill>
            <w14:solidFill>
              <w14:schemeClr w14:val="tx1"/>
            </w14:solidFill>
          </w14:textFill>
        </w:rPr>
      </w:pPr>
      <w:r>
        <w:rPr>
          <w:rFonts w:hint="eastAsia" w:ascii="Times New Roman" w:hAnsi="Times New Roman" w:eastAsia="黑体" w:cs="Times New Roman"/>
          <w:bCs/>
          <w:i w:val="0"/>
          <w:iCs w:val="0"/>
          <w:color w:val="000000" w:themeColor="text1"/>
          <w:kern w:val="2"/>
          <w:sz w:val="24"/>
          <w:u w:val="single"/>
          <w14:textFill>
            <w14:solidFill>
              <w14:schemeClr w14:val="tx1"/>
            </w14:solidFill>
          </w14:textFill>
        </w:rPr>
        <w:t>伴生放射性物料贮存一般要求</w:t>
      </w:r>
    </w:p>
    <w:p w14:paraId="40F11707">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u w:val="single"/>
          <w14:textFill>
            <w14:solidFill>
              <w14:schemeClr w14:val="tx1"/>
            </w14:solidFill>
          </w14:textFill>
        </w:rPr>
      </w:pPr>
      <w:r>
        <w:rPr>
          <w:rFonts w:hint="eastAsia" w:ascii="Times New Roman" w:hAnsi="Times New Roman" w:eastAsia="宋体" w:cs="Times New Roman"/>
          <w:color w:val="000000" w:themeColor="text1"/>
          <w:spacing w:val="-2"/>
          <w:sz w:val="24"/>
          <w:szCs w:val="20"/>
          <w:u w:val="single"/>
          <w14:textFill>
            <w14:solidFill>
              <w14:schemeClr w14:val="tx1"/>
            </w14:solidFill>
          </w14:textFill>
        </w:rPr>
        <w:t>（1）伴生放射性物料应与其他物料分区贮存。</w:t>
      </w:r>
    </w:p>
    <w:p w14:paraId="7C0D4A99">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u w:val="single"/>
          <w14:textFill>
            <w14:solidFill>
              <w14:schemeClr w14:val="tx1"/>
            </w14:solidFill>
          </w14:textFill>
        </w:rPr>
      </w:pPr>
      <w:r>
        <w:rPr>
          <w:rFonts w:hint="eastAsia" w:ascii="Times New Roman" w:hAnsi="Times New Roman" w:eastAsia="宋体" w:cs="Times New Roman"/>
          <w:color w:val="000000" w:themeColor="text1"/>
          <w:spacing w:val="-2"/>
          <w:sz w:val="24"/>
          <w:szCs w:val="20"/>
          <w:u w:val="single"/>
          <w14:textFill>
            <w14:solidFill>
              <w14:schemeClr w14:val="tx1"/>
            </w14:solidFill>
          </w14:textFill>
        </w:rPr>
        <w:t>（2）伴生放射性固体废物应及时填埋；无填埋条件的，应建设专门设施进行贮存。</w:t>
      </w:r>
    </w:p>
    <w:p w14:paraId="24F3B9D5">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u w:val="single"/>
          <w14:textFill>
            <w14:solidFill>
              <w14:schemeClr w14:val="tx1"/>
            </w14:solidFill>
          </w14:textFill>
        </w:rPr>
      </w:pPr>
      <w:r>
        <w:rPr>
          <w:rFonts w:hint="eastAsia" w:ascii="Times New Roman" w:hAnsi="Times New Roman" w:eastAsia="宋体" w:cs="Times New Roman"/>
          <w:color w:val="000000" w:themeColor="text1"/>
          <w:spacing w:val="-2"/>
          <w:sz w:val="24"/>
          <w:szCs w:val="20"/>
          <w:u w:val="single"/>
          <w14:textFill>
            <w14:solidFill>
              <w14:schemeClr w14:val="tx1"/>
            </w14:solidFill>
          </w14:textFill>
        </w:rPr>
        <w:t>（3）鼓励对伴生放射性固体废物中的有价值资源进行回收利用，实现废物最小化；对于铀含量达到0.1%的固体废物，宜进行铀资源化回收利用。</w:t>
      </w:r>
    </w:p>
    <w:p w14:paraId="352CE9BC">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u w:val="single"/>
          <w14:textFill>
            <w14:solidFill>
              <w14:schemeClr w14:val="tx1"/>
            </w14:solidFill>
          </w14:textFill>
        </w:rPr>
      </w:pPr>
      <w:r>
        <w:rPr>
          <w:rFonts w:hint="eastAsia" w:ascii="Times New Roman" w:hAnsi="Times New Roman" w:eastAsia="宋体" w:cs="Times New Roman"/>
          <w:color w:val="000000" w:themeColor="text1"/>
          <w:spacing w:val="-2"/>
          <w:sz w:val="24"/>
          <w:szCs w:val="20"/>
          <w:u w:val="single"/>
          <w14:textFill>
            <w14:solidFill>
              <w14:schemeClr w14:val="tx1"/>
            </w14:solidFill>
          </w14:textFill>
        </w:rPr>
        <w:t>（4）伴生放射性固体废物贮存及填埋应执行台账制度。</w:t>
      </w:r>
    </w:p>
    <w:p w14:paraId="170FA478">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u w:val="single"/>
          <w14:textFill>
            <w14:solidFill>
              <w14:schemeClr w14:val="tx1"/>
            </w14:solidFill>
          </w14:textFill>
        </w:rPr>
      </w:pPr>
      <w:r>
        <w:rPr>
          <w:rFonts w:hint="eastAsia" w:ascii="Times New Roman" w:hAnsi="Times New Roman" w:eastAsia="宋体" w:cs="Times New Roman"/>
          <w:color w:val="000000" w:themeColor="text1"/>
          <w:spacing w:val="-2"/>
          <w:sz w:val="24"/>
          <w:szCs w:val="20"/>
          <w:u w:val="single"/>
          <w14:textFill>
            <w14:solidFill>
              <w14:schemeClr w14:val="tx1"/>
            </w14:solidFill>
          </w14:textFill>
        </w:rPr>
        <w:t>（5）伴生放射性矿开发利用单位应贯彻执行国家和行业颁发的有关法律法规和标准，提供所必需的人力、物力等保障措施；建立辐射环境管理机构，配备专业技术人员与管理人员；建立辐射环境管理岗位责任制度、教育培训制度、报告制度等。</w:t>
      </w:r>
    </w:p>
    <w:p w14:paraId="4E255AE5">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u w:val="single"/>
          <w14:textFill>
            <w14:solidFill>
              <w14:schemeClr w14:val="tx1"/>
            </w14:solidFill>
          </w14:textFill>
        </w:rPr>
      </w:pPr>
      <w:r>
        <w:rPr>
          <w:rFonts w:hint="eastAsia" w:ascii="Times New Roman" w:hAnsi="Times New Roman" w:eastAsia="宋体" w:cs="Times New Roman"/>
          <w:color w:val="000000" w:themeColor="text1"/>
          <w:spacing w:val="-2"/>
          <w:sz w:val="24"/>
          <w:szCs w:val="20"/>
          <w:u w:val="single"/>
          <w14:textFill>
            <w14:solidFill>
              <w14:schemeClr w14:val="tx1"/>
            </w14:solidFill>
          </w14:textFill>
        </w:rPr>
        <w:t>（6）伴生放射性固体废物同时具有危险废物特性的，贮存与填埋还应符合危险废物相关技术标准要求。</w:t>
      </w:r>
    </w:p>
    <w:p w14:paraId="0A1CF217">
      <w:pPr>
        <w:pStyle w:val="6"/>
        <w:widowControl w:val="0"/>
        <w:numPr>
          <w:ilvl w:val="3"/>
          <w:numId w:val="1"/>
        </w:numPr>
        <w:spacing w:before="0" w:line="360" w:lineRule="auto"/>
        <w:ind w:left="0" w:firstLine="0"/>
        <w:jc w:val="both"/>
        <w:rPr>
          <w:rFonts w:ascii="Times New Roman" w:hAnsi="Times New Roman" w:eastAsia="黑体" w:cs="Times New Roman"/>
          <w:bCs/>
          <w:i w:val="0"/>
          <w:iCs w:val="0"/>
          <w:color w:val="000000" w:themeColor="text1"/>
          <w:kern w:val="2"/>
          <w:sz w:val="24"/>
          <w:u w:val="single"/>
          <w14:textFill>
            <w14:solidFill>
              <w14:schemeClr w14:val="tx1"/>
            </w14:solidFill>
          </w14:textFill>
        </w:rPr>
      </w:pPr>
      <w:r>
        <w:rPr>
          <w:rFonts w:hint="eastAsia" w:ascii="Times New Roman" w:hAnsi="Times New Roman" w:eastAsia="黑体" w:cs="Times New Roman"/>
          <w:bCs/>
          <w:i w:val="0"/>
          <w:iCs w:val="0"/>
          <w:color w:val="000000" w:themeColor="text1"/>
          <w:kern w:val="2"/>
          <w:sz w:val="24"/>
          <w:u w:val="single"/>
          <w14:textFill>
            <w14:solidFill>
              <w14:schemeClr w14:val="tx1"/>
            </w14:solidFill>
          </w14:textFill>
        </w:rPr>
        <w:t>伴生放射性物料贮存设施设计要求</w:t>
      </w:r>
    </w:p>
    <w:p w14:paraId="1380093E">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u w:val="single"/>
          <w14:textFill>
            <w14:solidFill>
              <w14:schemeClr w14:val="tx1"/>
            </w14:solidFill>
          </w14:textFill>
        </w:rPr>
      </w:pPr>
      <w:r>
        <w:rPr>
          <w:rFonts w:hint="eastAsia" w:ascii="Times New Roman" w:hAnsi="Times New Roman" w:eastAsia="宋体" w:cs="Times New Roman"/>
          <w:color w:val="000000" w:themeColor="text1"/>
          <w:spacing w:val="-2"/>
          <w:sz w:val="24"/>
          <w:szCs w:val="20"/>
          <w:u w:val="single"/>
          <w14:textFill>
            <w14:solidFill>
              <w14:schemeClr w14:val="tx1"/>
            </w14:solidFill>
          </w14:textFill>
        </w:rPr>
        <w:t>（1）贮存设施应根据企业总平面布置等相关要求，尽量布置在远离人群活动的地方。</w:t>
      </w:r>
    </w:p>
    <w:p w14:paraId="31EF3B6F">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u w:val="single"/>
          <w14:textFill>
            <w14:solidFill>
              <w14:schemeClr w14:val="tx1"/>
            </w14:solidFill>
          </w14:textFill>
        </w:rPr>
      </w:pPr>
      <w:r>
        <w:rPr>
          <w:rFonts w:hint="eastAsia" w:ascii="Times New Roman" w:hAnsi="Times New Roman" w:eastAsia="宋体" w:cs="Times New Roman"/>
          <w:color w:val="000000" w:themeColor="text1"/>
          <w:spacing w:val="-2"/>
          <w:sz w:val="24"/>
          <w:szCs w:val="20"/>
          <w:u w:val="single"/>
          <w14:textFill>
            <w14:solidFill>
              <w14:schemeClr w14:val="tx1"/>
            </w14:solidFill>
          </w14:textFill>
        </w:rPr>
        <w:t>（2）贮存设施应采取实体隔离措施，防止无关人员进入。</w:t>
      </w:r>
    </w:p>
    <w:p w14:paraId="41C7D5BC">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u w:val="single"/>
          <w14:textFill>
            <w14:solidFill>
              <w14:schemeClr w14:val="tx1"/>
            </w14:solidFill>
          </w14:textFill>
        </w:rPr>
      </w:pPr>
      <w:r>
        <w:rPr>
          <w:rFonts w:hint="eastAsia" w:ascii="Times New Roman" w:hAnsi="Times New Roman" w:eastAsia="宋体" w:cs="Times New Roman"/>
          <w:color w:val="000000" w:themeColor="text1"/>
          <w:spacing w:val="-2"/>
          <w:sz w:val="24"/>
          <w:szCs w:val="20"/>
          <w:u w:val="single"/>
          <w14:textFill>
            <w14:solidFill>
              <w14:schemeClr w14:val="tx1"/>
            </w14:solidFill>
          </w14:textFill>
        </w:rPr>
        <w:t>（3）贮存设施应进行清污分流，防止雨水进入；物料可能产生渗水的应设置地沟等渗水收集系统，渗水应进行回收利用或处理后达标排放。</w:t>
      </w:r>
    </w:p>
    <w:p w14:paraId="2A5F60EB">
      <w:pPr>
        <w:widowControl w:val="0"/>
        <w:spacing w:after="0" w:line="360" w:lineRule="auto"/>
        <w:ind w:firstLine="472" w:firstLineChars="200"/>
        <w:rPr>
          <w:rFonts w:ascii="Times New Roman" w:hAnsi="Times New Roman" w:eastAsia="宋体" w:cs="Times New Roman"/>
          <w:color w:val="000000" w:themeColor="text1"/>
          <w:spacing w:val="-2"/>
          <w:sz w:val="24"/>
          <w:szCs w:val="20"/>
          <w:u w:val="single"/>
          <w14:textFill>
            <w14:solidFill>
              <w14:schemeClr w14:val="tx1"/>
            </w14:solidFill>
          </w14:textFill>
        </w:rPr>
      </w:pPr>
      <w:r>
        <w:rPr>
          <w:rFonts w:hint="eastAsia" w:ascii="Times New Roman" w:hAnsi="Times New Roman" w:eastAsia="宋体" w:cs="Times New Roman"/>
          <w:color w:val="000000" w:themeColor="text1"/>
          <w:spacing w:val="-2"/>
          <w:sz w:val="24"/>
          <w:szCs w:val="20"/>
          <w:u w:val="single"/>
          <w14:textFill>
            <w14:solidFill>
              <w14:schemeClr w14:val="tx1"/>
            </w14:solidFill>
          </w14:textFill>
        </w:rPr>
        <w:t>（4）贮存设施应进行防腐防渗设计，防渗性能应不低于渗透系数为1×10</w:t>
      </w:r>
      <w:r>
        <w:rPr>
          <w:rFonts w:hint="eastAsia" w:ascii="Times New Roman" w:hAnsi="Times New Roman" w:eastAsia="宋体" w:cs="Times New Roman"/>
          <w:color w:val="000000" w:themeColor="text1"/>
          <w:spacing w:val="-2"/>
          <w:sz w:val="24"/>
          <w:szCs w:val="20"/>
          <w:u w:val="single"/>
          <w:vertAlign w:val="superscript"/>
          <w14:textFill>
            <w14:solidFill>
              <w14:schemeClr w14:val="tx1"/>
            </w14:solidFill>
          </w14:textFill>
        </w:rPr>
        <w:t xml:space="preserve">-7 </w:t>
      </w:r>
      <w:r>
        <w:rPr>
          <w:rFonts w:hint="eastAsia" w:ascii="Times New Roman" w:hAnsi="Times New Roman" w:eastAsia="宋体" w:cs="Times New Roman"/>
          <w:color w:val="000000" w:themeColor="text1"/>
          <w:spacing w:val="-2"/>
          <w:sz w:val="24"/>
          <w:szCs w:val="20"/>
          <w:u w:val="single"/>
          <w14:textFill>
            <w14:solidFill>
              <w14:schemeClr w14:val="tx1"/>
            </w14:solidFill>
          </w14:textFill>
        </w:rPr>
        <w:t>cm/s、厚度为2m 的</w:t>
      </w:r>
      <w:r>
        <w:rPr>
          <w:rFonts w:hint="eastAsia" w:ascii="Times New Roman" w:hAnsi="Times New Roman" w:eastAsia="宋体" w:cs="Times New Roman"/>
          <w:color w:val="000000" w:themeColor="text1"/>
          <w:spacing w:val="-2"/>
          <w:sz w:val="24"/>
          <w:szCs w:val="20"/>
          <w:u w:val="single"/>
          <w:lang w:eastAsia="zh-CN"/>
          <w14:textFill>
            <w14:solidFill>
              <w14:schemeClr w14:val="tx1"/>
            </w14:solidFill>
          </w14:textFill>
        </w:rPr>
        <w:t>黏土层</w:t>
      </w:r>
      <w:r>
        <w:rPr>
          <w:rFonts w:hint="eastAsia" w:ascii="Times New Roman" w:hAnsi="Times New Roman" w:eastAsia="宋体" w:cs="Times New Roman"/>
          <w:color w:val="000000" w:themeColor="text1"/>
          <w:spacing w:val="-2"/>
          <w:sz w:val="24"/>
          <w:szCs w:val="20"/>
          <w:u w:val="single"/>
          <w14:textFill>
            <w14:solidFill>
              <w14:schemeClr w14:val="tx1"/>
            </w14:solidFill>
          </w14:textFill>
        </w:rPr>
        <w:t>的防渗效果。</w:t>
      </w:r>
    </w:p>
    <w:p w14:paraId="2815E61F">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u w:val="single"/>
          <w14:textFill>
            <w14:solidFill>
              <w14:schemeClr w14:val="tx1"/>
            </w14:solidFill>
          </w14:textFill>
        </w:rPr>
      </w:pPr>
      <w:r>
        <w:rPr>
          <w:rFonts w:hint="eastAsia" w:ascii="Times New Roman" w:hAnsi="Times New Roman" w:eastAsia="宋体" w:cs="Times New Roman"/>
          <w:color w:val="000000" w:themeColor="text1"/>
          <w:spacing w:val="-2"/>
          <w:sz w:val="24"/>
          <w:szCs w:val="20"/>
          <w:u w:val="single"/>
          <w14:textFill>
            <w14:solidFill>
              <w14:schemeClr w14:val="tx1"/>
            </w14:solidFill>
          </w14:textFill>
        </w:rPr>
        <w:t>（5）物料贮存应采取防尘、抑尘措施，防止物料逸散。</w:t>
      </w:r>
    </w:p>
    <w:p w14:paraId="6B2A096D">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u w:val="single"/>
          <w14:textFill>
            <w14:solidFill>
              <w14:schemeClr w14:val="tx1"/>
            </w14:solidFill>
          </w14:textFill>
        </w:rPr>
      </w:pPr>
      <w:r>
        <w:rPr>
          <w:rFonts w:hint="eastAsia" w:ascii="Times New Roman" w:hAnsi="Times New Roman" w:eastAsia="宋体" w:cs="Times New Roman"/>
          <w:color w:val="000000" w:themeColor="text1"/>
          <w:spacing w:val="-2"/>
          <w:sz w:val="24"/>
          <w:szCs w:val="20"/>
          <w:u w:val="single"/>
          <w14:textFill>
            <w14:solidFill>
              <w14:schemeClr w14:val="tx1"/>
            </w14:solidFill>
          </w14:textFill>
        </w:rPr>
        <w:t>（6）应根据物料来源、放射性水平等进行合理的贮存区域划分。</w:t>
      </w:r>
    </w:p>
    <w:p w14:paraId="46B89674">
      <w:pPr>
        <w:pStyle w:val="6"/>
        <w:widowControl w:val="0"/>
        <w:numPr>
          <w:ilvl w:val="3"/>
          <w:numId w:val="1"/>
        </w:numPr>
        <w:spacing w:before="0" w:line="360" w:lineRule="auto"/>
        <w:ind w:left="0" w:firstLine="0"/>
        <w:jc w:val="both"/>
        <w:rPr>
          <w:rFonts w:ascii="Times New Roman" w:hAnsi="Times New Roman" w:eastAsia="黑体" w:cs="Times New Roman"/>
          <w:bCs/>
          <w:i w:val="0"/>
          <w:iCs w:val="0"/>
          <w:color w:val="000000" w:themeColor="text1"/>
          <w:kern w:val="2"/>
          <w:sz w:val="24"/>
          <w:u w:val="single"/>
          <w14:textFill>
            <w14:solidFill>
              <w14:schemeClr w14:val="tx1"/>
            </w14:solidFill>
          </w14:textFill>
        </w:rPr>
      </w:pPr>
      <w:r>
        <w:rPr>
          <w:rFonts w:hint="eastAsia" w:ascii="Times New Roman" w:hAnsi="Times New Roman" w:eastAsia="黑体" w:cs="Times New Roman"/>
          <w:bCs/>
          <w:i w:val="0"/>
          <w:iCs w:val="0"/>
          <w:color w:val="000000" w:themeColor="text1"/>
          <w:kern w:val="2"/>
          <w:sz w:val="24"/>
          <w:u w:val="single"/>
          <w14:textFill>
            <w14:solidFill>
              <w14:schemeClr w14:val="tx1"/>
            </w14:solidFill>
          </w14:textFill>
        </w:rPr>
        <w:t>伴生放射性物料贮存设施运行要求</w:t>
      </w:r>
    </w:p>
    <w:p w14:paraId="3270C3B9">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u w:val="single"/>
          <w14:textFill>
            <w14:solidFill>
              <w14:schemeClr w14:val="tx1"/>
            </w14:solidFill>
          </w14:textFill>
        </w:rPr>
      </w:pPr>
      <w:r>
        <w:rPr>
          <w:rFonts w:hint="eastAsia" w:ascii="Times New Roman" w:hAnsi="Times New Roman" w:eastAsia="宋体" w:cs="Times New Roman"/>
          <w:color w:val="000000" w:themeColor="text1"/>
          <w:spacing w:val="-2"/>
          <w:sz w:val="24"/>
          <w:szCs w:val="20"/>
          <w:u w:val="single"/>
          <w14:textFill>
            <w14:solidFill>
              <w14:schemeClr w14:val="tx1"/>
            </w14:solidFill>
          </w14:textFill>
        </w:rPr>
        <w:t>（1）根据《伴生放射性物料贮存及固体废物填埋辐射环境保护技术规范（试行）》（HJ 1114-2020）相关要求，在原料和产品的仓库外明显部位设置电离辐射标志，对原料和产品进行分类贮存，并加强管理，防止物料流失，禁止无关人员进入。</w:t>
      </w:r>
    </w:p>
    <w:p w14:paraId="2B11530B">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u w:val="single"/>
          <w14:textFill>
            <w14:solidFill>
              <w14:schemeClr w14:val="tx1"/>
            </w14:solidFill>
          </w14:textFill>
        </w:rPr>
      </w:pPr>
      <w:r>
        <w:rPr>
          <w:rFonts w:hint="eastAsia" w:ascii="Times New Roman" w:hAnsi="Times New Roman" w:eastAsia="宋体" w:cs="Times New Roman"/>
          <w:color w:val="000000" w:themeColor="text1"/>
          <w:spacing w:val="-2"/>
          <w:sz w:val="24"/>
          <w:szCs w:val="20"/>
          <w:u w:val="single"/>
          <w14:textFill>
            <w14:solidFill>
              <w14:schemeClr w14:val="tx1"/>
            </w14:solidFill>
          </w14:textFill>
        </w:rPr>
        <w:t>（2）固体废物贮存应有明确标识，并结合实际情况注明废物的名称、数量、放射性核素活度浓度等。</w:t>
      </w:r>
    </w:p>
    <w:p w14:paraId="52ABA7BC">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u w:val="single"/>
          <w14:textFill>
            <w14:solidFill>
              <w14:schemeClr w14:val="tx1"/>
            </w14:solidFill>
          </w14:textFill>
        </w:rPr>
      </w:pPr>
      <w:r>
        <w:rPr>
          <w:rFonts w:hint="eastAsia" w:ascii="Times New Roman" w:hAnsi="Times New Roman" w:eastAsia="宋体" w:cs="Times New Roman"/>
          <w:color w:val="000000" w:themeColor="text1"/>
          <w:spacing w:val="-2"/>
          <w:sz w:val="24"/>
          <w:szCs w:val="20"/>
          <w:u w:val="single"/>
          <w14:textFill>
            <w14:solidFill>
              <w14:schemeClr w14:val="tx1"/>
            </w14:solidFill>
          </w14:textFill>
        </w:rPr>
        <w:t>（3）固体废物贮存台账应结合实际情况注明名称、来源、数量、放射性核素活度浓度、入库日期、出库日期及接收单位名称等信息。</w:t>
      </w:r>
    </w:p>
    <w:p w14:paraId="1E4EAFDD">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u w:val="single"/>
          <w14:textFill>
            <w14:solidFill>
              <w14:schemeClr w14:val="tx1"/>
            </w14:solidFill>
          </w14:textFill>
        </w:rPr>
      </w:pPr>
      <w:r>
        <w:rPr>
          <w:rFonts w:hint="eastAsia" w:ascii="Times New Roman" w:hAnsi="Times New Roman" w:eastAsia="宋体" w:cs="Times New Roman"/>
          <w:color w:val="000000" w:themeColor="text1"/>
          <w:spacing w:val="-2"/>
          <w:sz w:val="24"/>
          <w:szCs w:val="20"/>
          <w:u w:val="single"/>
          <w14:textFill>
            <w14:solidFill>
              <w14:schemeClr w14:val="tx1"/>
            </w14:solidFill>
          </w14:textFill>
        </w:rPr>
        <w:t>（4）物料贮存相配套的防尘、抑尘措施，应稳定运行、有效实施。</w:t>
      </w:r>
    </w:p>
    <w:p w14:paraId="4BBD7F96">
      <w:pPr>
        <w:pStyle w:val="6"/>
        <w:widowControl w:val="0"/>
        <w:numPr>
          <w:ilvl w:val="3"/>
          <w:numId w:val="1"/>
        </w:numPr>
        <w:spacing w:before="0" w:line="360" w:lineRule="auto"/>
        <w:ind w:left="0" w:firstLine="0"/>
        <w:jc w:val="both"/>
        <w:rPr>
          <w:rFonts w:ascii="Times New Roman" w:hAnsi="Times New Roman" w:eastAsia="黑体" w:cs="Times New Roman"/>
          <w:bCs/>
          <w:i w:val="0"/>
          <w:iCs w:val="0"/>
          <w:color w:val="000000" w:themeColor="text1"/>
          <w:kern w:val="2"/>
          <w:sz w:val="24"/>
          <w:u w:val="single"/>
          <w14:textFill>
            <w14:solidFill>
              <w14:schemeClr w14:val="tx1"/>
            </w14:solidFill>
          </w14:textFill>
        </w:rPr>
      </w:pPr>
      <w:r>
        <w:rPr>
          <w:rFonts w:hint="eastAsia" w:ascii="Times New Roman" w:hAnsi="Times New Roman" w:eastAsia="黑体" w:cs="Times New Roman"/>
          <w:bCs/>
          <w:i w:val="0"/>
          <w:iCs w:val="0"/>
          <w:color w:val="000000" w:themeColor="text1"/>
          <w:kern w:val="2"/>
          <w:sz w:val="24"/>
          <w:u w:val="single"/>
          <w14:textFill>
            <w14:solidFill>
              <w14:schemeClr w14:val="tx1"/>
            </w14:solidFill>
          </w14:textFill>
        </w:rPr>
        <w:t>其他管理防护措施建议</w:t>
      </w:r>
    </w:p>
    <w:p w14:paraId="3FD47037">
      <w:pPr>
        <w:widowControl w:val="0"/>
        <w:spacing w:after="0" w:line="360" w:lineRule="auto"/>
        <w:ind w:firstLine="472" w:firstLineChars="200"/>
        <w:rPr>
          <w:rFonts w:ascii="Times New Roman" w:hAnsi="Times New Roman" w:eastAsia="宋体" w:cs="Times New Roman"/>
          <w:color w:val="000000" w:themeColor="text1"/>
          <w:spacing w:val="-2"/>
          <w:sz w:val="24"/>
          <w:szCs w:val="20"/>
          <w:u w:val="single"/>
          <w14:textFill>
            <w14:solidFill>
              <w14:schemeClr w14:val="tx1"/>
            </w14:solidFill>
          </w14:textFill>
        </w:rPr>
      </w:pPr>
      <w:r>
        <w:rPr>
          <w:rFonts w:hint="eastAsia" w:ascii="Times New Roman" w:hAnsi="Times New Roman" w:eastAsia="宋体" w:cs="Times New Roman"/>
          <w:color w:val="000000" w:themeColor="text1"/>
          <w:spacing w:val="-2"/>
          <w:sz w:val="24"/>
          <w:szCs w:val="20"/>
          <w:u w:val="single"/>
          <w14:textFill>
            <w14:solidFill>
              <w14:schemeClr w14:val="tx1"/>
            </w14:solidFill>
          </w14:textFill>
        </w:rPr>
        <w:t>（1）贮存设施应采用水泥混凝土墙体，墙体厚40cm，设置15cm厚的钢制防护门，大门外1m范围内张贴地面标识，提示注意电离辐射，无关人员禁止停留。</w:t>
      </w:r>
    </w:p>
    <w:p w14:paraId="53E1B5D6">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u w:val="single"/>
          <w14:textFill>
            <w14:solidFill>
              <w14:schemeClr w14:val="tx1"/>
            </w14:solidFill>
          </w14:textFill>
        </w:rPr>
      </w:pPr>
      <w:r>
        <w:rPr>
          <w:rFonts w:hint="eastAsia" w:ascii="Times New Roman" w:hAnsi="Times New Roman" w:eastAsia="宋体" w:cs="Times New Roman"/>
          <w:color w:val="000000" w:themeColor="text1"/>
          <w:spacing w:val="-2"/>
          <w:sz w:val="24"/>
          <w:szCs w:val="20"/>
          <w:u w:val="single"/>
          <w14:textFill>
            <w14:solidFill>
              <w14:schemeClr w14:val="tx1"/>
            </w14:solidFill>
          </w14:textFill>
        </w:rPr>
        <w:t>（2）设置通排风系统，保证贮存场所通风换气次数3～4次/h，防止伴生放射性核素衰变产生的氡气聚集。</w:t>
      </w:r>
    </w:p>
    <w:p w14:paraId="1509B401">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u w:val="single"/>
          <w14:textFill>
            <w14:solidFill>
              <w14:schemeClr w14:val="tx1"/>
            </w14:solidFill>
          </w14:textFill>
        </w:rPr>
      </w:pPr>
      <w:r>
        <w:rPr>
          <w:rFonts w:hint="eastAsia" w:ascii="Times New Roman" w:hAnsi="Times New Roman" w:eastAsia="宋体" w:cs="Times New Roman"/>
          <w:color w:val="000000" w:themeColor="text1"/>
          <w:spacing w:val="-2"/>
          <w:sz w:val="24"/>
          <w:szCs w:val="20"/>
          <w:u w:val="single"/>
          <w14:textFill>
            <w14:solidFill>
              <w14:schemeClr w14:val="tx1"/>
            </w14:solidFill>
          </w14:textFill>
        </w:rPr>
        <w:t>（3）项目生产与贮存一体，车间管理上要求双人双锁，专人负责，门上张贴电离辐射标志，无关人员不要进入车间，尽量不在车间周围停留。对涉辐射物料应严格执行台账制度，由专人负责，准确无误</w:t>
      </w:r>
      <w:r>
        <w:rPr>
          <w:rFonts w:hint="eastAsia" w:ascii="Times New Roman" w:hAnsi="Times New Roman" w:eastAsia="宋体" w:cs="Times New Roman"/>
          <w:color w:val="000000" w:themeColor="text1"/>
          <w:spacing w:val="-2"/>
          <w:sz w:val="24"/>
          <w:szCs w:val="20"/>
          <w:u w:val="single"/>
          <w:lang w:eastAsia="zh-CN"/>
          <w14:textFill>
            <w14:solidFill>
              <w14:schemeClr w14:val="tx1"/>
            </w14:solidFill>
          </w14:textFill>
        </w:rPr>
        <w:t>地</w:t>
      </w:r>
      <w:r>
        <w:rPr>
          <w:rFonts w:hint="eastAsia" w:ascii="Times New Roman" w:hAnsi="Times New Roman" w:eastAsia="宋体" w:cs="Times New Roman"/>
          <w:color w:val="000000" w:themeColor="text1"/>
          <w:spacing w:val="-2"/>
          <w:sz w:val="24"/>
          <w:szCs w:val="20"/>
          <w:u w:val="single"/>
          <w14:textFill>
            <w14:solidFill>
              <w14:schemeClr w14:val="tx1"/>
            </w14:solidFill>
          </w14:textFill>
        </w:rPr>
        <w:t>登记涉辐射物料来源去向，并且实行联单管理。</w:t>
      </w:r>
    </w:p>
    <w:p w14:paraId="304B3500">
      <w:pPr>
        <w:pStyle w:val="5"/>
        <w:widowControl w:val="0"/>
        <w:numPr>
          <w:ilvl w:val="2"/>
          <w:numId w:val="1"/>
        </w:numPr>
        <w:spacing w:before="0" w:line="360" w:lineRule="auto"/>
        <w:jc w:val="both"/>
        <w:rPr>
          <w:rFonts w:ascii="Times New Roman" w:hAnsi="Times New Roman" w:eastAsia="黑体" w:cs="Times New Roman"/>
          <w:b/>
          <w:bCs/>
          <w:caps w:val="0"/>
          <w:color w:val="000000" w:themeColor="text1"/>
          <w:kern w:val="2"/>
          <w:sz w:val="24"/>
          <w:szCs w:val="32"/>
          <w14:textFill>
            <w14:solidFill>
              <w14:schemeClr w14:val="tx1"/>
            </w14:solidFill>
          </w14:textFill>
        </w:rPr>
      </w:pPr>
      <w:r>
        <w:rPr>
          <w:rFonts w:ascii="Times New Roman" w:hAnsi="Times New Roman" w:eastAsia="黑体" w:cs="Times New Roman"/>
          <w:b/>
          <w:bCs/>
          <w:caps w:val="0"/>
          <w:color w:val="000000" w:themeColor="text1"/>
          <w:kern w:val="2"/>
          <w:sz w:val="24"/>
          <w:szCs w:val="32"/>
          <w14:textFill>
            <w14:solidFill>
              <w14:schemeClr w14:val="tx1"/>
            </w14:solidFill>
          </w14:textFill>
        </w:rPr>
        <w:t>气载流出物</w:t>
      </w:r>
      <w:r>
        <w:rPr>
          <w:rFonts w:hint="eastAsia" w:ascii="Times New Roman" w:hAnsi="Times New Roman" w:eastAsia="黑体" w:cs="Times New Roman"/>
          <w:b/>
          <w:bCs/>
          <w:caps w:val="0"/>
          <w:color w:val="000000" w:themeColor="text1"/>
          <w:kern w:val="2"/>
          <w:sz w:val="24"/>
          <w:szCs w:val="32"/>
          <w14:textFill>
            <w14:solidFill>
              <w14:schemeClr w14:val="tx1"/>
            </w14:solidFill>
          </w14:textFill>
        </w:rPr>
        <w:t>防护措施</w:t>
      </w:r>
    </w:p>
    <w:p w14:paraId="503D0209">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由于铀钍等核素是随着颗粒物排放到废气中去，所以做好颗粒物的减排工作就是做好了铀钍核素的减排工作。本项目废气分为有组织废气、无组织废气，有组织废气主要为烘干炉烟气、生产车间含矿粉尘；无组织废气为生产车间无组织排放的含矿粉尘。本项目烘干炉采用间接烘干工艺，采用生物质颗粒为烘干炉提供热源，生物质颗粒不含放射性核素，因此，烘干烟气不含放射性核素，本项目对生产车间粉尘采取的防治措施如下：</w:t>
      </w:r>
    </w:p>
    <w:p w14:paraId="4F840695">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（1）有组织废气处理设施</w:t>
      </w:r>
    </w:p>
    <w:p w14:paraId="16FD70E0">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项目在</w:t>
      </w:r>
      <w:r>
        <w:rPr>
          <w:rFonts w:ascii="Times New Roman" w:hAnsi="Times New Roman"/>
          <w:color w:val="000000" w:themeColor="text1"/>
          <w:spacing w:val="-2"/>
          <w:sz w:val="24"/>
          <w:szCs w:val="24"/>
          <w14:textFill>
            <w14:solidFill>
              <w14:schemeClr w14:val="tx1"/>
            </w14:solidFill>
          </w14:textFill>
        </w:rPr>
        <w:t>烘干机、磁选机进出料口等主要扬尘产生点配套安装集气罩，采用负压抽风进行收尘，收集后的粉尘采用袋式除尘工艺进行治理。项目</w:t>
      </w:r>
      <w:r>
        <w:rPr>
          <w:rFonts w:hint="eastAsia" w:ascii="Times New Roman" w:hAnsi="Times New Roman"/>
          <w:color w:val="000000" w:themeColor="text1"/>
          <w:spacing w:val="-2"/>
          <w:sz w:val="24"/>
          <w:szCs w:val="24"/>
          <w14:textFill>
            <w14:solidFill>
              <w14:schemeClr w14:val="tx1"/>
            </w14:solidFill>
          </w14:textFill>
        </w:rPr>
        <w:t>分别在1#原料处理车间、2#分选车间各设置一套车间粉尘除尘系统，各</w:t>
      </w:r>
      <w:r>
        <w:rPr>
          <w:rFonts w:ascii="Times New Roman" w:hAnsi="Times New Roman"/>
          <w:color w:val="000000" w:themeColor="text1"/>
          <w:spacing w:val="-2"/>
          <w:sz w:val="24"/>
          <w:szCs w:val="24"/>
          <w14:textFill>
            <w14:solidFill>
              <w14:schemeClr w14:val="tx1"/>
            </w14:solidFill>
          </w14:textFill>
        </w:rPr>
        <w:t>配套</w:t>
      </w:r>
      <w:r>
        <w:rPr>
          <w:rFonts w:hint="eastAsia" w:ascii="Times New Roman" w:hAnsi="Times New Roman"/>
          <w:color w:val="000000" w:themeColor="text1"/>
          <w:spacing w:val="-2"/>
          <w:sz w:val="24"/>
          <w:szCs w:val="24"/>
          <w14:textFill>
            <w14:solidFill>
              <w14:schemeClr w14:val="tx1"/>
            </w14:solidFill>
          </w14:textFill>
        </w:rPr>
        <w:t>一台</w:t>
      </w:r>
      <w:r>
        <w:rPr>
          <w:rFonts w:ascii="Times New Roman" w:hAnsi="Times New Roman"/>
          <w:color w:val="000000" w:themeColor="text1"/>
          <w:spacing w:val="-2"/>
          <w:sz w:val="24"/>
          <w:szCs w:val="24"/>
          <w14:textFill>
            <w14:solidFill>
              <w14:schemeClr w14:val="tx1"/>
            </w14:solidFill>
          </w14:textFill>
        </w:rPr>
        <w:t>风量为5000m</w:t>
      </w:r>
      <w:r>
        <w:rPr>
          <w:rFonts w:ascii="Times New Roman" w:hAnsi="Times New Roman"/>
          <w:color w:val="000000" w:themeColor="text1"/>
          <w:spacing w:val="-2"/>
          <w:sz w:val="24"/>
          <w:szCs w:val="24"/>
          <w:vertAlign w:val="superscript"/>
          <w14:textFill>
            <w14:solidFill>
              <w14:schemeClr w14:val="tx1"/>
            </w14:solidFill>
          </w14:textFill>
        </w:rPr>
        <w:t>3</w:t>
      </w:r>
      <w:r>
        <w:rPr>
          <w:rFonts w:ascii="Times New Roman" w:hAnsi="Times New Roman"/>
          <w:color w:val="000000" w:themeColor="text1"/>
          <w:spacing w:val="-2"/>
          <w:sz w:val="24"/>
          <w:szCs w:val="24"/>
          <w14:textFill>
            <w14:solidFill>
              <w14:schemeClr w14:val="tx1"/>
            </w14:solidFill>
          </w14:textFill>
        </w:rPr>
        <w:t>/h风机，</w:t>
      </w:r>
      <w:r>
        <w:rPr>
          <w:rFonts w:hint="eastAsia" w:ascii="Times New Roman" w:hAnsi="Times New Roman"/>
          <w:color w:val="000000" w:themeColor="text1"/>
          <w:spacing w:val="-2"/>
          <w:sz w:val="24"/>
          <w:szCs w:val="24"/>
          <w14:textFill>
            <w14:solidFill>
              <w14:schemeClr w14:val="tx1"/>
            </w14:solidFill>
          </w14:textFill>
        </w:rPr>
        <w:t>每套除尘系统</w:t>
      </w:r>
      <w:r>
        <w:rPr>
          <w:rFonts w:ascii="Times New Roman" w:hAnsi="Times New Roman"/>
          <w:color w:val="000000" w:themeColor="text1"/>
          <w:spacing w:val="-2"/>
          <w:sz w:val="24"/>
          <w:szCs w:val="24"/>
          <w14:textFill>
            <w14:solidFill>
              <w14:schemeClr w14:val="tx1"/>
            </w14:solidFill>
          </w14:textFill>
        </w:rPr>
        <w:t>年排放废气量为2400万m</w:t>
      </w:r>
      <w:r>
        <w:rPr>
          <w:rFonts w:ascii="Times New Roman" w:hAnsi="Times New Roman"/>
          <w:color w:val="000000" w:themeColor="text1"/>
          <w:spacing w:val="-2"/>
          <w:sz w:val="24"/>
          <w:szCs w:val="24"/>
          <w:vertAlign w:val="superscript"/>
          <w14:textFill>
            <w14:solidFill>
              <w14:schemeClr w14:val="tx1"/>
            </w14:solidFill>
          </w14:textFill>
        </w:rPr>
        <w:t>3</w:t>
      </w:r>
      <w:r>
        <w:rPr>
          <w:rFonts w:ascii="Times New Roman" w:hAnsi="Times New Roman"/>
          <w:color w:val="000000" w:themeColor="text1"/>
          <w:spacing w:val="-2"/>
          <w:sz w:val="24"/>
          <w:szCs w:val="24"/>
          <w14:textFill>
            <w14:solidFill>
              <w14:schemeClr w14:val="tx1"/>
            </w14:solidFill>
          </w14:textFill>
        </w:rPr>
        <w:t>/a，处理后的生产车间粉尘废气</w:t>
      </w:r>
      <w:r>
        <w:rPr>
          <w:rFonts w:hint="eastAsia" w:ascii="Times New Roman" w:hAnsi="Times New Roman"/>
          <w:color w:val="000000" w:themeColor="text1"/>
          <w:spacing w:val="-2"/>
          <w:sz w:val="24"/>
          <w:szCs w:val="24"/>
          <w14:textFill>
            <w14:solidFill>
              <w14:schemeClr w14:val="tx1"/>
            </w14:solidFill>
          </w14:textFill>
        </w:rPr>
        <w:t>分别</w:t>
      </w:r>
      <w:r>
        <w:rPr>
          <w:rFonts w:ascii="Times New Roman" w:hAnsi="Times New Roman"/>
          <w:color w:val="000000" w:themeColor="text1"/>
          <w:spacing w:val="-2"/>
          <w:sz w:val="24"/>
          <w:szCs w:val="24"/>
          <w14:textFill>
            <w14:solidFill>
              <w14:schemeClr w14:val="tx1"/>
            </w14:solidFill>
          </w14:textFill>
        </w:rPr>
        <w:t>通过</w:t>
      </w:r>
      <w:r>
        <w:rPr>
          <w:rFonts w:hint="eastAsia" w:ascii="Times New Roman" w:hAnsi="Times New Roman"/>
          <w:color w:val="000000" w:themeColor="text1"/>
          <w:spacing w:val="-2"/>
          <w:sz w:val="24"/>
          <w:szCs w:val="24"/>
          <w14:textFill>
            <w14:solidFill>
              <w14:schemeClr w14:val="tx1"/>
            </w14:solidFill>
          </w14:textFill>
        </w:rPr>
        <w:t>两根17</w:t>
      </w:r>
      <w:r>
        <w:rPr>
          <w:rFonts w:ascii="Times New Roman" w:hAnsi="Times New Roman"/>
          <w:color w:val="000000" w:themeColor="text1"/>
          <w:spacing w:val="-2"/>
          <w:sz w:val="24"/>
          <w:szCs w:val="24"/>
          <w14:textFill>
            <w14:solidFill>
              <w14:schemeClr w14:val="tx1"/>
            </w14:solidFill>
          </w14:textFill>
        </w:rPr>
        <w:t>m高、直径0.</w:t>
      </w:r>
      <w:r>
        <w:rPr>
          <w:rFonts w:hint="eastAsia" w:ascii="Times New Roman" w:hAnsi="Times New Roman"/>
          <w:color w:val="000000" w:themeColor="text1"/>
          <w:spacing w:val="-2"/>
          <w:sz w:val="24"/>
          <w:szCs w:val="24"/>
          <w14:textFill>
            <w14:solidFill>
              <w14:schemeClr w14:val="tx1"/>
            </w14:solidFill>
          </w14:textFill>
        </w:rPr>
        <w:t>3</w:t>
      </w:r>
      <w:r>
        <w:rPr>
          <w:rFonts w:ascii="Times New Roman" w:hAnsi="Times New Roman"/>
          <w:color w:val="000000" w:themeColor="text1"/>
          <w:spacing w:val="-2"/>
          <w:sz w:val="24"/>
          <w:szCs w:val="24"/>
          <w14:textFill>
            <w14:solidFill>
              <w14:schemeClr w14:val="tx1"/>
            </w14:solidFill>
          </w14:textFill>
        </w:rPr>
        <w:t>m的排气筒排放，排气筒位置</w:t>
      </w:r>
      <w:r>
        <w:rPr>
          <w:rFonts w:hint="eastAsia" w:ascii="Times New Roman" w:hAnsi="Times New Roman"/>
          <w:color w:val="000000" w:themeColor="text1"/>
          <w:spacing w:val="-2"/>
          <w:sz w:val="24"/>
          <w:szCs w:val="24"/>
          <w14:textFill>
            <w14:solidFill>
              <w14:schemeClr w14:val="tx1"/>
            </w14:solidFill>
          </w14:textFill>
        </w:rPr>
        <w:t>分别</w:t>
      </w:r>
      <w:r>
        <w:rPr>
          <w:rFonts w:ascii="Times New Roman" w:hAnsi="Times New Roman"/>
          <w:color w:val="000000" w:themeColor="text1"/>
          <w:spacing w:val="-2"/>
          <w:sz w:val="24"/>
          <w:szCs w:val="24"/>
          <w14:textFill>
            <w14:solidFill>
              <w14:schemeClr w14:val="tx1"/>
            </w14:solidFill>
          </w14:textFill>
        </w:rPr>
        <w:t>位于</w:t>
      </w:r>
      <w:r>
        <w:rPr>
          <w:rFonts w:hint="eastAsia" w:ascii="Times New Roman" w:hAnsi="Times New Roman"/>
          <w:color w:val="000000" w:themeColor="text1"/>
          <w:spacing w:val="-2"/>
          <w:sz w:val="24"/>
          <w:szCs w:val="24"/>
          <w14:textFill>
            <w14:solidFill>
              <w14:schemeClr w14:val="tx1"/>
            </w14:solidFill>
          </w14:textFill>
        </w:rPr>
        <w:t>1#原料处理车间、</w:t>
      </w:r>
      <w:r>
        <w:rPr>
          <w:rFonts w:ascii="Times New Roman" w:hAnsi="Times New Roman"/>
          <w:color w:val="000000" w:themeColor="text1"/>
          <w:spacing w:val="-2"/>
          <w:sz w:val="24"/>
          <w:szCs w:val="24"/>
          <w14:textFill>
            <w14:solidFill>
              <w14:schemeClr w14:val="tx1"/>
            </w14:solidFill>
          </w14:textFill>
        </w:rPr>
        <w:t>2#分选车间北侧厂房外。</w:t>
      </w:r>
    </w:p>
    <w:p w14:paraId="13E006B0">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（2）无组织废气防治措施</w:t>
      </w:r>
    </w:p>
    <w:p w14:paraId="146D4217">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color w:val="000000" w:themeColor="text1"/>
          <w:spacing w:val="-2"/>
          <w:sz w:val="24"/>
          <w:szCs w:val="24"/>
          <w14:textFill>
            <w14:solidFill>
              <w14:schemeClr w14:val="tx1"/>
            </w14:solidFill>
          </w14:textFill>
        </w:rPr>
        <w:t>项目</w:t>
      </w:r>
      <w:r>
        <w:rPr>
          <w:rFonts w:ascii="Times New Roman" w:hAnsi="Times New Roman"/>
          <w:color w:val="000000" w:themeColor="text1"/>
          <w:spacing w:val="-2"/>
          <w:sz w:val="24"/>
          <w:szCs w:val="24"/>
          <w14:textFill>
            <w14:solidFill>
              <w14:schemeClr w14:val="tx1"/>
            </w14:solidFill>
          </w14:textFill>
        </w:rPr>
        <w:t>生产车间</w:t>
      </w:r>
      <w:r>
        <w:rPr>
          <w:rFonts w:hint="eastAsia" w:ascii="Times New Roman" w:hAnsi="Times New Roman"/>
          <w:color w:val="000000" w:themeColor="text1"/>
          <w:spacing w:val="-2"/>
          <w:sz w:val="24"/>
          <w:szCs w:val="24"/>
          <w14:textFill>
            <w14:solidFill>
              <w14:schemeClr w14:val="tx1"/>
            </w14:solidFill>
          </w14:textFill>
        </w:rPr>
        <w:t>采用封闭式设计</w:t>
      </w:r>
      <w:r>
        <w:rPr>
          <w:rFonts w:ascii="Times New Roman" w:hAnsi="Times New Roman"/>
          <w:color w:val="000000" w:themeColor="text1"/>
          <w:spacing w:val="-2"/>
          <w:sz w:val="24"/>
          <w:szCs w:val="24"/>
          <w14:textFill>
            <w14:solidFill>
              <w14:schemeClr w14:val="tx1"/>
            </w14:solidFill>
          </w14:textFill>
        </w:rPr>
        <w:t>，生产环境封闭程度相对较好，</w:t>
      </w:r>
      <w:r>
        <w:rPr>
          <w:rFonts w:hint="eastAsia" w:ascii="Times New Roman" w:hAnsi="Times New Roman"/>
          <w:color w:val="000000" w:themeColor="text1"/>
          <w:spacing w:val="-2"/>
          <w:sz w:val="24"/>
          <w:szCs w:val="24"/>
          <w14:textFill>
            <w14:solidFill>
              <w14:schemeClr w14:val="tx1"/>
            </w14:solidFill>
          </w14:textFill>
        </w:rPr>
        <w:t>项目生产线及物料贮存均位于生产车间内。项目生产线主要产尘环节均设置了</w:t>
      </w:r>
      <w:r>
        <w:rPr>
          <w:rFonts w:ascii="Times New Roman" w:hAnsi="Times New Roman"/>
          <w:color w:val="000000" w:themeColor="text1"/>
          <w:spacing w:val="-2"/>
          <w:sz w:val="24"/>
          <w:szCs w:val="24"/>
          <w14:textFill>
            <w14:solidFill>
              <w14:schemeClr w14:val="tx1"/>
            </w14:solidFill>
          </w14:textFill>
        </w:rPr>
        <w:t>集气罩</w:t>
      </w:r>
      <w:r>
        <w:rPr>
          <w:rFonts w:hint="eastAsia" w:ascii="Times New Roman" w:hAnsi="Times New Roman"/>
          <w:color w:val="000000" w:themeColor="text1"/>
          <w:spacing w:val="-2"/>
          <w:sz w:val="24"/>
          <w:szCs w:val="24"/>
          <w14:textFill>
            <w14:solidFill>
              <w14:schemeClr w14:val="tx1"/>
            </w14:solidFill>
          </w14:textFill>
        </w:rPr>
        <w:t>，生产线大部分粉尘被除尘系统收集，</w:t>
      </w:r>
      <w:r>
        <w:rPr>
          <w:rFonts w:ascii="Times New Roman" w:hAnsi="Times New Roman"/>
          <w:color w:val="000000" w:themeColor="text1"/>
          <w:spacing w:val="-2"/>
          <w:sz w:val="24"/>
          <w:szCs w:val="24"/>
          <w14:textFill>
            <w14:solidFill>
              <w14:schemeClr w14:val="tx1"/>
            </w14:solidFill>
          </w14:textFill>
        </w:rPr>
        <w:t>除尘系统集气罩未收集到的车间扬尘主要飘散在车间内2～</w:t>
      </w:r>
      <w:r>
        <w:rPr>
          <w:rFonts w:hint="eastAsia" w:ascii="Times New Roman" w:hAnsi="Times New Roman"/>
          <w:color w:val="000000" w:themeColor="text1"/>
          <w:spacing w:val="-2"/>
          <w:sz w:val="24"/>
          <w:szCs w:val="24"/>
          <w14:textFill>
            <w14:solidFill>
              <w14:schemeClr w14:val="tx1"/>
            </w14:solidFill>
          </w14:textFill>
        </w:rPr>
        <w:t>4</w:t>
      </w:r>
      <w:r>
        <w:rPr>
          <w:rFonts w:ascii="Times New Roman" w:hAnsi="Times New Roman"/>
          <w:color w:val="000000" w:themeColor="text1"/>
          <w:spacing w:val="-2"/>
          <w:sz w:val="24"/>
          <w:szCs w:val="24"/>
          <w14:textFill>
            <w14:solidFill>
              <w14:schemeClr w14:val="tx1"/>
            </w14:solidFill>
          </w14:textFill>
        </w:rPr>
        <w:t>m高的区域，项目的物料主要为含金属矿砂，产生的含金属粉尘的比重较大，具有重力沉降速度较快的特点。飘散在车间内的大部分矿砂粉尘，在无风扰动的</w:t>
      </w:r>
      <w:r>
        <w:rPr>
          <w:rFonts w:hint="eastAsia" w:ascii="Times New Roman" w:hAnsi="Times New Roman"/>
          <w:color w:val="000000" w:themeColor="text1"/>
          <w:spacing w:val="-2"/>
          <w:sz w:val="24"/>
          <w:szCs w:val="24"/>
          <w14:textFill>
            <w14:solidFill>
              <w14:schemeClr w14:val="tx1"/>
            </w14:solidFill>
          </w14:textFill>
        </w:rPr>
        <w:t>封闭</w:t>
      </w:r>
      <w:r>
        <w:rPr>
          <w:rFonts w:ascii="Times New Roman" w:hAnsi="Times New Roman"/>
          <w:color w:val="000000" w:themeColor="text1"/>
          <w:spacing w:val="-2"/>
          <w:sz w:val="24"/>
          <w:szCs w:val="24"/>
          <w14:textFill>
            <w14:solidFill>
              <w14:schemeClr w14:val="tx1"/>
            </w14:solidFill>
          </w14:textFill>
        </w:rPr>
        <w:t>车间环境</w:t>
      </w:r>
      <w:r>
        <w:rPr>
          <w:rFonts w:hint="eastAsia" w:ascii="Times New Roman" w:hAnsi="Times New Roman"/>
          <w:color w:val="000000" w:themeColor="text1"/>
          <w:spacing w:val="-2"/>
          <w:sz w:val="24"/>
          <w:szCs w:val="24"/>
          <w14:textFill>
            <w14:solidFill>
              <w14:schemeClr w14:val="tx1"/>
            </w14:solidFill>
          </w14:textFill>
        </w:rPr>
        <w:t>大部分</w:t>
      </w:r>
      <w:r>
        <w:rPr>
          <w:rFonts w:ascii="Times New Roman" w:hAnsi="Times New Roman"/>
          <w:color w:val="000000" w:themeColor="text1"/>
          <w:spacing w:val="-2"/>
          <w:sz w:val="24"/>
          <w:szCs w:val="24"/>
          <w14:textFill>
            <w14:solidFill>
              <w14:schemeClr w14:val="tx1"/>
            </w14:solidFill>
          </w14:textFill>
        </w:rPr>
        <w:t>下沉降到地面，</w:t>
      </w:r>
      <w:r>
        <w:rPr>
          <w:rFonts w:hint="eastAsia" w:ascii="Times New Roman" w:hAnsi="Times New Roman"/>
          <w:color w:val="000000" w:themeColor="text1"/>
          <w:spacing w:val="-2"/>
          <w:sz w:val="24"/>
          <w:szCs w:val="24"/>
          <w14:textFill>
            <w14:solidFill>
              <w14:schemeClr w14:val="tx1"/>
            </w14:solidFill>
          </w14:textFill>
        </w:rPr>
        <w:t>少量</w:t>
      </w:r>
      <w:r>
        <w:rPr>
          <w:rFonts w:ascii="Times New Roman" w:hAnsi="Times New Roman"/>
          <w:color w:val="000000" w:themeColor="text1"/>
          <w:spacing w:val="-2"/>
          <w:sz w:val="24"/>
          <w:szCs w:val="24"/>
          <w14:textFill>
            <w14:solidFill>
              <w14:schemeClr w14:val="tx1"/>
            </w14:solidFill>
          </w14:textFill>
        </w:rPr>
        <w:t>的小粒径粉尘弥散至车间顶部换风口</w:t>
      </w:r>
      <w:r>
        <w:rPr>
          <w:rFonts w:hint="eastAsia" w:ascii="Times New Roman" w:hAnsi="Times New Roman"/>
          <w:color w:val="000000" w:themeColor="text1"/>
          <w:spacing w:val="-2"/>
          <w:sz w:val="24"/>
          <w:szCs w:val="24"/>
          <w14:textFill>
            <w14:solidFill>
              <w14:schemeClr w14:val="tx1"/>
            </w14:solidFill>
          </w14:textFill>
        </w:rPr>
        <w:t>无组织排放</w:t>
      </w:r>
      <w:r>
        <w:rPr>
          <w:rFonts w:ascii="Times New Roman" w:hAnsi="Times New Roman"/>
          <w:color w:val="000000" w:themeColor="text1"/>
          <w:spacing w:val="-2"/>
          <w:sz w:val="24"/>
          <w:szCs w:val="24"/>
          <w14:textFill>
            <w14:solidFill>
              <w14:schemeClr w14:val="tx1"/>
            </w14:solidFill>
          </w14:textFill>
        </w:rPr>
        <w:t>到环境中</w:t>
      </w:r>
      <w:r>
        <w:rPr>
          <w:rFonts w:hint="eastAsia" w:ascii="Times New Roman" w:hAnsi="Times New Roman"/>
          <w:color w:val="000000" w:themeColor="text1"/>
          <w:spacing w:val="-2"/>
          <w:sz w:val="24"/>
          <w:szCs w:val="24"/>
          <w14:textFill>
            <w14:solidFill>
              <w14:schemeClr w14:val="tx1"/>
            </w14:solidFill>
          </w14:textFill>
        </w:rPr>
        <w:t>。</w:t>
      </w:r>
    </w:p>
    <w:p w14:paraId="3E8D3004">
      <w:pPr>
        <w:pStyle w:val="5"/>
        <w:widowControl w:val="0"/>
        <w:numPr>
          <w:ilvl w:val="2"/>
          <w:numId w:val="1"/>
        </w:numPr>
        <w:spacing w:before="0" w:line="360" w:lineRule="auto"/>
        <w:jc w:val="both"/>
        <w:rPr>
          <w:rFonts w:ascii="Times New Roman" w:hAnsi="Times New Roman" w:eastAsia="黑体" w:cs="Times New Roman"/>
          <w:b/>
          <w:bCs/>
          <w:caps w:val="0"/>
          <w:color w:val="000000" w:themeColor="text1"/>
          <w:kern w:val="2"/>
          <w:sz w:val="24"/>
          <w:szCs w:val="32"/>
          <w14:textFill>
            <w14:solidFill>
              <w14:schemeClr w14:val="tx1"/>
            </w14:solidFill>
          </w14:textFill>
        </w:rPr>
      </w:pPr>
      <w:r>
        <w:rPr>
          <w:rFonts w:hint="eastAsia" w:ascii="Times New Roman" w:hAnsi="Times New Roman" w:eastAsia="黑体" w:cs="Times New Roman"/>
          <w:b/>
          <w:bCs/>
          <w:caps w:val="0"/>
          <w:color w:val="000000" w:themeColor="text1"/>
          <w:kern w:val="2"/>
          <w:sz w:val="24"/>
          <w:szCs w:val="32"/>
          <w14:textFill>
            <w14:solidFill>
              <w14:schemeClr w14:val="tx1"/>
            </w14:solidFill>
          </w14:textFill>
        </w:rPr>
        <w:t>固体废物防护措施</w:t>
      </w:r>
    </w:p>
    <w:p w14:paraId="4977E41E">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lang w:val="en-GB"/>
          <w14:textFill>
            <w14:solidFill>
              <w14:schemeClr w14:val="tx1"/>
            </w14:solidFill>
          </w14:textFill>
        </w:rPr>
      </w:pPr>
      <w:r>
        <w:rPr>
          <w:rFonts w:hint="eastAsia" w:ascii="Times New Roman" w:hAnsi="Times New Roman" w:eastAsia="宋体" w:cs="Times New Roman"/>
          <w:color w:val="000000" w:themeColor="text1"/>
          <w:spacing w:val="-2"/>
          <w:sz w:val="24"/>
          <w:szCs w:val="20"/>
          <w:lang w:val="en-GB"/>
          <w14:textFill>
            <w14:solidFill>
              <w14:schemeClr w14:val="tx1"/>
            </w14:solidFill>
          </w14:textFill>
        </w:rPr>
        <w:t>项目生产过程中产生的含矿尘的副产品或固废主要有：生产车间除尘器粉尘、生产车间地面粉尘、生产车间除尘器废除尘袋。</w:t>
      </w:r>
    </w:p>
    <w:p w14:paraId="17772480">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生产车间除尘器粉尘、生产车间地面粉尘收集后掺入2#车间内的锆中矿堆放区，与锆中矿一并外售。项目生产车间除尘器产生废除尘袋，妥善收集后暂存于2#分选车间内部东北角的专用贮存场地进行存放。项目产生的涉辐射固体废物均存放于2#分选车间内部，2#分选车间内布置有磁选生产线、锆中矿堆放区、钛铁精矿堆放区，涉辐射物料量均远远大于固废量，固废辐射影响相对于磁选生产线、锆中矿堆放区、钛铁精矿堆放区的放射性核素浓度基本可以忽略不计，项目涉及辐射固废的防护措施主要在项目生产物料贮存管理防护措施中已考虑。</w:t>
      </w:r>
    </w:p>
    <w:p w14:paraId="50BFEE8F">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项目2#分选车间根据一般防渗区及《伴生放射性物料贮存及固体废物填埋辐射环境保护技术规范（试行）》（HJ1114-2020）中伴生放射性物料贮存的要求进行严格管理，含放射性固体废物的暂存方式合理。</w:t>
      </w:r>
    </w:p>
    <w:p w14:paraId="6E2FB64B">
      <w:pPr>
        <w:pStyle w:val="5"/>
        <w:widowControl w:val="0"/>
        <w:numPr>
          <w:ilvl w:val="2"/>
          <w:numId w:val="1"/>
        </w:numPr>
        <w:spacing w:before="0" w:line="360" w:lineRule="auto"/>
        <w:jc w:val="both"/>
        <w:rPr>
          <w:rFonts w:ascii="Times New Roman" w:hAnsi="Times New Roman" w:eastAsia="黑体" w:cs="Times New Roman"/>
          <w:b/>
          <w:bCs/>
          <w:caps w:val="0"/>
          <w:color w:val="000000" w:themeColor="text1"/>
          <w:kern w:val="2"/>
          <w:sz w:val="24"/>
          <w:szCs w:val="32"/>
          <w14:textFill>
            <w14:solidFill>
              <w14:schemeClr w14:val="tx1"/>
            </w14:solidFill>
          </w14:textFill>
        </w:rPr>
      </w:pPr>
      <w:r>
        <w:rPr>
          <w:rFonts w:hint="eastAsia" w:ascii="Times New Roman" w:hAnsi="Times New Roman" w:eastAsia="黑体" w:cs="Times New Roman"/>
          <w:b/>
          <w:bCs/>
          <w:caps w:val="0"/>
          <w:color w:val="000000" w:themeColor="text1"/>
          <w:kern w:val="2"/>
          <w:sz w:val="24"/>
          <w:szCs w:val="32"/>
          <w14:textFill>
            <w14:solidFill>
              <w14:schemeClr w14:val="tx1"/>
            </w14:solidFill>
          </w14:textFill>
        </w:rPr>
        <w:t>运输风险防护措施</w:t>
      </w:r>
    </w:p>
    <w:p w14:paraId="37714CFD">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根据《放射性物品运输安全管理条例》（国务院令 562 号）第三十一条：“承运放射性物品应当取得国家规定的运输资质。承运人的资质管理，依照有关法律、行政法规和国务院交通运输、铁路、民航、邮政主管部门的规定执行。”本项目锆中矿外售运输的承运单位应取得相应的放射性物品运输资质，承运人应取得相应的资质；第三十条：“托运一类放射性物品的，托运人应当委托有资质的辐射监测机构对其表面污染和辐射水平实施监测，辐射监测机构应当出具辐射监测报告。托运二类、三类放射性物品的，托运人应当对其表面污染和辐射水平实施监测，并编制辐射监测报告。监测结果不符合国家放射性物品运输安全标准的，不得托运。”本项目锆中矿属于三类放射性物品，托运人（建设单位）应当对其表面污染和辐射水平实施监测，并编制辐射监测报告。监测结果不符合国家放射性物品运输安全标准的，不得托运。</w:t>
      </w:r>
    </w:p>
    <w:p w14:paraId="10A35590">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为满足《放射性物品安全运输规程》（GB 11806-2019）中要求，外售锆中矿需设置合理的运输路线，运输前应该进行严密包装，采用专用</w:t>
      </w:r>
      <w:r>
        <w:rPr>
          <w:rFonts w:hint="eastAsia" w:ascii="Times New Roman" w:hAnsi="Times New Roman" w:eastAsia="宋体" w:cs="Times New Roman"/>
          <w:color w:val="000000" w:themeColor="text1"/>
          <w:spacing w:val="-2"/>
          <w:sz w:val="24"/>
          <w:szCs w:val="20"/>
          <w:lang w:eastAsia="zh-CN"/>
          <w14:textFill>
            <w14:solidFill>
              <w14:schemeClr w14:val="tx1"/>
            </w14:solidFill>
          </w14:textFill>
        </w:rPr>
        <w:t>厢式</w:t>
      </w:r>
      <w:r>
        <w:rPr>
          <w:rFonts w:hint="eastAsia" w:ascii="Times New Roman" w:hAnsi="Times New Roman" w:eastAsia="宋体" w:cs="Times New Roman"/>
          <w:color w:val="000000" w:themeColor="text1"/>
          <w:spacing w:val="-2"/>
          <w:sz w:val="24"/>
          <w:szCs w:val="20"/>
          <w14:textFill>
            <w14:solidFill>
              <w14:schemeClr w14:val="tx1"/>
            </w14:solidFill>
          </w14:textFill>
        </w:rPr>
        <w:t>运输车辆，货物装车后应及时封闭车辆。定期对运输汽车进行维修和保养、提高驾驶人员安全意识，防止极端交通事故发生，以避免对沿线道路及周边环境形成放射性污染，在车上常备有应急物品，包括防护口罩、防护手套、护目镜等防护用品。</w:t>
      </w:r>
    </w:p>
    <w:p w14:paraId="65162C02">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运输工作人员应接受相关辐射防护措施等方面的培训：</w:t>
      </w:r>
    </w:p>
    <w:p w14:paraId="1EA3397F">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（1）避免事故发生的方法和程序；</w:t>
      </w:r>
    </w:p>
    <w:p w14:paraId="76E17EC5">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（2）制定有相应的事故应急预案及应急措施；</w:t>
      </w:r>
    </w:p>
    <w:p w14:paraId="43C95044">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（3）现有的应急响应信息以及如何利用这些信息；</w:t>
      </w:r>
    </w:p>
    <w:p w14:paraId="1D190E8E">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（4）各种放射性物品的危害和如何防止受到这些危害，必要</w:t>
      </w:r>
      <w:r>
        <w:rPr>
          <w:rFonts w:hint="eastAsia" w:ascii="Times New Roman" w:hAnsi="Times New Roman" w:eastAsia="宋体" w:cs="Times New Roman"/>
          <w:color w:val="000000" w:themeColor="text1"/>
          <w:spacing w:val="-2"/>
          <w:sz w:val="24"/>
          <w:szCs w:val="20"/>
          <w:lang w:eastAsia="zh-CN"/>
          <w14:textFill>
            <w14:solidFill>
              <w14:schemeClr w14:val="tx1"/>
            </w14:solidFill>
          </w14:textFill>
        </w:rPr>
        <w:t>时</w:t>
      </w:r>
      <w:r>
        <w:rPr>
          <w:rFonts w:hint="eastAsia" w:ascii="Times New Roman" w:hAnsi="Times New Roman" w:eastAsia="宋体" w:cs="Times New Roman"/>
          <w:color w:val="000000" w:themeColor="text1"/>
          <w:spacing w:val="-2"/>
          <w:sz w:val="24"/>
          <w:szCs w:val="20"/>
          <w14:textFill>
            <w14:solidFill>
              <w14:schemeClr w14:val="tx1"/>
            </w14:solidFill>
          </w14:textFill>
        </w:rPr>
        <w:t>包括人员防护服和防护设备的使用；</w:t>
      </w:r>
    </w:p>
    <w:p w14:paraId="65502CDC">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（5）发生放射性物质</w:t>
      </w:r>
      <w:r>
        <w:rPr>
          <w:rFonts w:hint="eastAsia" w:ascii="Times New Roman" w:hAnsi="Times New Roman" w:eastAsia="宋体" w:cs="Times New Roman"/>
          <w:color w:val="000000" w:themeColor="text1"/>
          <w:spacing w:val="-2"/>
          <w:sz w:val="24"/>
          <w:szCs w:val="20"/>
          <w:lang w:eastAsia="zh-CN"/>
          <w14:textFill>
            <w14:solidFill>
              <w14:schemeClr w14:val="tx1"/>
            </w14:solidFill>
          </w14:textFill>
        </w:rPr>
        <w:t>意外</w:t>
      </w:r>
      <w:r>
        <w:rPr>
          <w:rFonts w:hint="eastAsia" w:ascii="Times New Roman" w:hAnsi="Times New Roman" w:eastAsia="宋体" w:cs="Times New Roman"/>
          <w:color w:val="000000" w:themeColor="text1"/>
          <w:spacing w:val="-2"/>
          <w:sz w:val="24"/>
          <w:szCs w:val="20"/>
          <w14:textFill>
            <w14:solidFill>
              <w14:schemeClr w14:val="tx1"/>
            </w14:solidFill>
          </w14:textFill>
        </w:rPr>
        <w:t>释放时立即采取的程序，包括相关的应急响应程序和要遵守的人员防护程序。</w:t>
      </w:r>
    </w:p>
    <w:p w14:paraId="4FD5D481">
      <w:pPr>
        <w:pStyle w:val="5"/>
        <w:widowControl w:val="0"/>
        <w:numPr>
          <w:ilvl w:val="2"/>
          <w:numId w:val="1"/>
        </w:numPr>
        <w:spacing w:before="0" w:line="360" w:lineRule="auto"/>
        <w:jc w:val="both"/>
        <w:rPr>
          <w:rFonts w:ascii="Times New Roman" w:hAnsi="Times New Roman" w:eastAsia="黑体" w:cs="Times New Roman"/>
          <w:b/>
          <w:bCs/>
          <w:caps w:val="0"/>
          <w:color w:val="000000" w:themeColor="text1"/>
          <w:kern w:val="2"/>
          <w:sz w:val="24"/>
          <w:szCs w:val="32"/>
          <w14:textFill>
            <w14:solidFill>
              <w14:schemeClr w14:val="tx1"/>
            </w14:solidFill>
          </w14:textFill>
        </w:rPr>
      </w:pPr>
      <w:r>
        <w:rPr>
          <w:rFonts w:hint="eastAsia" w:ascii="Times New Roman" w:hAnsi="Times New Roman" w:eastAsia="黑体" w:cs="Times New Roman"/>
          <w:b/>
          <w:bCs/>
          <w:caps w:val="0"/>
          <w:color w:val="000000" w:themeColor="text1"/>
          <w:kern w:val="2"/>
          <w:sz w:val="24"/>
          <w:szCs w:val="32"/>
          <w14:textFill>
            <w14:solidFill>
              <w14:schemeClr w14:val="tx1"/>
            </w14:solidFill>
          </w14:textFill>
        </w:rPr>
        <w:t>辐射防护管理措施</w:t>
      </w:r>
    </w:p>
    <w:p w14:paraId="594637DF">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本项目除采取上述污染防治设施以外，建设单位还应制定以下辐射防护管理制度和措施，主要包括：</w:t>
      </w:r>
    </w:p>
    <w:p w14:paraId="75DA4C23">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（1）成立辐射安全与环境保护管理机构，成立领导小组，负责组织辐射安全培训、辐射安全应急演练，开展日常安全检查并督促隐患整改，协助调查、处理辐射事故，负责通知、组织医疗救援等。</w:t>
      </w:r>
    </w:p>
    <w:p w14:paraId="52A7CAA8">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（2）制定《辐射事故应急预案》、《辐射防护和安全管理制度》、《放射性物料暂存管理制度》、《辐射环境监测计划》等辐射规章制度，制定放射性物料进出台账，实行统一管理，以利于辐射环境保护。</w:t>
      </w:r>
    </w:p>
    <w:p w14:paraId="0A167743">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3）个人防护工作：给员工配备的个人的劳保防护用品（如工作服、手套，口罩等）；为了减少伴生放射性物质进入体内的机会，不在车间内吸烟，不在车间内进餐；经常注意修剪指甲、剪短头发，以免积存伴生放射性物质；还应注意保护皮肤的清洁完整。</w:t>
      </w:r>
    </w:p>
    <w:p w14:paraId="1AE9EBDB">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在工作中，皮肤受了损伤，应及时清洗，妥善包扎，以防感染化脓或伴生放射性物质由伤口进入体内。设立员工换衣区，上班后换上工作专用工作服和鞋，下班之后立即沐浴，工作服等用品不允许带出厂外。</w:t>
      </w:r>
    </w:p>
    <w:p w14:paraId="1B09F1F9">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（4）合理优化职工人数和工作时间，尽量减少员工与伴生放射性物料的接触时间，对所受照射剂量超过5mSv/a 的工作人员调整至其他剂量较小的工作岗位。</w:t>
      </w:r>
    </w:p>
    <w:p w14:paraId="6794A6E2">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（5）指定专人负责进行放射性γ辐射定点巡检，按期进行监测和风险评价，发现异常时，应及时找出原因并予以处理。</w:t>
      </w:r>
    </w:p>
    <w:p w14:paraId="4CD32C9A">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（6）工作人员上岗前需进行辐射安全环保知识培训，定期组织辐射安全环保知识学习和考试。</w:t>
      </w:r>
    </w:p>
    <w:p w14:paraId="5C62FD7D">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（7）工作时严格按操作规程操作。</w:t>
      </w:r>
    </w:p>
    <w:p w14:paraId="5CA393AD">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（8）为了防止伴生放射性物质通过消化道或</w:t>
      </w:r>
      <w:r>
        <w:rPr>
          <w:rFonts w:hint="eastAsia" w:ascii="Times New Roman" w:hAnsi="Times New Roman" w:eastAsia="宋体" w:cs="Times New Roman"/>
          <w:color w:val="000000" w:themeColor="text1"/>
          <w:spacing w:val="-2"/>
          <w:sz w:val="24"/>
          <w:szCs w:val="20"/>
          <w:lang w:eastAsia="zh-CN"/>
          <w14:textFill>
            <w14:solidFill>
              <w14:schemeClr w14:val="tx1"/>
            </w14:solidFill>
          </w14:textFill>
        </w:rPr>
        <w:t>其他途径</w:t>
      </w:r>
      <w:r>
        <w:rPr>
          <w:rFonts w:hint="eastAsia" w:ascii="Times New Roman" w:hAnsi="Times New Roman" w:eastAsia="宋体" w:cs="Times New Roman"/>
          <w:color w:val="000000" w:themeColor="text1"/>
          <w:spacing w:val="-2"/>
          <w:sz w:val="24"/>
          <w:szCs w:val="20"/>
          <w14:textFill>
            <w14:solidFill>
              <w14:schemeClr w14:val="tx1"/>
            </w14:solidFill>
          </w14:textFill>
        </w:rPr>
        <w:t>进入体内，严禁在放射工作场所吸烟、进食和存放食物。</w:t>
      </w:r>
    </w:p>
    <w:p w14:paraId="0A6549F0">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（9）对于原料、产品等，建立完备进出台账制度，对于具体数量和去向将有完整记录。</w:t>
      </w:r>
    </w:p>
    <w:p w14:paraId="6AD239DA">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p>
    <w:p w14:paraId="1E024CD8">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p>
    <w:p w14:paraId="594ABCA1">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p>
    <w:p w14:paraId="2333553D">
      <w:pPr>
        <w:pStyle w:val="3"/>
        <w:rPr>
          <w:rFonts w:ascii="Times New Roman" w:hAnsi="Times New Roman" w:cs="Times New Roman" w:eastAsiaTheme="minorEastAsia"/>
          <w:b/>
          <w:color w:val="000000" w:themeColor="text1"/>
          <w:sz w:val="30"/>
          <w:szCs w:val="30"/>
          <w14:textFill>
            <w14:solidFill>
              <w14:schemeClr w14:val="tx1"/>
            </w14:solidFill>
          </w14:textFill>
        </w:rPr>
        <w:sectPr>
          <w:pgSz w:w="11906" w:h="16838"/>
          <w:pgMar w:top="1440" w:right="1800" w:bottom="1440" w:left="1800" w:header="851" w:footer="992" w:gutter="0"/>
          <w:cols w:space="425" w:num="1"/>
          <w:docGrid w:type="lines" w:linePitch="312" w:charSpace="0"/>
        </w:sectPr>
      </w:pPr>
      <w:bookmarkStart w:id="57" w:name="_Toc78822656"/>
    </w:p>
    <w:p w14:paraId="0359DC75">
      <w:pPr>
        <w:pStyle w:val="3"/>
        <w:widowControl w:val="0"/>
        <w:numPr>
          <w:ilvl w:val="0"/>
          <w:numId w:val="1"/>
        </w:numPr>
        <w:pBdr>
          <w:left w:val="none" w:color="auto" w:sz="0" w:space="0"/>
        </w:pBdr>
        <w:spacing w:before="0" w:after="0" w:line="360" w:lineRule="auto"/>
        <w:ind w:left="0" w:firstLine="0"/>
        <w:jc w:val="both"/>
        <w:rPr>
          <w:rFonts w:ascii="Times New Roman" w:hAnsi="Times New Roman" w:eastAsia="黑体" w:cs="Times New Roman"/>
          <w:b/>
          <w:bCs/>
          <w:caps w:val="0"/>
          <w:color w:val="000000" w:themeColor="text1"/>
          <w:spacing w:val="0"/>
          <w:kern w:val="44"/>
          <w:sz w:val="30"/>
          <w:szCs w:val="44"/>
          <w14:textFill>
            <w14:solidFill>
              <w14:schemeClr w14:val="tx1"/>
            </w14:solidFill>
          </w14:textFill>
        </w:rPr>
      </w:pPr>
      <w:bookmarkStart w:id="58" w:name="_Toc187653466"/>
      <w:r>
        <w:rPr>
          <w:rFonts w:ascii="Times New Roman" w:hAnsi="Times New Roman" w:eastAsia="黑体" w:cs="Times New Roman"/>
          <w:b/>
          <w:bCs/>
          <w:caps w:val="0"/>
          <w:color w:val="000000" w:themeColor="text1"/>
          <w:spacing w:val="0"/>
          <w:kern w:val="44"/>
          <w:sz w:val="30"/>
          <w:szCs w:val="44"/>
          <w14:textFill>
            <w14:solidFill>
              <w14:schemeClr w14:val="tx1"/>
            </w14:solidFill>
          </w14:textFill>
        </w:rPr>
        <w:t>辐射环境质量现状</w:t>
      </w:r>
      <w:bookmarkEnd w:id="57"/>
      <w:bookmarkEnd w:id="58"/>
    </w:p>
    <w:p w14:paraId="296B1912">
      <w:pPr>
        <w:pStyle w:val="4"/>
        <w:widowControl w:val="0"/>
        <w:numPr>
          <w:ilvl w:val="1"/>
          <w:numId w:val="1"/>
        </w:numPr>
        <w:spacing w:before="0" w:line="360" w:lineRule="auto"/>
        <w:ind w:left="0" w:firstLine="0"/>
        <w:jc w:val="both"/>
        <w:rPr>
          <w:rFonts w:ascii="Times New Roman" w:hAnsi="Times New Roman" w:eastAsia="黑体" w:cs="Times New Roman"/>
          <w:b/>
          <w:bCs/>
          <w:color w:val="000000" w:themeColor="text1"/>
          <w:kern w:val="2"/>
          <w:sz w:val="28"/>
          <w:szCs w:val="32"/>
          <w14:textFill>
            <w14:solidFill>
              <w14:schemeClr w14:val="tx1"/>
            </w14:solidFill>
          </w14:textFill>
        </w:rPr>
      </w:pPr>
      <w:bookmarkStart w:id="59" w:name="_Toc187653467"/>
      <w:bookmarkStart w:id="60" w:name="_Toc78822657"/>
      <w:r>
        <w:rPr>
          <w:rFonts w:ascii="Times New Roman" w:hAnsi="Times New Roman" w:eastAsia="黑体" w:cs="Times New Roman"/>
          <w:b/>
          <w:bCs/>
          <w:color w:val="000000" w:themeColor="text1"/>
          <w:kern w:val="2"/>
          <w:sz w:val="28"/>
          <w:szCs w:val="32"/>
          <w14:textFill>
            <w14:solidFill>
              <w14:schemeClr w14:val="tx1"/>
            </w14:solidFill>
          </w14:textFill>
        </w:rPr>
        <w:t>辐射环境质量现状调查</w:t>
      </w:r>
      <w:bookmarkEnd w:id="59"/>
      <w:bookmarkEnd w:id="60"/>
    </w:p>
    <w:p w14:paraId="0CAD9398">
      <w:pPr>
        <w:pStyle w:val="5"/>
        <w:widowControl w:val="0"/>
        <w:numPr>
          <w:ilvl w:val="2"/>
          <w:numId w:val="1"/>
        </w:numPr>
        <w:spacing w:before="0" w:line="360" w:lineRule="auto"/>
        <w:jc w:val="both"/>
        <w:rPr>
          <w:rFonts w:ascii="Times New Roman" w:hAnsi="Times New Roman" w:eastAsia="黑体" w:cs="Times New Roman"/>
          <w:b/>
          <w:bCs/>
          <w:caps w:val="0"/>
          <w:color w:val="000000" w:themeColor="text1"/>
          <w:kern w:val="2"/>
          <w:sz w:val="24"/>
          <w:szCs w:val="32"/>
          <w14:textFill>
            <w14:solidFill>
              <w14:schemeClr w14:val="tx1"/>
            </w14:solidFill>
          </w14:textFill>
        </w:rPr>
      </w:pPr>
      <w:bookmarkStart w:id="61" w:name="_Toc78822658"/>
      <w:r>
        <w:rPr>
          <w:rFonts w:ascii="Times New Roman" w:hAnsi="Times New Roman" w:eastAsia="黑体" w:cs="Times New Roman"/>
          <w:b/>
          <w:bCs/>
          <w:caps w:val="0"/>
          <w:color w:val="000000" w:themeColor="text1"/>
          <w:kern w:val="2"/>
          <w:sz w:val="24"/>
          <w:szCs w:val="32"/>
          <w14:textFill>
            <w14:solidFill>
              <w14:schemeClr w14:val="tx1"/>
            </w14:solidFill>
          </w14:textFill>
        </w:rPr>
        <w:t>辐射环境质量调查方案</w:t>
      </w:r>
      <w:bookmarkEnd w:id="61"/>
    </w:p>
    <w:p w14:paraId="7A03EFB4">
      <w:pPr>
        <w:autoSpaceDE w:val="0"/>
        <w:autoSpaceDN w:val="0"/>
        <w:adjustRightInd w:val="0"/>
        <w:spacing w:after="0" w:line="360" w:lineRule="auto"/>
        <w:ind w:firstLine="48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根据《辐射环境监测技术规范》（HJ61-2021）中5.4.1伴生发射性矿采选及冶炼过程的辐射环境监测要求，除铀（钍）矿外所有矿产资源开发利用活动中原矿、中间产品、尾矿（渣）或者其他残留物中铀（钍）系单个核素含量超过 1 Bq/g 的需要开展辐射环境监测。参照采选前的辐射环境监测方案须按《辐射环境监测技术规范》（HJ61-2021）中表13前四项开展监测，分别为γ辐射、空气、气溶胶、地表水的监测。</w:t>
      </w:r>
    </w:p>
    <w:p w14:paraId="040FC328">
      <w:pPr>
        <w:autoSpaceDE w:val="0"/>
        <w:autoSpaceDN w:val="0"/>
        <w:adjustRightInd w:val="0"/>
        <w:spacing w:after="0" w:line="360" w:lineRule="auto"/>
        <w:ind w:firstLine="48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项目辐射环境质量调查委托广西壮族自治区辐射环境监督管理站开展项目所在区域γ辐射、空气、气溶胶的辐射环境现状监测，项目所在区域为填海成陆区域，无原有地表水体，填海成陆后无地表水体流经，同时本项目不产生生产废水，无液态流出物，因此不</w:t>
      </w:r>
      <w:r>
        <w:rPr>
          <w:rFonts w:hint="eastAsia" w:ascii="Times New Roman" w:hAnsi="Times New Roman" w:cs="Times New Roman"/>
          <w:color w:val="000000" w:themeColor="text1"/>
          <w:sz w:val="24"/>
          <w:szCs w:val="24"/>
          <w:lang w:eastAsia="zh-CN"/>
          <w14:textFill>
            <w14:solidFill>
              <w14:schemeClr w14:val="tx1"/>
            </w14:solidFill>
          </w14:textFill>
        </w:rPr>
        <w:t>开展</w:t>
      </w:r>
      <w:r>
        <w:rPr>
          <w:rFonts w:hint="eastAsia" w:ascii="Times New Roman" w:hAnsi="Times New Roman" w:cs="Times New Roman"/>
          <w:color w:val="000000" w:themeColor="text1"/>
          <w:sz w:val="24"/>
          <w:szCs w:val="24"/>
          <w14:textFill>
            <w14:solidFill>
              <w14:schemeClr w14:val="tx1"/>
            </w14:solidFill>
          </w14:textFill>
        </w:rPr>
        <w:t>地表水体的环境监测。监测报告见附件。</w:t>
      </w:r>
    </w:p>
    <w:p w14:paraId="6BBE8542">
      <w:pPr>
        <w:pStyle w:val="6"/>
        <w:widowControl w:val="0"/>
        <w:numPr>
          <w:ilvl w:val="3"/>
          <w:numId w:val="1"/>
        </w:numPr>
        <w:spacing w:before="0" w:line="360" w:lineRule="auto"/>
        <w:ind w:left="0" w:firstLine="0"/>
        <w:jc w:val="both"/>
        <w:rPr>
          <w:rFonts w:ascii="Times New Roman" w:hAnsi="Times New Roman" w:eastAsia="黑体" w:cs="Times New Roman"/>
          <w:bCs/>
          <w:i w:val="0"/>
          <w:iCs w:val="0"/>
          <w:color w:val="000000" w:themeColor="text1"/>
          <w:kern w:val="2"/>
          <w:sz w:val="24"/>
          <w14:textFill>
            <w14:solidFill>
              <w14:schemeClr w14:val="tx1"/>
            </w14:solidFill>
          </w14:textFill>
        </w:rPr>
      </w:pPr>
      <w:bookmarkStart w:id="62" w:name="_Toc493795080"/>
      <w:bookmarkStart w:id="63" w:name="_Toc51255241"/>
      <w:bookmarkStart w:id="64" w:name="_Toc230317810"/>
      <w:bookmarkStart w:id="65" w:name="_Toc162360789"/>
      <w:bookmarkStart w:id="66" w:name="_Toc230317812"/>
      <w:bookmarkStart w:id="67" w:name="_Toc214525290"/>
      <w:r>
        <w:rPr>
          <w:rFonts w:ascii="Times New Roman" w:hAnsi="Times New Roman" w:eastAsia="黑体" w:cs="Times New Roman"/>
          <w:bCs/>
          <w:i w:val="0"/>
          <w:iCs w:val="0"/>
          <w:color w:val="000000" w:themeColor="text1"/>
          <w:kern w:val="2"/>
          <w:sz w:val="24"/>
          <w14:textFill>
            <w14:solidFill>
              <w14:schemeClr w14:val="tx1"/>
            </w14:solidFill>
          </w14:textFill>
        </w:rPr>
        <w:t>γ辐射空气吸收剂量率监测</w:t>
      </w:r>
      <w:bookmarkEnd w:id="62"/>
      <w:bookmarkEnd w:id="63"/>
      <w:bookmarkEnd w:id="64"/>
    </w:p>
    <w:p w14:paraId="070B29DE">
      <w:pPr>
        <w:autoSpaceDE w:val="0"/>
        <w:autoSpaceDN w:val="0"/>
        <w:adjustRightInd w:val="0"/>
        <w:spacing w:after="0" w:line="360" w:lineRule="auto"/>
        <w:ind w:firstLine="480"/>
        <w:rPr>
          <w:rFonts w:ascii="Times New Roman" w:hAnsi="Times New Roman" w:cs="Times New Roman"/>
          <w:color w:val="000000" w:themeColor="text1"/>
          <w:sz w:val="24"/>
          <w:szCs w:val="24"/>
          <w14:textFill>
            <w14:solidFill>
              <w14:schemeClr w14:val="tx1"/>
            </w14:solidFill>
          </w14:textFill>
        </w:rPr>
      </w:pPr>
      <w:bookmarkStart w:id="68" w:name="_Toc230317811"/>
      <w:bookmarkStart w:id="69" w:name="_Toc214525289"/>
      <w:bookmarkStart w:id="70" w:name="_Toc162360788"/>
      <w:r>
        <w:rPr>
          <w:rFonts w:ascii="Times New Roman" w:hAnsi="Times New Roman" w:cs="Times New Roman"/>
          <w:color w:val="000000" w:themeColor="text1"/>
          <w:sz w:val="24"/>
          <w:szCs w:val="24"/>
          <w14:textFill>
            <w14:solidFill>
              <w14:schemeClr w14:val="tx1"/>
            </w14:solidFill>
          </w14:textFill>
        </w:rPr>
        <w:t>（1）监测点位布设</w:t>
      </w:r>
      <w:bookmarkEnd w:id="68"/>
      <w:bookmarkEnd w:id="69"/>
      <w:bookmarkEnd w:id="70"/>
    </w:p>
    <w:p w14:paraId="5251EAE9">
      <w:pPr>
        <w:autoSpaceDE w:val="0"/>
        <w:autoSpaceDN w:val="0"/>
        <w:adjustRightInd w:val="0"/>
        <w:spacing w:after="0" w:line="360" w:lineRule="auto"/>
        <w:ind w:firstLine="48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根据《辐射环境监测技术规范》（HJ61-2021）、《伴生放射性矿开发利用企业环境辐射监测及信息公开办法（试行）》及《环境γ辐射剂量率测量技术规范》（HJ1157-2021）中相关要求，对项目厂区周边</w:t>
      </w:r>
      <w:r>
        <w:rPr>
          <w:rFonts w:hint="eastAsia" w:ascii="Times New Roman" w:hAnsi="Times New Roman" w:cs="Times New Roman"/>
          <w:color w:val="000000" w:themeColor="text1"/>
          <w:sz w:val="24"/>
          <w:szCs w:val="24"/>
          <w14:textFill>
            <w14:solidFill>
              <w14:schemeClr w14:val="tx1"/>
            </w14:solidFill>
          </w14:textFill>
        </w:rPr>
        <w:t>环境</w:t>
      </w:r>
      <w:r>
        <w:rPr>
          <w:rFonts w:ascii="Times New Roman" w:hAnsi="Times New Roman" w:cs="Times New Roman"/>
          <w:color w:val="000000" w:themeColor="text1"/>
          <w:sz w:val="24"/>
          <w:szCs w:val="24"/>
          <w14:textFill>
            <w14:solidFill>
              <w14:schemeClr w14:val="tx1"/>
            </w14:solidFill>
          </w14:textFill>
        </w:rPr>
        <w:t>进行本底 γ辐射剂量率监测。</w:t>
      </w:r>
    </w:p>
    <w:p w14:paraId="2BADCE81">
      <w:pPr>
        <w:autoSpaceDE w:val="0"/>
        <w:autoSpaceDN w:val="0"/>
        <w:adjustRightInd w:val="0"/>
        <w:spacing w:after="0" w:line="360" w:lineRule="auto"/>
        <w:ind w:firstLine="48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项目厂内</w:t>
      </w:r>
      <w:r>
        <w:rPr>
          <w:rFonts w:ascii="Times New Roman" w:hAnsi="Times New Roman" w:cs="Times New Roman"/>
          <w:color w:val="000000" w:themeColor="text1"/>
          <w:sz w:val="24"/>
          <w:szCs w:val="24"/>
          <w14:textFill>
            <w14:solidFill>
              <w14:schemeClr w14:val="tx1"/>
            </w14:solidFill>
          </w14:textFill>
        </w:rPr>
        <w:t>区域按50×50m网格布点</w:t>
      </w:r>
      <w:r>
        <w:rPr>
          <w:rFonts w:hint="eastAsia" w:ascii="Times New Roman" w:hAnsi="Times New Roman" w:cs="Times New Roman"/>
          <w:color w:val="000000" w:themeColor="text1"/>
          <w:sz w:val="24"/>
          <w:szCs w:val="24"/>
          <w14:textFill>
            <w14:solidFill>
              <w14:schemeClr w14:val="tx1"/>
            </w14:solidFill>
          </w14:textFill>
        </w:rPr>
        <w:t>，共布设2个监测点，分别位于2个车间中心；厂</w:t>
      </w:r>
      <w:r>
        <w:rPr>
          <w:rFonts w:ascii="Times New Roman" w:hAnsi="Times New Roman" w:cs="Times New Roman"/>
          <w:color w:val="000000" w:themeColor="text1"/>
          <w:sz w:val="24"/>
          <w:szCs w:val="24"/>
          <w14:textFill>
            <w14:solidFill>
              <w14:schemeClr w14:val="tx1"/>
            </w14:solidFill>
          </w14:textFill>
        </w:rPr>
        <w:t>外环境监测点位布设厂界四周东、西、南、北处</w:t>
      </w:r>
      <w:r>
        <w:rPr>
          <w:rFonts w:hint="eastAsia" w:ascii="Times New Roman" w:hAnsi="Times New Roman" w:cs="Times New Roman"/>
          <w:color w:val="000000" w:themeColor="text1"/>
          <w:sz w:val="24"/>
          <w:szCs w:val="24"/>
          <w14:textFill>
            <w14:solidFill>
              <w14:schemeClr w14:val="tx1"/>
            </w14:solidFill>
          </w14:textFill>
        </w:rPr>
        <w:t>共4个监测点；广西钦州保税区创大冷链物流公司进口汽车仓储物流园外东、南、西侧相邻的企业边界布置3个监测点。共布设γ辐射剂量率</w:t>
      </w:r>
      <w:r>
        <w:rPr>
          <w:rFonts w:hint="eastAsia" w:ascii="Times New Roman" w:hAnsi="Times New Roman" w:cs="Times New Roman"/>
          <w:color w:val="000000" w:themeColor="text1"/>
          <w:sz w:val="24"/>
          <w:szCs w:val="24"/>
          <w:lang w:eastAsia="zh-CN"/>
          <w14:textFill>
            <w14:solidFill>
              <w14:schemeClr w14:val="tx1"/>
            </w14:solidFill>
          </w14:textFill>
        </w:rPr>
        <w:t>监测</w:t>
      </w:r>
      <w:r>
        <w:rPr>
          <w:rFonts w:hint="eastAsia" w:ascii="Times New Roman" w:hAnsi="Times New Roman" w:cs="Times New Roman"/>
          <w:color w:val="000000" w:themeColor="text1"/>
          <w:sz w:val="24"/>
          <w:szCs w:val="24"/>
          <w14:textFill>
            <w14:solidFill>
              <w14:schemeClr w14:val="tx1"/>
            </w14:solidFill>
          </w14:textFill>
        </w:rPr>
        <w:t>点9</w:t>
      </w:r>
      <w:r>
        <w:rPr>
          <w:rFonts w:ascii="Times New Roman" w:hAnsi="Times New Roman" w:cs="Times New Roman"/>
          <w:color w:val="000000" w:themeColor="text1"/>
          <w:sz w:val="24"/>
          <w:szCs w:val="24"/>
          <w14:textFill>
            <w14:solidFill>
              <w14:schemeClr w14:val="tx1"/>
            </w14:solidFill>
          </w14:textFill>
        </w:rPr>
        <w:t>个。监测布点见图3.1-1</w:t>
      </w:r>
      <w:r>
        <w:rPr>
          <w:rFonts w:hint="eastAsia" w:ascii="Times New Roman" w:hAnsi="Times New Roman" w:cs="Times New Roman"/>
          <w:color w:val="000000" w:themeColor="text1"/>
          <w:sz w:val="24"/>
          <w:szCs w:val="24"/>
          <w14:textFill>
            <w14:solidFill>
              <w14:schemeClr w14:val="tx1"/>
            </w14:solidFill>
          </w14:textFill>
        </w:rPr>
        <w:t>、图3.1-2</w:t>
      </w:r>
      <w:r>
        <w:rPr>
          <w:rFonts w:ascii="Times New Roman" w:hAnsi="Times New Roman" w:cs="Times New Roman"/>
          <w:color w:val="000000" w:themeColor="text1"/>
          <w:sz w:val="24"/>
          <w:szCs w:val="24"/>
          <w14:textFill>
            <w14:solidFill>
              <w14:schemeClr w14:val="tx1"/>
            </w14:solidFill>
          </w14:textFill>
        </w:rPr>
        <w:t>。</w:t>
      </w:r>
    </w:p>
    <w:p w14:paraId="45D7E6E1">
      <w:pPr>
        <w:autoSpaceDE w:val="0"/>
        <w:autoSpaceDN w:val="0"/>
        <w:adjustRightInd w:val="0"/>
        <w:spacing w:after="0" w:line="360" w:lineRule="auto"/>
        <w:ind w:firstLine="480"/>
        <w:rPr>
          <w:rFonts w:ascii="Times New Roman" w:hAnsi="Times New Roman" w:cs="Times New Roman"/>
          <w:color w:val="000000" w:themeColor="text1"/>
          <w:sz w:val="24"/>
          <w:szCs w:val="24"/>
          <w14:textFill>
            <w14:solidFill>
              <w14:schemeClr w14:val="tx1"/>
            </w14:solidFill>
          </w14:textFill>
        </w:rPr>
      </w:pPr>
    </w:p>
    <w:p w14:paraId="06C1328A">
      <w:pPr>
        <w:autoSpaceDE w:val="0"/>
        <w:autoSpaceDN w:val="0"/>
        <w:adjustRightInd w:val="0"/>
        <w:spacing w:after="0" w:line="360" w:lineRule="auto"/>
        <w:ind w:firstLine="480"/>
        <w:rPr>
          <w:rFonts w:ascii="Times New Roman" w:hAnsi="Times New Roman" w:cs="Times New Roman"/>
          <w:color w:val="000000" w:themeColor="text1"/>
          <w:sz w:val="24"/>
          <w:szCs w:val="24"/>
          <w14:textFill>
            <w14:solidFill>
              <w14:schemeClr w14:val="tx1"/>
            </w14:solidFill>
          </w14:textFill>
        </w:rPr>
      </w:pPr>
    </w:p>
    <w:p w14:paraId="3CBC81B8">
      <w:pPr>
        <w:autoSpaceDE w:val="0"/>
        <w:autoSpaceDN w:val="0"/>
        <w:adjustRightInd w:val="0"/>
        <w:spacing w:after="0" w:line="360" w:lineRule="auto"/>
        <w:ind w:firstLine="480"/>
        <w:rPr>
          <w:rFonts w:ascii="Times New Roman" w:hAnsi="Times New Roman" w:cs="Times New Roman"/>
          <w:color w:val="000000" w:themeColor="text1"/>
          <w:sz w:val="24"/>
          <w:szCs w:val="24"/>
          <w14:textFill>
            <w14:solidFill>
              <w14:schemeClr w14:val="tx1"/>
            </w14:solidFill>
          </w14:textFill>
        </w:rPr>
      </w:pPr>
    </w:p>
    <w:p w14:paraId="26C9426B">
      <w:pPr>
        <w:autoSpaceDE w:val="0"/>
        <w:autoSpaceDN w:val="0"/>
        <w:adjustRightInd w:val="0"/>
        <w:spacing w:after="0" w:line="360" w:lineRule="auto"/>
        <w:ind w:firstLine="480"/>
        <w:rPr>
          <w:rFonts w:ascii="Times New Roman" w:hAnsi="Times New Roman" w:cs="Times New Roman"/>
          <w:color w:val="000000" w:themeColor="text1"/>
          <w:sz w:val="24"/>
          <w:szCs w:val="24"/>
          <w14:textFill>
            <w14:solidFill>
              <w14:schemeClr w14:val="tx1"/>
            </w14:solidFill>
          </w14:textFill>
        </w:rPr>
      </w:pPr>
    </w:p>
    <w:p w14:paraId="1205BCCB">
      <w:pPr>
        <w:pStyle w:val="2"/>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4431665" cy="3599815"/>
            <wp:effectExtent l="19050" t="19050" r="26035" b="19685"/>
            <wp:docPr id="1020910524"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910524" name="图片 6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31836" cy="3600000"/>
                    </a:xfrm>
                    <a:prstGeom prst="rect">
                      <a:avLst/>
                    </a:prstGeom>
                    <a:ln>
                      <a:solidFill>
                        <a:schemeClr val="tx1"/>
                      </a:solidFill>
                    </a:ln>
                  </pic:spPr>
                </pic:pic>
              </a:graphicData>
            </a:graphic>
          </wp:inline>
        </w:drawing>
      </w:r>
    </w:p>
    <w:p w14:paraId="01287AE3">
      <w:pPr>
        <w:spacing w:after="0" w:line="360" w:lineRule="auto"/>
        <w:jc w:val="center"/>
        <w:rPr>
          <w:rFonts w:ascii="Times New Roman" w:hAnsi="Times New Roman" w:cs="Times New Roman"/>
          <w:b/>
          <w:color w:val="000000" w:themeColor="text1"/>
          <w:spacing w:val="-2"/>
          <w:sz w:val="24"/>
          <w:szCs w:val="24"/>
          <w14:textFill>
            <w14:solidFill>
              <w14:schemeClr w14:val="tx1"/>
            </w14:solidFill>
          </w14:textFill>
        </w:rPr>
      </w:pPr>
      <w:r>
        <w:rPr>
          <w:rFonts w:ascii="Times New Roman" w:hAnsi="Times New Roman" w:cs="Times New Roman"/>
          <w:b/>
          <w:color w:val="000000" w:themeColor="text1"/>
          <w:spacing w:val="-2"/>
          <w:sz w:val="24"/>
          <w:szCs w:val="24"/>
          <w14:textFill>
            <w14:solidFill>
              <w14:schemeClr w14:val="tx1"/>
            </w14:solidFill>
          </w14:textFill>
        </w:rPr>
        <w:t>图3.1-1</w:t>
      </w:r>
      <w:r>
        <w:rPr>
          <w:rFonts w:hint="eastAsia" w:ascii="Times New Roman" w:hAnsi="Times New Roman" w:cs="Times New Roman"/>
          <w:b/>
          <w:color w:val="000000" w:themeColor="text1"/>
          <w:spacing w:val="-2"/>
          <w:sz w:val="24"/>
          <w:szCs w:val="24"/>
          <w14:textFill>
            <w14:solidFill>
              <w14:schemeClr w14:val="tx1"/>
            </w14:solidFill>
          </w14:textFill>
        </w:rPr>
        <w:t xml:space="preserve">  </w:t>
      </w:r>
      <w:r>
        <w:rPr>
          <w:rFonts w:ascii="Times New Roman" w:hAnsi="Times New Roman" w:cs="Times New Roman"/>
          <w:b/>
          <w:color w:val="000000" w:themeColor="text1"/>
          <w:spacing w:val="-2"/>
          <w:sz w:val="24"/>
          <w:szCs w:val="24"/>
          <w14:textFill>
            <w14:solidFill>
              <w14:schemeClr w14:val="tx1"/>
            </w14:solidFill>
          </w14:textFill>
        </w:rPr>
        <w:t>γ辐射空气吸收剂量率监测点位布置</w:t>
      </w:r>
      <w:r>
        <w:rPr>
          <w:rFonts w:hint="eastAsia" w:ascii="Times New Roman" w:hAnsi="Times New Roman" w:cs="Times New Roman"/>
          <w:b/>
          <w:color w:val="000000" w:themeColor="text1"/>
          <w:spacing w:val="-2"/>
          <w:sz w:val="24"/>
          <w:szCs w:val="24"/>
          <w14:textFill>
            <w14:solidFill>
              <w14:schemeClr w14:val="tx1"/>
            </w14:solidFill>
          </w14:textFill>
        </w:rPr>
        <w:t>示意</w:t>
      </w:r>
      <w:r>
        <w:rPr>
          <w:rFonts w:ascii="Times New Roman" w:hAnsi="Times New Roman" w:cs="Times New Roman"/>
          <w:b/>
          <w:color w:val="000000" w:themeColor="text1"/>
          <w:spacing w:val="-2"/>
          <w:sz w:val="24"/>
          <w:szCs w:val="24"/>
          <w14:textFill>
            <w14:solidFill>
              <w14:schemeClr w14:val="tx1"/>
            </w14:solidFill>
          </w14:textFill>
        </w:rPr>
        <w:t>图</w:t>
      </w:r>
      <w:r>
        <w:rPr>
          <w:rFonts w:hint="eastAsia" w:ascii="Times New Roman" w:hAnsi="Times New Roman" w:cs="Times New Roman"/>
          <w:b/>
          <w:color w:val="000000" w:themeColor="text1"/>
          <w:spacing w:val="-2"/>
          <w:sz w:val="24"/>
          <w:szCs w:val="24"/>
          <w14:textFill>
            <w14:solidFill>
              <w14:schemeClr w14:val="tx1"/>
            </w14:solidFill>
          </w14:textFill>
        </w:rPr>
        <w:t>（1）</w:t>
      </w:r>
    </w:p>
    <w:p w14:paraId="08FF005A">
      <w:pPr>
        <w:autoSpaceDE w:val="0"/>
        <w:autoSpaceDN w:val="0"/>
        <w:adjustRightInd w:val="0"/>
        <w:spacing w:after="0" w:line="360" w:lineRule="auto"/>
        <w:ind w:firstLine="480"/>
        <w:rPr>
          <w:color w:val="000000" w:themeColor="text1"/>
          <w14:textFill>
            <w14:solidFill>
              <w14:schemeClr w14:val="tx1"/>
            </w14:solidFill>
          </w14:textFill>
        </w:rPr>
      </w:pPr>
    </w:p>
    <w:p w14:paraId="39BD44C7">
      <w:pPr>
        <w:spacing w:after="0" w:line="36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drawing>
          <wp:inline distT="0" distB="0" distL="0" distR="0">
            <wp:extent cx="4431665" cy="3599815"/>
            <wp:effectExtent l="19050" t="19050" r="26035" b="19685"/>
            <wp:docPr id="1772070199"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070199" name="图片 6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31836" cy="3600000"/>
                    </a:xfrm>
                    <a:prstGeom prst="rect">
                      <a:avLst/>
                    </a:prstGeom>
                    <a:ln>
                      <a:solidFill>
                        <a:schemeClr val="tx1"/>
                      </a:solidFill>
                    </a:ln>
                  </pic:spPr>
                </pic:pic>
              </a:graphicData>
            </a:graphic>
          </wp:inline>
        </w:drawing>
      </w:r>
    </w:p>
    <w:p w14:paraId="2D046198">
      <w:pPr>
        <w:spacing w:after="0" w:line="360" w:lineRule="auto"/>
        <w:ind w:firstLine="474" w:firstLineChars="20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pacing w:val="-2"/>
          <w:sz w:val="24"/>
          <w:szCs w:val="24"/>
          <w14:textFill>
            <w14:solidFill>
              <w14:schemeClr w14:val="tx1"/>
            </w14:solidFill>
          </w14:textFill>
        </w:rPr>
        <w:t>图3.1-</w:t>
      </w:r>
      <w:r>
        <w:rPr>
          <w:rFonts w:hint="eastAsia" w:ascii="Times New Roman" w:hAnsi="Times New Roman" w:cs="Times New Roman"/>
          <w:b/>
          <w:color w:val="000000" w:themeColor="text1"/>
          <w:spacing w:val="-2"/>
          <w:sz w:val="24"/>
          <w:szCs w:val="24"/>
          <w14:textFill>
            <w14:solidFill>
              <w14:schemeClr w14:val="tx1"/>
            </w14:solidFill>
          </w14:textFill>
        </w:rPr>
        <w:t xml:space="preserve">2  </w:t>
      </w:r>
      <w:r>
        <w:rPr>
          <w:rFonts w:ascii="Times New Roman" w:hAnsi="Times New Roman" w:cs="Times New Roman"/>
          <w:b/>
          <w:color w:val="000000" w:themeColor="text1"/>
          <w:spacing w:val="-2"/>
          <w:sz w:val="24"/>
          <w:szCs w:val="24"/>
          <w14:textFill>
            <w14:solidFill>
              <w14:schemeClr w14:val="tx1"/>
            </w14:solidFill>
          </w14:textFill>
        </w:rPr>
        <w:t>γ辐射空气吸收剂量率监测点位布置</w:t>
      </w:r>
      <w:r>
        <w:rPr>
          <w:rFonts w:hint="eastAsia" w:ascii="Times New Roman" w:hAnsi="Times New Roman" w:cs="Times New Roman"/>
          <w:b/>
          <w:color w:val="000000" w:themeColor="text1"/>
          <w:spacing w:val="-2"/>
          <w:sz w:val="24"/>
          <w:szCs w:val="24"/>
          <w14:textFill>
            <w14:solidFill>
              <w14:schemeClr w14:val="tx1"/>
            </w14:solidFill>
          </w14:textFill>
        </w:rPr>
        <w:t>示意</w:t>
      </w:r>
      <w:r>
        <w:rPr>
          <w:rFonts w:ascii="Times New Roman" w:hAnsi="Times New Roman" w:cs="Times New Roman"/>
          <w:b/>
          <w:color w:val="000000" w:themeColor="text1"/>
          <w:spacing w:val="-2"/>
          <w:sz w:val="24"/>
          <w:szCs w:val="24"/>
          <w14:textFill>
            <w14:solidFill>
              <w14:schemeClr w14:val="tx1"/>
            </w14:solidFill>
          </w14:textFill>
        </w:rPr>
        <w:t>图</w:t>
      </w:r>
      <w:r>
        <w:rPr>
          <w:rFonts w:hint="eastAsia" w:ascii="Times New Roman" w:hAnsi="Times New Roman" w:cs="Times New Roman"/>
          <w:b/>
          <w:color w:val="000000" w:themeColor="text1"/>
          <w:spacing w:val="-2"/>
          <w:sz w:val="24"/>
          <w:szCs w:val="24"/>
          <w14:textFill>
            <w14:solidFill>
              <w14:schemeClr w14:val="tx1"/>
            </w14:solidFill>
          </w14:textFill>
        </w:rPr>
        <w:t>（2）</w:t>
      </w:r>
    </w:p>
    <w:p w14:paraId="1C20D78B">
      <w:pPr>
        <w:autoSpaceDE w:val="0"/>
        <w:autoSpaceDN w:val="0"/>
        <w:adjustRightInd w:val="0"/>
        <w:spacing w:after="0" w:line="360" w:lineRule="auto"/>
        <w:ind w:firstLine="480"/>
        <w:rPr>
          <w:rFonts w:ascii="Times New Roman" w:hAnsi="Times New Roman" w:cs="Times New Roman"/>
          <w:color w:val="000000" w:themeColor="text1"/>
          <w:sz w:val="24"/>
          <w:szCs w:val="24"/>
          <w14:textFill>
            <w14:solidFill>
              <w14:schemeClr w14:val="tx1"/>
            </w14:solidFill>
          </w14:textFill>
        </w:rPr>
      </w:pPr>
    </w:p>
    <w:p w14:paraId="32F9A260">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（2）监测项目及频次</w:t>
      </w:r>
      <w:bookmarkEnd w:id="65"/>
      <w:bookmarkEnd w:id="66"/>
      <w:bookmarkEnd w:id="67"/>
    </w:p>
    <w:p w14:paraId="2DD6FD2A">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项目：γ辐射空气吸收剂量率</w:t>
      </w:r>
    </w:p>
    <w:p w14:paraId="2BBB0841">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（3）监测频次</w:t>
      </w:r>
    </w:p>
    <w:p w14:paraId="413870D7">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频次：</w:t>
      </w:r>
      <w:r>
        <w:rPr>
          <w:rFonts w:hint="eastAsia" w:ascii="Times New Roman" w:hAnsi="Times New Roman" w:cs="Times New Roman"/>
          <w:color w:val="000000" w:themeColor="text1"/>
          <w:sz w:val="24"/>
          <w:szCs w:val="24"/>
          <w14:textFill>
            <w14:solidFill>
              <w14:schemeClr w14:val="tx1"/>
            </w14:solidFill>
          </w14:textFill>
        </w:rPr>
        <w:t>采样</w:t>
      </w:r>
      <w:r>
        <w:rPr>
          <w:rFonts w:ascii="Times New Roman" w:hAnsi="Times New Roman" w:cs="Times New Roman"/>
          <w:color w:val="000000" w:themeColor="text1"/>
          <w:sz w:val="24"/>
          <w:szCs w:val="24"/>
          <w14:textFill>
            <w14:solidFill>
              <w14:schemeClr w14:val="tx1"/>
            </w14:solidFill>
          </w14:textFill>
        </w:rPr>
        <w:t>一次。</w:t>
      </w:r>
    </w:p>
    <w:p w14:paraId="2D4DD008">
      <w:pPr>
        <w:pStyle w:val="6"/>
        <w:widowControl w:val="0"/>
        <w:numPr>
          <w:ilvl w:val="3"/>
          <w:numId w:val="1"/>
        </w:numPr>
        <w:spacing w:before="0" w:line="360" w:lineRule="auto"/>
        <w:ind w:left="0" w:firstLine="0"/>
        <w:jc w:val="both"/>
        <w:rPr>
          <w:rFonts w:ascii="Times New Roman" w:hAnsi="Times New Roman" w:eastAsia="黑体" w:cs="Times New Roman"/>
          <w:bCs/>
          <w:i w:val="0"/>
          <w:iCs w:val="0"/>
          <w:color w:val="000000" w:themeColor="text1"/>
          <w:kern w:val="2"/>
          <w:sz w:val="24"/>
          <w14:textFill>
            <w14:solidFill>
              <w14:schemeClr w14:val="tx1"/>
            </w14:solidFill>
          </w14:textFill>
        </w:rPr>
      </w:pPr>
      <w:bookmarkStart w:id="71" w:name="_Toc493795081"/>
      <w:bookmarkStart w:id="72" w:name="_Toc51255242"/>
      <w:r>
        <w:rPr>
          <w:rFonts w:ascii="Times New Roman" w:hAnsi="Times New Roman" w:eastAsia="黑体" w:cs="Times New Roman"/>
          <w:bCs/>
          <w:i w:val="0"/>
          <w:iCs w:val="0"/>
          <w:color w:val="000000" w:themeColor="text1"/>
          <w:kern w:val="2"/>
          <w:sz w:val="24"/>
          <w14:textFill>
            <w14:solidFill>
              <w14:schemeClr w14:val="tx1"/>
            </w14:solidFill>
          </w14:textFill>
        </w:rPr>
        <w:t>空气中氡浓度监测</w:t>
      </w:r>
      <w:bookmarkEnd w:id="71"/>
      <w:bookmarkEnd w:id="72"/>
    </w:p>
    <w:p w14:paraId="1D329A46">
      <w:pPr>
        <w:autoSpaceDE w:val="0"/>
        <w:autoSpaceDN w:val="0"/>
        <w:adjustRightInd w:val="0"/>
        <w:spacing w:after="0" w:line="360" w:lineRule="auto"/>
        <w:ind w:firstLine="48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（1）监测点位设置 </w:t>
      </w:r>
    </w:p>
    <w:p w14:paraId="39554154">
      <w:pPr>
        <w:autoSpaceDE w:val="0"/>
        <w:autoSpaceDN w:val="0"/>
        <w:adjustRightInd w:val="0"/>
        <w:spacing w:after="0" w:line="360" w:lineRule="auto"/>
        <w:ind w:firstLine="48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根据《辐射环境监测技术规范》（HJ61-2021）和《环境空气中氡的标准测量方法》（GB/T 14582-93）要求，对项目周边</w:t>
      </w:r>
      <w:r>
        <w:rPr>
          <w:rFonts w:hint="eastAsia" w:ascii="Times New Roman" w:hAnsi="Times New Roman" w:cs="Times New Roman"/>
          <w:color w:val="000000" w:themeColor="text1"/>
          <w:sz w:val="24"/>
          <w:szCs w:val="24"/>
          <w14:textFill>
            <w14:solidFill>
              <w14:schemeClr w14:val="tx1"/>
            </w14:solidFill>
          </w14:textFill>
        </w:rPr>
        <w:t>环境</w:t>
      </w:r>
      <w:r>
        <w:rPr>
          <w:rFonts w:ascii="Times New Roman" w:hAnsi="Times New Roman" w:cs="Times New Roman"/>
          <w:color w:val="000000" w:themeColor="text1"/>
          <w:sz w:val="24"/>
          <w:szCs w:val="24"/>
          <w14:textFill>
            <w14:solidFill>
              <w14:schemeClr w14:val="tx1"/>
            </w14:solidFill>
          </w14:textFill>
        </w:rPr>
        <w:t>的</w:t>
      </w:r>
      <w:r>
        <w:rPr>
          <w:rFonts w:ascii="Times New Roman" w:hAnsi="Times New Roman" w:cs="Times New Roman"/>
          <w:color w:val="000000" w:themeColor="text1"/>
          <w:sz w:val="24"/>
          <w:szCs w:val="24"/>
          <w:vertAlign w:val="superscript"/>
          <w14:textFill>
            <w14:solidFill>
              <w14:schemeClr w14:val="tx1"/>
            </w14:solidFill>
          </w14:textFill>
        </w:rPr>
        <w:t>222</w:t>
      </w:r>
      <w:r>
        <w:rPr>
          <w:rFonts w:ascii="Times New Roman" w:hAnsi="Times New Roman" w:cs="Times New Roman"/>
          <w:color w:val="000000" w:themeColor="text1"/>
          <w:sz w:val="24"/>
          <w:szCs w:val="24"/>
          <w14:textFill>
            <w14:solidFill>
              <w14:schemeClr w14:val="tx1"/>
            </w14:solidFill>
          </w14:textFill>
        </w:rPr>
        <w:t>Rn浓度进行监测。</w:t>
      </w:r>
    </w:p>
    <w:p w14:paraId="16B7FB73">
      <w:pPr>
        <w:autoSpaceDE w:val="0"/>
        <w:autoSpaceDN w:val="0"/>
        <w:adjustRightInd w:val="0"/>
        <w:spacing w:after="0" w:line="360" w:lineRule="auto"/>
        <w:ind w:firstLine="48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在</w:t>
      </w:r>
      <w:r>
        <w:rPr>
          <w:rFonts w:hint="eastAsia" w:ascii="Times New Roman" w:hAnsi="Times New Roman" w:cs="Times New Roman"/>
          <w:color w:val="000000" w:themeColor="text1"/>
          <w:sz w:val="24"/>
          <w:szCs w:val="24"/>
          <w14:textFill>
            <w14:solidFill>
              <w14:schemeClr w14:val="tx1"/>
            </w14:solidFill>
          </w14:textFill>
        </w:rPr>
        <w:t>项目厂界处</w:t>
      </w:r>
      <w:r>
        <w:rPr>
          <w:rFonts w:ascii="Times New Roman" w:hAnsi="Times New Roman" w:cs="Times New Roman"/>
          <w:color w:val="000000" w:themeColor="text1"/>
          <w:sz w:val="24"/>
          <w:szCs w:val="24"/>
          <w14:textFill>
            <w14:solidFill>
              <w14:schemeClr w14:val="tx1"/>
            </w14:solidFill>
          </w14:textFill>
        </w:rPr>
        <w:t>布设4个监测点。</w:t>
      </w:r>
      <w:bookmarkStart w:id="73" w:name="_Toc230317800"/>
      <w:r>
        <w:rPr>
          <w:rFonts w:ascii="Times New Roman" w:hAnsi="Times New Roman" w:cs="Times New Roman"/>
          <w:color w:val="000000" w:themeColor="text1"/>
          <w:sz w:val="24"/>
          <w:szCs w:val="24"/>
          <w14:textFill>
            <w14:solidFill>
              <w14:schemeClr w14:val="tx1"/>
            </w14:solidFill>
          </w14:textFill>
        </w:rPr>
        <w:t>监测布点见图3.1-</w:t>
      </w:r>
      <w:r>
        <w:rPr>
          <w:rFonts w:hint="eastAsia" w:ascii="Times New Roman" w:hAnsi="Times New Roman" w:cs="Times New Roman"/>
          <w:color w:val="000000" w:themeColor="text1"/>
          <w:sz w:val="24"/>
          <w:szCs w:val="24"/>
          <w14:textFill>
            <w14:solidFill>
              <w14:schemeClr w14:val="tx1"/>
            </w14:solidFill>
          </w14:textFill>
        </w:rPr>
        <w:t>3</w:t>
      </w:r>
      <w:r>
        <w:rPr>
          <w:rFonts w:ascii="Times New Roman" w:hAnsi="Times New Roman" w:cs="Times New Roman"/>
          <w:color w:val="000000" w:themeColor="text1"/>
          <w:sz w:val="24"/>
          <w:szCs w:val="24"/>
          <w14:textFill>
            <w14:solidFill>
              <w14:schemeClr w14:val="tx1"/>
            </w14:solidFill>
          </w14:textFill>
        </w:rPr>
        <w:t>。</w:t>
      </w:r>
    </w:p>
    <w:p w14:paraId="2B362CA4">
      <w:pPr>
        <w:spacing w:after="0" w:line="360" w:lineRule="auto"/>
        <w:ind w:left="1890" w:hanging="1890" w:hangingChars="90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0" distR="0">
            <wp:extent cx="4431665" cy="3599815"/>
            <wp:effectExtent l="19050" t="19050" r="26035" b="19685"/>
            <wp:docPr id="1818915500"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915500" name="图片 6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31836" cy="3600000"/>
                    </a:xfrm>
                    <a:prstGeom prst="rect">
                      <a:avLst/>
                    </a:prstGeom>
                    <a:ln>
                      <a:solidFill>
                        <a:schemeClr val="tx1"/>
                      </a:solidFill>
                    </a:ln>
                  </pic:spPr>
                </pic:pic>
              </a:graphicData>
            </a:graphic>
          </wp:inline>
        </w:drawing>
      </w:r>
    </w:p>
    <w:p w14:paraId="585B5C74">
      <w:pPr>
        <w:spacing w:after="0" w:line="360" w:lineRule="auto"/>
        <w:ind w:left="2132" w:hanging="2132" w:hangingChars="90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pacing w:val="-2"/>
          <w:sz w:val="24"/>
          <w:szCs w:val="24"/>
          <w14:textFill>
            <w14:solidFill>
              <w14:schemeClr w14:val="tx1"/>
            </w14:solidFill>
          </w14:textFill>
        </w:rPr>
        <w:t>图3.1-</w:t>
      </w:r>
      <w:r>
        <w:rPr>
          <w:rFonts w:hint="eastAsia" w:ascii="Times New Roman" w:hAnsi="Times New Roman" w:cs="Times New Roman"/>
          <w:b/>
          <w:color w:val="000000" w:themeColor="text1"/>
          <w:spacing w:val="-2"/>
          <w:sz w:val="24"/>
          <w:szCs w:val="24"/>
          <w14:textFill>
            <w14:solidFill>
              <w14:schemeClr w14:val="tx1"/>
            </w14:solidFill>
          </w14:textFill>
        </w:rPr>
        <w:t xml:space="preserve">3  </w:t>
      </w:r>
      <w:r>
        <w:rPr>
          <w:rFonts w:ascii="Times New Roman" w:hAnsi="Times New Roman" w:cs="Times New Roman"/>
          <w:b/>
          <w:color w:val="000000" w:themeColor="text1"/>
          <w:spacing w:val="-2"/>
          <w:sz w:val="24"/>
          <w:szCs w:val="24"/>
          <w14:textFill>
            <w14:solidFill>
              <w14:schemeClr w14:val="tx1"/>
            </w14:solidFill>
          </w14:textFill>
        </w:rPr>
        <w:t>环境空气中氡监测点位布设</w:t>
      </w:r>
      <w:r>
        <w:rPr>
          <w:rFonts w:hint="eastAsia" w:ascii="Times New Roman" w:hAnsi="Times New Roman" w:cs="Times New Roman"/>
          <w:b/>
          <w:color w:val="000000" w:themeColor="text1"/>
          <w:spacing w:val="-2"/>
          <w:sz w:val="24"/>
          <w:szCs w:val="24"/>
          <w14:textFill>
            <w14:solidFill>
              <w14:schemeClr w14:val="tx1"/>
            </w14:solidFill>
          </w14:textFill>
        </w:rPr>
        <w:t>示意</w:t>
      </w:r>
      <w:r>
        <w:rPr>
          <w:rFonts w:ascii="Times New Roman" w:hAnsi="Times New Roman" w:cs="Times New Roman"/>
          <w:b/>
          <w:color w:val="000000" w:themeColor="text1"/>
          <w:spacing w:val="-2"/>
          <w:sz w:val="24"/>
          <w:szCs w:val="24"/>
          <w14:textFill>
            <w14:solidFill>
              <w14:schemeClr w14:val="tx1"/>
            </w14:solidFill>
          </w14:textFill>
        </w:rPr>
        <w:t>图</w:t>
      </w:r>
    </w:p>
    <w:p w14:paraId="43F6B5EB">
      <w:pPr>
        <w:autoSpaceDE w:val="0"/>
        <w:autoSpaceDN w:val="0"/>
        <w:adjustRightInd w:val="0"/>
        <w:spacing w:after="0" w:line="360" w:lineRule="auto"/>
        <w:ind w:firstLine="48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（2）监测项目及频次</w:t>
      </w:r>
      <w:bookmarkEnd w:id="73"/>
    </w:p>
    <w:p w14:paraId="6AADC1CC">
      <w:pPr>
        <w:autoSpaceDE w:val="0"/>
        <w:autoSpaceDN w:val="0"/>
        <w:adjustRightInd w:val="0"/>
        <w:spacing w:after="0" w:line="360" w:lineRule="auto"/>
        <w:ind w:firstLine="48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监测</w:t>
      </w:r>
      <w:r>
        <w:rPr>
          <w:rFonts w:ascii="Times New Roman" w:hAnsi="Times New Roman" w:cs="Times New Roman"/>
          <w:color w:val="000000" w:themeColor="text1"/>
          <w:sz w:val="24"/>
          <w:szCs w:val="24"/>
          <w14:textFill>
            <w14:solidFill>
              <w14:schemeClr w14:val="tx1"/>
            </w14:solidFill>
          </w14:textFill>
        </w:rPr>
        <w:t>项目：</w:t>
      </w:r>
      <w:r>
        <w:rPr>
          <w:rFonts w:ascii="Times New Roman" w:hAnsi="Times New Roman" w:cs="Times New Roman"/>
          <w:color w:val="000000" w:themeColor="text1"/>
          <w:sz w:val="24"/>
          <w:szCs w:val="24"/>
          <w:vertAlign w:val="superscript"/>
          <w14:textFill>
            <w14:solidFill>
              <w14:schemeClr w14:val="tx1"/>
            </w14:solidFill>
          </w14:textFill>
        </w:rPr>
        <w:t>222</w:t>
      </w:r>
      <w:r>
        <w:rPr>
          <w:rFonts w:ascii="Times New Roman" w:hAnsi="Times New Roman" w:cs="Times New Roman"/>
          <w:color w:val="000000" w:themeColor="text1"/>
          <w:sz w:val="24"/>
          <w:szCs w:val="24"/>
          <w14:textFill>
            <w14:solidFill>
              <w14:schemeClr w14:val="tx1"/>
            </w14:solidFill>
          </w14:textFill>
        </w:rPr>
        <w:t>Rn</w:t>
      </w:r>
    </w:p>
    <w:p w14:paraId="26F0AF9D">
      <w:pPr>
        <w:autoSpaceDE w:val="0"/>
        <w:autoSpaceDN w:val="0"/>
        <w:adjustRightInd w:val="0"/>
        <w:spacing w:after="0" w:line="360" w:lineRule="auto"/>
        <w:ind w:firstLine="48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（3）监测频次</w:t>
      </w:r>
    </w:p>
    <w:p w14:paraId="7A8DE137">
      <w:pPr>
        <w:autoSpaceDE w:val="0"/>
        <w:autoSpaceDN w:val="0"/>
        <w:adjustRightInd w:val="0"/>
        <w:spacing w:after="0" w:line="360" w:lineRule="auto"/>
        <w:ind w:firstLine="48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监测</w:t>
      </w:r>
      <w:r>
        <w:rPr>
          <w:rFonts w:ascii="Times New Roman" w:hAnsi="Times New Roman" w:cs="Times New Roman"/>
          <w:color w:val="000000" w:themeColor="text1"/>
          <w:sz w:val="24"/>
          <w:szCs w:val="24"/>
          <w14:textFill>
            <w14:solidFill>
              <w14:schemeClr w14:val="tx1"/>
            </w14:solidFill>
          </w14:textFill>
        </w:rPr>
        <w:t>频次：</w:t>
      </w:r>
      <w:r>
        <w:rPr>
          <w:rFonts w:hint="eastAsia" w:ascii="Times New Roman" w:hAnsi="Times New Roman" w:cs="Times New Roman"/>
          <w:color w:val="000000" w:themeColor="text1"/>
          <w:sz w:val="24"/>
          <w:szCs w:val="24"/>
          <w14:textFill>
            <w14:solidFill>
              <w14:schemeClr w14:val="tx1"/>
            </w14:solidFill>
          </w14:textFill>
        </w:rPr>
        <w:t>采样一次，连续采样1小时</w:t>
      </w:r>
      <w:r>
        <w:rPr>
          <w:rFonts w:ascii="Times New Roman" w:hAnsi="Times New Roman" w:cs="Times New Roman"/>
          <w:color w:val="000000" w:themeColor="text1"/>
          <w:sz w:val="24"/>
          <w:szCs w:val="24"/>
          <w14:textFill>
            <w14:solidFill>
              <w14:schemeClr w14:val="tx1"/>
            </w14:solidFill>
          </w14:textFill>
        </w:rPr>
        <w:t>。</w:t>
      </w:r>
    </w:p>
    <w:p w14:paraId="3005EA40">
      <w:pPr>
        <w:pStyle w:val="6"/>
        <w:widowControl w:val="0"/>
        <w:numPr>
          <w:ilvl w:val="3"/>
          <w:numId w:val="1"/>
        </w:numPr>
        <w:spacing w:before="0" w:line="360" w:lineRule="auto"/>
        <w:ind w:left="0" w:firstLine="0"/>
        <w:jc w:val="both"/>
        <w:rPr>
          <w:rFonts w:ascii="Times New Roman" w:hAnsi="Times New Roman" w:eastAsia="黑体" w:cs="Times New Roman"/>
          <w:bCs/>
          <w:i w:val="0"/>
          <w:iCs w:val="0"/>
          <w:color w:val="000000" w:themeColor="text1"/>
          <w:kern w:val="2"/>
          <w:sz w:val="24"/>
          <w14:textFill>
            <w14:solidFill>
              <w14:schemeClr w14:val="tx1"/>
            </w14:solidFill>
          </w14:textFill>
        </w:rPr>
      </w:pPr>
      <w:r>
        <w:rPr>
          <w:rFonts w:ascii="Times New Roman" w:hAnsi="Times New Roman" w:eastAsia="黑体" w:cs="Times New Roman"/>
          <w:bCs/>
          <w:i w:val="0"/>
          <w:iCs w:val="0"/>
          <w:color w:val="000000" w:themeColor="text1"/>
          <w:kern w:val="2"/>
          <w:sz w:val="24"/>
          <w14:textFill>
            <w14:solidFill>
              <w14:schemeClr w14:val="tx1"/>
            </w14:solidFill>
          </w14:textFill>
        </w:rPr>
        <w:t>空气中气溶胶</w:t>
      </w:r>
    </w:p>
    <w:p w14:paraId="6DF8690C">
      <w:pPr>
        <w:autoSpaceDE w:val="0"/>
        <w:autoSpaceDN w:val="0"/>
        <w:adjustRightInd w:val="0"/>
        <w:spacing w:after="0" w:line="360" w:lineRule="auto"/>
        <w:ind w:firstLine="480"/>
        <w:rPr>
          <w:rFonts w:ascii="Times New Roman" w:hAnsi="Times New Roman" w:cs="Times New Roman"/>
          <w:color w:val="000000" w:themeColor="text1"/>
          <w:sz w:val="24"/>
          <w:szCs w:val="24"/>
          <w14:textFill>
            <w14:solidFill>
              <w14:schemeClr w14:val="tx1"/>
            </w14:solidFill>
          </w14:textFill>
        </w:rPr>
      </w:pPr>
      <w:bookmarkStart w:id="74" w:name="_Toc372388090"/>
      <w:bookmarkStart w:id="75" w:name="_Toc356401392"/>
      <w:bookmarkStart w:id="76" w:name="_Toc374194883"/>
      <w:bookmarkStart w:id="77" w:name="_Toc342463877"/>
      <w:r>
        <w:rPr>
          <w:rFonts w:ascii="Times New Roman" w:hAnsi="Times New Roman" w:cs="Times New Roman"/>
          <w:color w:val="000000" w:themeColor="text1"/>
          <w:sz w:val="24"/>
          <w:szCs w:val="24"/>
          <w14:textFill>
            <w14:solidFill>
              <w14:schemeClr w14:val="tx1"/>
            </w14:solidFill>
          </w14:textFill>
        </w:rPr>
        <w:t>（1） 监测点位布设</w:t>
      </w:r>
      <w:bookmarkEnd w:id="74"/>
      <w:bookmarkEnd w:id="75"/>
      <w:bookmarkEnd w:id="76"/>
      <w:bookmarkEnd w:id="77"/>
    </w:p>
    <w:p w14:paraId="6DE2DC5B">
      <w:pPr>
        <w:autoSpaceDE w:val="0"/>
        <w:autoSpaceDN w:val="0"/>
        <w:adjustRightInd w:val="0"/>
        <w:spacing w:after="0" w:line="360" w:lineRule="auto"/>
        <w:ind w:firstLine="480"/>
        <w:rPr>
          <w:rFonts w:ascii="Times New Roman" w:hAnsi="Times New Roman" w:cs="Times New Roman"/>
          <w:color w:val="000000" w:themeColor="text1"/>
          <w:sz w:val="24"/>
          <w:szCs w:val="24"/>
          <w14:textFill>
            <w14:solidFill>
              <w14:schemeClr w14:val="tx1"/>
            </w14:solidFill>
          </w14:textFill>
        </w:rPr>
      </w:pPr>
      <w:bookmarkStart w:id="78" w:name="_Toc374194884"/>
      <w:bookmarkStart w:id="79" w:name="_Toc372388091"/>
      <w:bookmarkStart w:id="80" w:name="_Toc356401393"/>
      <w:bookmarkStart w:id="81" w:name="_Toc342463878"/>
      <w:r>
        <w:rPr>
          <w:rFonts w:ascii="Times New Roman" w:hAnsi="Times New Roman" w:cs="Times New Roman"/>
          <w:color w:val="000000" w:themeColor="text1"/>
          <w:sz w:val="24"/>
          <w:szCs w:val="24"/>
          <w14:textFill>
            <w14:solidFill>
              <w14:schemeClr w14:val="tx1"/>
            </w14:solidFill>
          </w14:textFill>
        </w:rPr>
        <w:t>根据《辐射环境监测技术规范》（HJ61-2021），</w:t>
      </w:r>
      <w:r>
        <w:rPr>
          <w:rFonts w:hint="eastAsia" w:ascii="Times New Roman" w:hAnsi="Times New Roman" w:cs="Times New Roman"/>
          <w:color w:val="000000" w:themeColor="text1"/>
          <w:sz w:val="24"/>
          <w:szCs w:val="24"/>
          <w14:textFill>
            <w14:solidFill>
              <w14:schemeClr w14:val="tx1"/>
            </w14:solidFill>
          </w14:textFill>
        </w:rPr>
        <w:t>区域环境空气中</w:t>
      </w:r>
      <w:r>
        <w:rPr>
          <w:rFonts w:ascii="Times New Roman" w:hAnsi="Times New Roman" w:cs="Times New Roman"/>
          <w:color w:val="000000" w:themeColor="text1"/>
          <w:sz w:val="24"/>
          <w:szCs w:val="24"/>
          <w14:textFill>
            <w14:solidFill>
              <w14:schemeClr w14:val="tx1"/>
            </w14:solidFill>
          </w14:textFill>
        </w:rPr>
        <w:t>气溶胶监测点位布设在厂区</w:t>
      </w:r>
      <w:r>
        <w:rPr>
          <w:rFonts w:hint="eastAsia" w:ascii="Times New Roman" w:hAnsi="Times New Roman" w:cs="Times New Roman"/>
          <w:color w:val="000000" w:themeColor="text1"/>
          <w:sz w:val="24"/>
          <w:szCs w:val="24"/>
          <w14:textFill>
            <w14:solidFill>
              <w14:schemeClr w14:val="tx1"/>
            </w14:solidFill>
          </w14:textFill>
        </w:rPr>
        <w:t>北面约60m处，共</w:t>
      </w:r>
      <w:r>
        <w:rPr>
          <w:rFonts w:ascii="Times New Roman" w:hAnsi="Times New Roman" w:cs="Times New Roman"/>
          <w:color w:val="000000" w:themeColor="text1"/>
          <w:sz w:val="24"/>
          <w:szCs w:val="24"/>
          <w14:textFill>
            <w14:solidFill>
              <w14:schemeClr w14:val="tx1"/>
            </w14:solidFill>
          </w14:textFill>
        </w:rPr>
        <w:t>布设</w:t>
      </w:r>
      <w:r>
        <w:rPr>
          <w:rFonts w:hint="eastAsia" w:ascii="Times New Roman" w:hAnsi="Times New Roman" w:cs="Times New Roman"/>
          <w:color w:val="000000" w:themeColor="text1"/>
          <w:sz w:val="24"/>
          <w:szCs w:val="24"/>
          <w14:textFill>
            <w14:solidFill>
              <w14:schemeClr w14:val="tx1"/>
            </w14:solidFill>
          </w14:textFill>
        </w:rPr>
        <w:t>监测点1</w:t>
      </w:r>
      <w:r>
        <w:rPr>
          <w:rFonts w:ascii="Times New Roman" w:hAnsi="Times New Roman" w:cs="Times New Roman"/>
          <w:color w:val="000000" w:themeColor="text1"/>
          <w:sz w:val="24"/>
          <w:szCs w:val="24"/>
          <w14:textFill>
            <w14:solidFill>
              <w14:schemeClr w14:val="tx1"/>
            </w14:solidFill>
          </w14:textFill>
        </w:rPr>
        <w:t>个。监测布点见图3.1-</w:t>
      </w:r>
      <w:r>
        <w:rPr>
          <w:rFonts w:hint="eastAsia" w:ascii="Times New Roman" w:hAnsi="Times New Roman" w:cs="Times New Roman"/>
          <w:color w:val="000000" w:themeColor="text1"/>
          <w:sz w:val="24"/>
          <w:szCs w:val="24"/>
          <w14:textFill>
            <w14:solidFill>
              <w14:schemeClr w14:val="tx1"/>
            </w14:solidFill>
          </w14:textFill>
        </w:rPr>
        <w:t>4</w:t>
      </w:r>
      <w:r>
        <w:rPr>
          <w:rFonts w:ascii="Times New Roman" w:hAnsi="Times New Roman" w:cs="Times New Roman"/>
          <w:color w:val="000000" w:themeColor="text1"/>
          <w:sz w:val="24"/>
          <w:szCs w:val="24"/>
          <w14:textFill>
            <w14:solidFill>
              <w14:schemeClr w14:val="tx1"/>
            </w14:solidFill>
          </w14:textFill>
        </w:rPr>
        <w:t>。</w:t>
      </w:r>
    </w:p>
    <w:p w14:paraId="332C7796">
      <w:pPr>
        <w:spacing w:after="0" w:line="360" w:lineRule="auto"/>
        <w:jc w:val="center"/>
        <w:rPr>
          <w:rFonts w:ascii="Times New Roman" w:hAnsi="Times New Roman" w:cs="Times New Roman"/>
          <w:b/>
          <w:color w:val="000000" w:themeColor="text1"/>
          <w:spacing w:val="-2"/>
          <w:sz w:val="24"/>
          <w:szCs w:val="24"/>
          <w14:textFill>
            <w14:solidFill>
              <w14:schemeClr w14:val="tx1"/>
            </w14:solidFill>
          </w14:textFill>
        </w:rPr>
      </w:pPr>
      <w:r>
        <w:rPr>
          <w:rFonts w:ascii="Times New Roman" w:hAnsi="Times New Roman" w:cs="Times New Roman"/>
          <w:b/>
          <w:color w:val="000000" w:themeColor="text1"/>
          <w:spacing w:val="-2"/>
          <w:sz w:val="24"/>
          <w:szCs w:val="24"/>
          <w14:textFill>
            <w14:solidFill>
              <w14:schemeClr w14:val="tx1"/>
            </w14:solidFill>
          </w14:textFill>
        </w:rPr>
        <w:drawing>
          <wp:inline distT="0" distB="0" distL="0" distR="0">
            <wp:extent cx="4431665" cy="3599815"/>
            <wp:effectExtent l="19050" t="19050" r="26035" b="19685"/>
            <wp:docPr id="1642494959"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494959" name="图片 6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31836" cy="3600000"/>
                    </a:xfrm>
                    <a:prstGeom prst="rect">
                      <a:avLst/>
                    </a:prstGeom>
                    <a:ln>
                      <a:solidFill>
                        <a:schemeClr val="tx1"/>
                      </a:solidFill>
                    </a:ln>
                  </pic:spPr>
                </pic:pic>
              </a:graphicData>
            </a:graphic>
          </wp:inline>
        </w:drawing>
      </w:r>
    </w:p>
    <w:p w14:paraId="4BF477F4">
      <w:pPr>
        <w:spacing w:after="0" w:line="360" w:lineRule="auto"/>
        <w:jc w:val="center"/>
        <w:rPr>
          <w:rFonts w:ascii="Times New Roman" w:hAnsi="Times New Roman" w:cs="Times New Roman"/>
          <w:b/>
          <w:color w:val="000000" w:themeColor="text1"/>
          <w:spacing w:val="-2"/>
          <w:sz w:val="24"/>
          <w:szCs w:val="24"/>
          <w14:textFill>
            <w14:solidFill>
              <w14:schemeClr w14:val="tx1"/>
            </w14:solidFill>
          </w14:textFill>
        </w:rPr>
      </w:pPr>
      <w:r>
        <w:rPr>
          <w:rFonts w:ascii="Times New Roman" w:hAnsi="Times New Roman" w:cs="Times New Roman"/>
          <w:b/>
          <w:color w:val="000000" w:themeColor="text1"/>
          <w:spacing w:val="-2"/>
          <w:sz w:val="24"/>
          <w:szCs w:val="24"/>
          <w14:textFill>
            <w14:solidFill>
              <w14:schemeClr w14:val="tx1"/>
            </w14:solidFill>
          </w14:textFill>
        </w:rPr>
        <w:t>图3.1-</w:t>
      </w:r>
      <w:r>
        <w:rPr>
          <w:rFonts w:hint="eastAsia" w:ascii="Times New Roman" w:hAnsi="Times New Roman" w:cs="Times New Roman"/>
          <w:b/>
          <w:color w:val="000000" w:themeColor="text1"/>
          <w:spacing w:val="-2"/>
          <w:sz w:val="24"/>
          <w:szCs w:val="24"/>
          <w14:textFill>
            <w14:solidFill>
              <w14:schemeClr w14:val="tx1"/>
            </w14:solidFill>
          </w14:textFill>
        </w:rPr>
        <w:t>4</w:t>
      </w:r>
      <w:r>
        <w:rPr>
          <w:rFonts w:ascii="Times New Roman" w:hAnsi="Times New Roman" w:cs="Times New Roman"/>
          <w:b/>
          <w:color w:val="000000" w:themeColor="text1"/>
          <w:spacing w:val="-2"/>
          <w:sz w:val="24"/>
          <w:szCs w:val="24"/>
          <w14:textFill>
            <w14:solidFill>
              <w14:schemeClr w14:val="tx1"/>
            </w14:solidFill>
          </w14:textFill>
        </w:rPr>
        <w:t xml:space="preserve">  </w:t>
      </w:r>
      <w:r>
        <w:rPr>
          <w:rFonts w:hint="eastAsia" w:ascii="Times New Roman" w:hAnsi="Times New Roman" w:cs="Times New Roman"/>
          <w:b/>
          <w:color w:val="000000" w:themeColor="text1"/>
          <w:spacing w:val="-2"/>
          <w:sz w:val="24"/>
          <w:szCs w:val="24"/>
          <w14:textFill>
            <w14:solidFill>
              <w14:schemeClr w14:val="tx1"/>
            </w14:solidFill>
          </w14:textFill>
        </w:rPr>
        <w:t>环境空气中气</w:t>
      </w:r>
      <w:r>
        <w:rPr>
          <w:rFonts w:ascii="Times New Roman" w:hAnsi="Times New Roman" w:cs="Times New Roman"/>
          <w:b/>
          <w:color w:val="000000" w:themeColor="text1"/>
          <w:spacing w:val="-2"/>
          <w:sz w:val="24"/>
          <w:szCs w:val="24"/>
          <w14:textFill>
            <w14:solidFill>
              <w14:schemeClr w14:val="tx1"/>
            </w14:solidFill>
          </w14:textFill>
        </w:rPr>
        <w:t>溶胶监测布点</w:t>
      </w:r>
      <w:r>
        <w:rPr>
          <w:rFonts w:hint="eastAsia" w:ascii="Times New Roman" w:hAnsi="Times New Roman" w:cs="Times New Roman"/>
          <w:b/>
          <w:color w:val="000000" w:themeColor="text1"/>
          <w:spacing w:val="-2"/>
          <w:sz w:val="24"/>
          <w:szCs w:val="24"/>
          <w14:textFill>
            <w14:solidFill>
              <w14:schemeClr w14:val="tx1"/>
            </w14:solidFill>
          </w14:textFill>
        </w:rPr>
        <w:t>示意图</w:t>
      </w:r>
    </w:p>
    <w:p w14:paraId="7CAAA9E6">
      <w:pPr>
        <w:autoSpaceDE w:val="0"/>
        <w:autoSpaceDN w:val="0"/>
        <w:adjustRightInd w:val="0"/>
        <w:spacing w:after="0" w:line="360" w:lineRule="auto"/>
        <w:ind w:firstLine="48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（2）监测项目及频次</w:t>
      </w:r>
      <w:bookmarkEnd w:id="78"/>
      <w:bookmarkEnd w:id="79"/>
      <w:bookmarkEnd w:id="80"/>
      <w:bookmarkEnd w:id="81"/>
    </w:p>
    <w:p w14:paraId="3A44C9BA">
      <w:pPr>
        <w:autoSpaceDE w:val="0"/>
        <w:autoSpaceDN w:val="0"/>
        <w:adjustRightInd w:val="0"/>
        <w:spacing w:after="0" w:line="360" w:lineRule="auto"/>
        <w:ind w:firstLine="48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监测</w:t>
      </w:r>
      <w:r>
        <w:rPr>
          <w:rFonts w:ascii="Times New Roman" w:hAnsi="Times New Roman" w:cs="Times New Roman"/>
          <w:color w:val="000000" w:themeColor="text1"/>
          <w:sz w:val="24"/>
          <w:szCs w:val="24"/>
          <w14:textFill>
            <w14:solidFill>
              <w14:schemeClr w14:val="tx1"/>
            </w14:solidFill>
          </w14:textFill>
        </w:rPr>
        <w:t>项目：总α</w:t>
      </w: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总β</w:t>
      </w: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vertAlign w:val="superscript"/>
          <w14:textFill>
            <w14:solidFill>
              <w14:schemeClr w14:val="tx1"/>
            </w14:solidFill>
          </w14:textFill>
        </w:rPr>
        <w:t>210</w:t>
      </w:r>
      <w:r>
        <w:rPr>
          <w:rFonts w:ascii="Times New Roman" w:hAnsi="Times New Roman" w:cs="Times New Roman"/>
          <w:color w:val="000000" w:themeColor="text1"/>
          <w:sz w:val="24"/>
          <w:szCs w:val="24"/>
          <w14:textFill>
            <w14:solidFill>
              <w14:schemeClr w14:val="tx1"/>
            </w14:solidFill>
          </w14:textFill>
        </w:rPr>
        <w:t>Po、</w:t>
      </w:r>
      <w:r>
        <w:rPr>
          <w:rFonts w:ascii="Times New Roman" w:hAnsi="Times New Roman" w:cs="Times New Roman"/>
          <w:color w:val="000000" w:themeColor="text1"/>
          <w:sz w:val="24"/>
          <w:szCs w:val="24"/>
          <w:vertAlign w:val="superscript"/>
          <w14:textFill>
            <w14:solidFill>
              <w14:schemeClr w14:val="tx1"/>
            </w14:solidFill>
          </w14:textFill>
        </w:rPr>
        <w:t>210</w:t>
      </w:r>
      <w:r>
        <w:rPr>
          <w:rFonts w:ascii="Times New Roman" w:hAnsi="Times New Roman" w:cs="Times New Roman"/>
          <w:color w:val="000000" w:themeColor="text1"/>
          <w:sz w:val="24"/>
          <w:szCs w:val="24"/>
          <w14:textFill>
            <w14:solidFill>
              <w14:schemeClr w14:val="tx1"/>
            </w14:solidFill>
          </w14:textFill>
        </w:rPr>
        <w:t>Pb。</w:t>
      </w:r>
    </w:p>
    <w:p w14:paraId="7BFBB112">
      <w:pPr>
        <w:autoSpaceDE w:val="0"/>
        <w:autoSpaceDN w:val="0"/>
        <w:adjustRightInd w:val="0"/>
        <w:spacing w:after="0" w:line="360" w:lineRule="auto"/>
        <w:ind w:firstLine="48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（3）监测频次</w:t>
      </w:r>
    </w:p>
    <w:p w14:paraId="01C4EAD7">
      <w:pPr>
        <w:autoSpaceDE w:val="0"/>
        <w:autoSpaceDN w:val="0"/>
        <w:adjustRightInd w:val="0"/>
        <w:spacing w:after="0" w:line="360" w:lineRule="auto"/>
        <w:ind w:firstLine="48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监测</w:t>
      </w:r>
      <w:r>
        <w:rPr>
          <w:rFonts w:hint="eastAsia" w:ascii="Times New Roman" w:hAnsi="Times New Roman" w:cs="Times New Roman"/>
          <w:color w:val="000000" w:themeColor="text1"/>
          <w:sz w:val="24"/>
          <w:szCs w:val="24"/>
          <w14:textFill>
            <w14:solidFill>
              <w14:schemeClr w14:val="tx1"/>
            </w14:solidFill>
          </w14:textFill>
        </w:rPr>
        <w:t>频次</w:t>
      </w:r>
      <w:r>
        <w:rPr>
          <w:rFonts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采样</w:t>
      </w:r>
      <w:r>
        <w:rPr>
          <w:rFonts w:ascii="Times New Roman" w:hAnsi="Times New Roman" w:cs="Times New Roman"/>
          <w:color w:val="000000" w:themeColor="text1"/>
          <w:sz w:val="24"/>
          <w:szCs w:val="24"/>
          <w14:textFill>
            <w14:solidFill>
              <w14:schemeClr w14:val="tx1"/>
            </w14:solidFill>
          </w14:textFill>
        </w:rPr>
        <w:t>一次。</w:t>
      </w:r>
      <w:bookmarkStart w:id="82" w:name="_Toc78822659"/>
      <w:bookmarkStart w:id="83" w:name="_Toc31511320"/>
      <w:bookmarkStart w:id="84" w:name="_Toc230317799"/>
    </w:p>
    <w:p w14:paraId="7A71F1C6">
      <w:pPr>
        <w:pStyle w:val="5"/>
        <w:widowControl w:val="0"/>
        <w:numPr>
          <w:ilvl w:val="2"/>
          <w:numId w:val="1"/>
        </w:numPr>
        <w:spacing w:before="0" w:line="360" w:lineRule="auto"/>
        <w:jc w:val="both"/>
        <w:rPr>
          <w:rFonts w:ascii="Times New Roman" w:hAnsi="Times New Roman" w:eastAsia="黑体" w:cs="Times New Roman"/>
          <w:b/>
          <w:bCs/>
          <w:caps w:val="0"/>
          <w:color w:val="000000" w:themeColor="text1"/>
          <w:kern w:val="2"/>
          <w:sz w:val="24"/>
          <w:szCs w:val="32"/>
          <w14:textFill>
            <w14:solidFill>
              <w14:schemeClr w14:val="tx1"/>
            </w14:solidFill>
          </w14:textFill>
        </w:rPr>
      </w:pPr>
      <w:r>
        <w:rPr>
          <w:rFonts w:ascii="Times New Roman" w:hAnsi="Times New Roman" w:eastAsia="黑体" w:cs="Times New Roman"/>
          <w:b/>
          <w:bCs/>
          <w:caps w:val="0"/>
          <w:color w:val="000000" w:themeColor="text1"/>
          <w:kern w:val="2"/>
          <w:sz w:val="24"/>
          <w:szCs w:val="32"/>
          <w14:textFill>
            <w14:solidFill>
              <w14:schemeClr w14:val="tx1"/>
            </w14:solidFill>
          </w14:textFill>
        </w:rPr>
        <w:t>监测方法、仪器及其参数</w:t>
      </w:r>
      <w:bookmarkEnd w:id="82"/>
    </w:p>
    <w:p w14:paraId="00553791">
      <w:pPr>
        <w:autoSpaceDE w:val="0"/>
        <w:autoSpaceDN w:val="0"/>
        <w:adjustRightInd w:val="0"/>
        <w:spacing w:after="0" w:line="360" w:lineRule="auto"/>
        <w:ind w:firstLine="48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现场监测、样品分析所用方法及仪器见表3.1-1、表3.1-2。</w:t>
      </w:r>
    </w:p>
    <w:p w14:paraId="604158D1">
      <w:pPr>
        <w:widowControl w:val="0"/>
        <w:spacing w:after="0" w:line="360" w:lineRule="auto"/>
        <w:jc w:val="center"/>
        <w:rPr>
          <w:rFonts w:ascii="Times New Roman" w:hAnsi="Times New Roman" w:eastAsia="宋体" w:cs="Times New Roman"/>
          <w:b/>
          <w:bCs/>
          <w:color w:val="000000" w:themeColor="text1"/>
          <w:spacing w:val="-2"/>
          <w:sz w:val="24"/>
          <w:szCs w:val="20"/>
          <w14:textFill>
            <w14:solidFill>
              <w14:schemeClr w14:val="tx1"/>
            </w14:solidFill>
          </w14:textFill>
        </w:rPr>
      </w:pPr>
      <w:r>
        <w:rPr>
          <w:rFonts w:ascii="Times New Roman" w:hAnsi="Times New Roman" w:eastAsia="宋体" w:cs="Times New Roman"/>
          <w:b/>
          <w:bCs/>
          <w:color w:val="000000" w:themeColor="text1"/>
          <w:spacing w:val="-2"/>
          <w:sz w:val="24"/>
          <w:szCs w:val="20"/>
          <w14:textFill>
            <w14:solidFill>
              <w14:schemeClr w14:val="tx1"/>
            </w14:solidFill>
          </w14:textFill>
        </w:rPr>
        <w:t>表3.1-1  监测项目所用方法及仪器（一）</w:t>
      </w:r>
    </w:p>
    <w:tbl>
      <w:tblPr>
        <w:tblStyle w:val="47"/>
        <w:tblW w:w="508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45"/>
        <w:gridCol w:w="928"/>
        <w:gridCol w:w="1379"/>
        <w:gridCol w:w="2958"/>
        <w:gridCol w:w="2548"/>
      </w:tblGrid>
      <w:tr w14:paraId="1950FE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69" w:hRule="atLeast"/>
          <w:tblHeader/>
          <w:jc w:val="center"/>
        </w:trPr>
        <w:tc>
          <w:tcPr>
            <w:tcW w:w="488" w:type="pct"/>
            <w:vAlign w:val="center"/>
          </w:tcPr>
          <w:p w14:paraId="45F92B09">
            <w:pPr>
              <w:spacing w:after="0" w:line="276" w:lineRule="auto"/>
              <w:ind w:left="-103" w:leftChars="-49" w:right="-103" w:rightChars="-49"/>
              <w:jc w:val="cente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监测项目</w:t>
            </w:r>
          </w:p>
        </w:tc>
        <w:tc>
          <w:tcPr>
            <w:tcW w:w="536" w:type="pct"/>
            <w:vAlign w:val="center"/>
          </w:tcPr>
          <w:p w14:paraId="02F4C9B8">
            <w:pPr>
              <w:spacing w:after="0" w:line="276" w:lineRule="auto"/>
              <w:ind w:left="-103" w:leftChars="-49" w:right="-103" w:rightChars="-49"/>
              <w:jc w:val="cente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监测对象</w:t>
            </w:r>
          </w:p>
        </w:tc>
        <w:tc>
          <w:tcPr>
            <w:tcW w:w="796" w:type="pct"/>
            <w:vAlign w:val="center"/>
          </w:tcPr>
          <w:p w14:paraId="03EB5C55">
            <w:pPr>
              <w:spacing w:after="0" w:line="240" w:lineRule="auto"/>
              <w:jc w:val="cente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监测方法</w:t>
            </w:r>
          </w:p>
        </w:tc>
        <w:tc>
          <w:tcPr>
            <w:tcW w:w="1708" w:type="pct"/>
            <w:vAlign w:val="center"/>
          </w:tcPr>
          <w:p w14:paraId="7741DD1A">
            <w:pPr>
              <w:spacing w:after="0" w:line="240" w:lineRule="auto"/>
              <w:jc w:val="cente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监测仪器及参数</w:t>
            </w:r>
          </w:p>
        </w:tc>
        <w:tc>
          <w:tcPr>
            <w:tcW w:w="1471" w:type="pct"/>
            <w:vAlign w:val="center"/>
          </w:tcPr>
          <w:p w14:paraId="34CC366F">
            <w:pPr>
              <w:spacing w:after="0" w:line="240" w:lineRule="auto"/>
              <w:jc w:val="cente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检定/校准信息</w:t>
            </w:r>
          </w:p>
        </w:tc>
      </w:tr>
      <w:tr w14:paraId="747BA3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88" w:type="pct"/>
            <w:vAlign w:val="center"/>
          </w:tcPr>
          <w:p w14:paraId="5343BE85">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γ辐射空气吸收剂量率</w:t>
            </w:r>
          </w:p>
        </w:tc>
        <w:tc>
          <w:tcPr>
            <w:tcW w:w="536" w:type="pct"/>
            <w:vAlign w:val="center"/>
          </w:tcPr>
          <w:p w14:paraId="68F0E216">
            <w:pPr>
              <w:spacing w:after="0" w:line="240" w:lineRule="auto"/>
              <w:jc w:val="center"/>
              <w:rPr>
                <w:rFonts w:ascii="Times New Roman" w:hAnsi="Times New Roman" w:eastAsia="宋体" w:cs="Times New Roman"/>
                <w:color w:val="000000" w:themeColor="text1"/>
                <w:spacing w:val="-16"/>
                <w14:textFill>
                  <w14:solidFill>
                    <w14:schemeClr w14:val="tx1"/>
                  </w14:solidFill>
                </w14:textFill>
              </w:rPr>
            </w:pPr>
            <w:r>
              <w:rPr>
                <w:rFonts w:ascii="Times New Roman" w:hAnsi="Times New Roman" w:eastAsia="宋体" w:cs="Times New Roman"/>
                <w:color w:val="000000" w:themeColor="text1"/>
                <w:spacing w:val="-16"/>
                <w14:textFill>
                  <w14:solidFill>
                    <w14:schemeClr w14:val="tx1"/>
                  </w14:solidFill>
                </w14:textFill>
              </w:rPr>
              <w:t>空气</w:t>
            </w:r>
          </w:p>
        </w:tc>
        <w:tc>
          <w:tcPr>
            <w:tcW w:w="796" w:type="pct"/>
            <w:vAlign w:val="center"/>
          </w:tcPr>
          <w:p w14:paraId="7C1E43CD">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spacing w:val="-16"/>
                <w14:textFill>
                  <w14:solidFill>
                    <w14:schemeClr w14:val="tx1"/>
                  </w14:solidFill>
                </w14:textFill>
              </w:rPr>
              <w:t>《</w:t>
            </w:r>
            <w:r>
              <w:rPr>
                <w:rFonts w:hint="eastAsia" w:ascii="Times New Roman" w:hAnsi="Times New Roman" w:eastAsia="宋体" w:cs="Times New Roman"/>
                <w:color w:val="000000" w:themeColor="text1"/>
                <w:spacing w:val="-16"/>
                <w14:textFill>
                  <w14:solidFill>
                    <w14:schemeClr w14:val="tx1"/>
                  </w14:solidFill>
                </w14:textFill>
              </w:rPr>
              <w:t>环境γ辐射剂量率测量技术规范</w:t>
            </w:r>
            <w:r>
              <w:rPr>
                <w:rFonts w:ascii="Times New Roman" w:hAnsi="Times New Roman" w:eastAsia="宋体" w:cs="Times New Roman"/>
                <w:color w:val="000000" w:themeColor="text1"/>
                <w:spacing w:val="-16"/>
                <w14:textFill>
                  <w14:solidFill>
                    <w14:schemeClr w14:val="tx1"/>
                  </w14:solidFill>
                </w14:textFill>
              </w:rPr>
              <w:t>》（HJ 1157 -2021）</w:t>
            </w:r>
          </w:p>
        </w:tc>
        <w:tc>
          <w:tcPr>
            <w:tcW w:w="1708" w:type="pct"/>
            <w:vAlign w:val="center"/>
          </w:tcPr>
          <w:p w14:paraId="301BF933">
            <w:pPr>
              <w:spacing w:after="0" w:line="240" w:lineRule="auto"/>
              <w:ind w:left="-107" w:leftChars="-51" w:right="-105" w:rightChars="-50"/>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FH40G+FHZ672E-10（</w:t>
            </w:r>
            <w:r>
              <w:rPr>
                <w:rFonts w:hint="eastAsia" w:ascii="Times New Roman" w:hAnsi="Times New Roman" w:eastAsia="宋体" w:cs="Times New Roman"/>
                <w:color w:val="000000" w:themeColor="text1"/>
                <w14:textFill>
                  <w14:solidFill>
                    <w14:schemeClr w14:val="tx1"/>
                  </w14:solidFill>
                </w14:textFill>
              </w:rPr>
              <w:t>50832</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17984</w:t>
            </w:r>
            <w:r>
              <w:rPr>
                <w:rFonts w:ascii="Times New Roman" w:hAnsi="Times New Roman" w:eastAsia="宋体" w:cs="Times New Roman"/>
                <w:color w:val="000000" w:themeColor="text1"/>
                <w14:textFill>
                  <w14:solidFill>
                    <w14:schemeClr w14:val="tx1"/>
                  </w14:solidFill>
                </w14:textFill>
              </w:rPr>
              <w:t>）型便携式</w:t>
            </w:r>
          </w:p>
          <w:p w14:paraId="3C33D865">
            <w:pPr>
              <w:spacing w:after="0" w:line="240" w:lineRule="auto"/>
              <w:ind w:left="-107" w:leftChars="-51" w:right="-105" w:rightChars="-50"/>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X-γ剂量率仪：</w:t>
            </w:r>
          </w:p>
          <w:p w14:paraId="2C015D61">
            <w:pPr>
              <w:spacing w:after="0" w:line="240" w:lineRule="auto"/>
              <w:ind w:left="-107" w:leftChars="-51" w:right="-105" w:rightChars="-50"/>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能量响应范围40keV～4.4MeV，量程范围1n</w:t>
            </w:r>
            <w:r>
              <w:rPr>
                <w:rFonts w:hint="eastAsia" w:ascii="Times New Roman" w:hAnsi="Times New Roman" w:eastAsia="宋体" w:cs="Times New Roman"/>
                <w:color w:val="000000" w:themeColor="text1"/>
                <w14:textFill>
                  <w14:solidFill>
                    <w14:schemeClr w14:val="tx1"/>
                  </w14:solidFill>
                </w14:textFill>
              </w:rPr>
              <w:t>Sv</w:t>
            </w:r>
            <w:r>
              <w:rPr>
                <w:rFonts w:ascii="Times New Roman" w:hAnsi="Times New Roman" w:eastAsia="宋体" w:cs="Times New Roman"/>
                <w:color w:val="000000" w:themeColor="text1"/>
                <w14:textFill>
                  <w14:solidFill>
                    <w14:schemeClr w14:val="tx1"/>
                  </w14:solidFill>
                </w14:textFill>
              </w:rPr>
              <w:t>/h～100μ</w:t>
            </w:r>
            <w:r>
              <w:rPr>
                <w:rFonts w:hint="eastAsia" w:ascii="Times New Roman" w:hAnsi="Times New Roman" w:eastAsia="宋体" w:cs="Times New Roman"/>
                <w:color w:val="000000" w:themeColor="text1"/>
                <w14:textFill>
                  <w14:solidFill>
                    <w14:schemeClr w14:val="tx1"/>
                  </w14:solidFill>
                </w14:textFill>
              </w:rPr>
              <w:t>Sv</w:t>
            </w:r>
            <w:r>
              <w:rPr>
                <w:rFonts w:ascii="Times New Roman" w:hAnsi="Times New Roman" w:eastAsia="宋体" w:cs="Times New Roman"/>
                <w:color w:val="000000" w:themeColor="text1"/>
                <w14:textFill>
                  <w14:solidFill>
                    <w14:schemeClr w14:val="tx1"/>
                  </w14:solidFill>
                </w14:textFill>
              </w:rPr>
              <w:t>/h。</w:t>
            </w:r>
          </w:p>
        </w:tc>
        <w:tc>
          <w:tcPr>
            <w:tcW w:w="1471" w:type="pct"/>
            <w:vAlign w:val="center"/>
          </w:tcPr>
          <w:p w14:paraId="4B681F0A">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检定证书编号： DLjl202</w:t>
            </w:r>
            <w:r>
              <w:rPr>
                <w:rFonts w:hint="eastAsia" w:ascii="Times New Roman" w:hAnsi="Times New Roman" w:eastAsia="宋体" w:cs="Times New Roman"/>
                <w:color w:val="000000" w:themeColor="text1"/>
                <w14:textFill>
                  <w14:solidFill>
                    <w14:schemeClr w14:val="tx1"/>
                  </w14:solidFill>
                </w14:textFill>
              </w:rPr>
              <w:t>4</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14169</w:t>
            </w:r>
            <w:r>
              <w:rPr>
                <w:rFonts w:ascii="Times New Roman" w:hAnsi="Times New Roman" w:eastAsia="宋体" w:cs="Times New Roman"/>
                <w:color w:val="000000" w:themeColor="text1"/>
                <w14:textFill>
                  <w14:solidFill>
                    <w14:schemeClr w14:val="tx1"/>
                  </w14:solidFill>
                </w14:textFill>
              </w:rPr>
              <w:t>（中国计量科学研究院），有效期：202</w:t>
            </w:r>
            <w:r>
              <w:rPr>
                <w:rFonts w:hint="eastAsia" w:ascii="Times New Roman" w:hAnsi="Times New Roman" w:eastAsia="宋体" w:cs="Times New Roman"/>
                <w:color w:val="000000" w:themeColor="text1"/>
                <w14:textFill>
                  <w14:solidFill>
                    <w14:schemeClr w14:val="tx1"/>
                  </w14:solidFill>
                </w14:textFill>
              </w:rPr>
              <w:t>4</w:t>
            </w:r>
            <w:r>
              <w:rPr>
                <w:rFonts w:ascii="Times New Roman" w:hAnsi="Times New Roman" w:eastAsia="宋体" w:cs="Times New Roman"/>
                <w:color w:val="000000" w:themeColor="text1"/>
                <w14:textFill>
                  <w14:solidFill>
                    <w14:schemeClr w14:val="tx1"/>
                  </w14:solidFill>
                </w14:textFill>
              </w:rPr>
              <w:t>年</w:t>
            </w:r>
            <w:r>
              <w:rPr>
                <w:rFonts w:hint="eastAsia" w:ascii="Times New Roman" w:hAnsi="Times New Roman" w:eastAsia="宋体" w:cs="Times New Roman"/>
                <w:color w:val="000000" w:themeColor="text1"/>
                <w14:textFill>
                  <w14:solidFill>
                    <w14:schemeClr w14:val="tx1"/>
                  </w14:solidFill>
                </w14:textFill>
              </w:rPr>
              <w:t>9</w:t>
            </w:r>
            <w:r>
              <w:rPr>
                <w:rFonts w:ascii="Times New Roman" w:hAnsi="Times New Roman" w:eastAsia="宋体" w:cs="Times New Roman"/>
                <w:color w:val="000000" w:themeColor="text1"/>
                <w14:textFill>
                  <w14:solidFill>
                    <w14:schemeClr w14:val="tx1"/>
                  </w14:solidFill>
                </w14:textFill>
              </w:rPr>
              <w:t>月</w:t>
            </w:r>
            <w:r>
              <w:rPr>
                <w:rFonts w:hint="eastAsia" w:ascii="Times New Roman" w:hAnsi="Times New Roman" w:eastAsia="宋体" w:cs="Times New Roman"/>
                <w:color w:val="000000" w:themeColor="text1"/>
                <w14:textFill>
                  <w14:solidFill>
                    <w14:schemeClr w14:val="tx1"/>
                  </w14:solidFill>
                </w14:textFill>
              </w:rPr>
              <w:t>20</w:t>
            </w:r>
            <w:r>
              <w:rPr>
                <w:rFonts w:ascii="Times New Roman" w:hAnsi="Times New Roman" w:eastAsia="宋体" w:cs="Times New Roman"/>
                <w:color w:val="000000" w:themeColor="text1"/>
                <w14:textFill>
                  <w14:solidFill>
                    <w14:schemeClr w14:val="tx1"/>
                  </w14:solidFill>
                </w14:textFill>
              </w:rPr>
              <w:t>日～202</w:t>
            </w:r>
            <w:r>
              <w:rPr>
                <w:rFonts w:hint="eastAsia" w:ascii="Times New Roman" w:hAnsi="Times New Roman" w:eastAsia="宋体" w:cs="Times New Roman"/>
                <w:color w:val="000000" w:themeColor="text1"/>
                <w14:textFill>
                  <w14:solidFill>
                    <w14:schemeClr w14:val="tx1"/>
                  </w14:solidFill>
                </w14:textFill>
              </w:rPr>
              <w:t>5</w:t>
            </w:r>
            <w:r>
              <w:rPr>
                <w:rFonts w:ascii="Times New Roman" w:hAnsi="Times New Roman" w:eastAsia="宋体" w:cs="Times New Roman"/>
                <w:color w:val="000000" w:themeColor="text1"/>
                <w14:textFill>
                  <w14:solidFill>
                    <w14:schemeClr w14:val="tx1"/>
                  </w14:solidFill>
                </w14:textFill>
              </w:rPr>
              <w:t>年</w:t>
            </w:r>
            <w:r>
              <w:rPr>
                <w:rFonts w:hint="eastAsia" w:ascii="Times New Roman" w:hAnsi="Times New Roman" w:eastAsia="宋体" w:cs="Times New Roman"/>
                <w:color w:val="000000" w:themeColor="text1"/>
                <w14:textFill>
                  <w14:solidFill>
                    <w14:schemeClr w14:val="tx1"/>
                  </w14:solidFill>
                </w14:textFill>
              </w:rPr>
              <w:t>9</w:t>
            </w:r>
            <w:r>
              <w:rPr>
                <w:rFonts w:ascii="Times New Roman" w:hAnsi="Times New Roman" w:eastAsia="宋体" w:cs="Times New Roman"/>
                <w:color w:val="000000" w:themeColor="text1"/>
                <w14:textFill>
                  <w14:solidFill>
                    <w14:schemeClr w14:val="tx1"/>
                  </w14:solidFill>
                </w14:textFill>
              </w:rPr>
              <w:t>月1</w:t>
            </w:r>
            <w:r>
              <w:rPr>
                <w:rFonts w:hint="eastAsia" w:ascii="Times New Roman" w:hAnsi="Times New Roman" w:eastAsia="宋体" w:cs="Times New Roman"/>
                <w:color w:val="000000" w:themeColor="text1"/>
                <w14:textFill>
                  <w14:solidFill>
                    <w14:schemeClr w14:val="tx1"/>
                  </w14:solidFill>
                </w14:textFill>
              </w:rPr>
              <w:t>9</w:t>
            </w:r>
            <w:r>
              <w:rPr>
                <w:rFonts w:ascii="Times New Roman" w:hAnsi="Times New Roman" w:eastAsia="宋体" w:cs="Times New Roman"/>
                <w:color w:val="000000" w:themeColor="text1"/>
                <w14:textFill>
                  <w14:solidFill>
                    <w14:schemeClr w14:val="tx1"/>
                  </w14:solidFill>
                </w14:textFill>
              </w:rPr>
              <w:t>日。</w:t>
            </w:r>
          </w:p>
        </w:tc>
      </w:tr>
    </w:tbl>
    <w:p w14:paraId="4639F39A">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p>
    <w:p w14:paraId="054CD4B2">
      <w:pPr>
        <w:widowControl w:val="0"/>
        <w:spacing w:after="0" w:line="360" w:lineRule="auto"/>
        <w:jc w:val="center"/>
        <w:rPr>
          <w:rFonts w:ascii="Times New Roman" w:hAnsi="Times New Roman" w:eastAsia="宋体" w:cs="Times New Roman"/>
          <w:b/>
          <w:bCs/>
          <w:color w:val="000000" w:themeColor="text1"/>
          <w:spacing w:val="-2"/>
          <w:sz w:val="24"/>
          <w:szCs w:val="20"/>
          <w14:textFill>
            <w14:solidFill>
              <w14:schemeClr w14:val="tx1"/>
            </w14:solidFill>
          </w14:textFill>
        </w:rPr>
      </w:pPr>
      <w:r>
        <w:rPr>
          <w:rFonts w:ascii="Times New Roman" w:hAnsi="Times New Roman" w:eastAsia="宋体" w:cs="Times New Roman"/>
          <w:b/>
          <w:bCs/>
          <w:color w:val="000000" w:themeColor="text1"/>
          <w:spacing w:val="-2"/>
          <w:sz w:val="24"/>
          <w:szCs w:val="20"/>
          <w14:textFill>
            <w14:solidFill>
              <w14:schemeClr w14:val="tx1"/>
            </w14:solidFill>
          </w14:textFill>
        </w:rPr>
        <w:t>表3.1-2  监测项目所用方法及仪器（二）</w:t>
      </w:r>
    </w:p>
    <w:tbl>
      <w:tblPr>
        <w:tblStyle w:val="47"/>
        <w:tblW w:w="5082"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45"/>
        <w:gridCol w:w="655"/>
        <w:gridCol w:w="2107"/>
        <w:gridCol w:w="1803"/>
        <w:gridCol w:w="3452"/>
      </w:tblGrid>
      <w:tr w14:paraId="4A4348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49" w:hRule="atLeast"/>
          <w:tblHeader/>
          <w:jc w:val="center"/>
        </w:trPr>
        <w:tc>
          <w:tcPr>
            <w:tcW w:w="497" w:type="pct"/>
            <w:vAlign w:val="center"/>
          </w:tcPr>
          <w:p w14:paraId="6F8863B0">
            <w:pPr>
              <w:spacing w:after="0" w:line="276" w:lineRule="auto"/>
              <w:ind w:left="-103" w:leftChars="-49" w:right="-103" w:rightChars="-49"/>
              <w:jc w:val="cente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监测项目</w:t>
            </w:r>
          </w:p>
        </w:tc>
        <w:tc>
          <w:tcPr>
            <w:tcW w:w="503" w:type="pct"/>
            <w:vAlign w:val="center"/>
          </w:tcPr>
          <w:p w14:paraId="5E654B86">
            <w:pPr>
              <w:spacing w:after="0" w:line="276" w:lineRule="auto"/>
              <w:ind w:left="-103" w:leftChars="-49" w:right="-103" w:rightChars="-49"/>
              <w:jc w:val="cente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监测对象</w:t>
            </w:r>
          </w:p>
        </w:tc>
        <w:tc>
          <w:tcPr>
            <w:tcW w:w="862" w:type="pct"/>
            <w:vAlign w:val="center"/>
          </w:tcPr>
          <w:p w14:paraId="6F0F45CB">
            <w:pPr>
              <w:spacing w:after="0" w:line="276" w:lineRule="auto"/>
              <w:jc w:val="cente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监测方法</w:t>
            </w:r>
          </w:p>
        </w:tc>
        <w:tc>
          <w:tcPr>
            <w:tcW w:w="1021" w:type="pct"/>
            <w:vAlign w:val="center"/>
          </w:tcPr>
          <w:p w14:paraId="37F56F16">
            <w:pPr>
              <w:spacing w:after="0" w:line="276" w:lineRule="auto"/>
              <w:jc w:val="cente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监测仪器</w:t>
            </w:r>
          </w:p>
        </w:tc>
        <w:tc>
          <w:tcPr>
            <w:tcW w:w="2117" w:type="pct"/>
            <w:vAlign w:val="center"/>
          </w:tcPr>
          <w:p w14:paraId="5DB38006">
            <w:pPr>
              <w:spacing w:after="0" w:line="276" w:lineRule="auto"/>
              <w:jc w:val="cente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检定/校准信息</w:t>
            </w:r>
          </w:p>
        </w:tc>
      </w:tr>
      <w:tr w14:paraId="39C0A6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97" w:type="pct"/>
            <w:vMerge w:val="restart"/>
            <w:vAlign w:val="center"/>
          </w:tcPr>
          <w:p w14:paraId="1246629E">
            <w:pPr>
              <w:spacing w:after="0" w:line="276" w:lineRule="auto"/>
              <w:jc w:val="center"/>
              <w:rPr>
                <w:rFonts w:ascii="Times New Roman" w:hAnsi="Times New Roman" w:eastAsia="宋体" w:cs="Times New Roman"/>
                <w:bCs/>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氡</w:t>
            </w:r>
          </w:p>
        </w:tc>
        <w:tc>
          <w:tcPr>
            <w:tcW w:w="503" w:type="pct"/>
            <w:vMerge w:val="restart"/>
            <w:vAlign w:val="center"/>
          </w:tcPr>
          <w:p w14:paraId="3142133A">
            <w:pPr>
              <w:spacing w:after="0" w:line="276" w:lineRule="auto"/>
              <w:jc w:val="center"/>
              <w:rPr>
                <w:rFonts w:ascii="Times New Roman" w:hAnsi="Times New Roman" w:eastAsia="宋体" w:cs="Times New Roman"/>
                <w:color w:val="000000" w:themeColor="text1"/>
                <w:spacing w:val="-16"/>
                <w14:textFill>
                  <w14:solidFill>
                    <w14:schemeClr w14:val="tx1"/>
                  </w14:solidFill>
                </w14:textFill>
              </w:rPr>
            </w:pPr>
            <w:r>
              <w:rPr>
                <w:rFonts w:ascii="Times New Roman" w:hAnsi="Times New Roman" w:eastAsia="宋体" w:cs="Times New Roman"/>
                <w:color w:val="000000" w:themeColor="text1"/>
                <w:spacing w:val="-16"/>
                <w14:textFill>
                  <w14:solidFill>
                    <w14:schemeClr w14:val="tx1"/>
                  </w14:solidFill>
                </w14:textFill>
              </w:rPr>
              <w:t>空气</w:t>
            </w:r>
          </w:p>
        </w:tc>
        <w:tc>
          <w:tcPr>
            <w:tcW w:w="862" w:type="pct"/>
            <w:vMerge w:val="restart"/>
            <w:vAlign w:val="center"/>
          </w:tcPr>
          <w:p w14:paraId="4EE86B04">
            <w:pPr>
              <w:spacing w:after="0" w:line="276" w:lineRule="auto"/>
              <w:jc w:val="center"/>
              <w:rPr>
                <w:rFonts w:ascii="Times New Roman" w:hAnsi="Times New Roman" w:eastAsia="宋体" w:cs="Times New Roman"/>
                <w:color w:val="000000" w:themeColor="text1"/>
                <w:spacing w:val="-16"/>
                <w14:textFill>
                  <w14:solidFill>
                    <w14:schemeClr w14:val="tx1"/>
                  </w14:solidFill>
                </w14:textFill>
              </w:rPr>
            </w:pPr>
            <w:r>
              <w:rPr>
                <w:rFonts w:ascii="Times New Roman" w:hAnsi="Times New Roman" w:eastAsia="宋体" w:cs="Times New Roman"/>
                <w:color w:val="000000" w:themeColor="text1"/>
                <w:spacing w:val="-16"/>
                <w14:textFill>
                  <w14:solidFill>
                    <w14:schemeClr w14:val="tx1"/>
                  </w14:solidFill>
                </w14:textFill>
              </w:rPr>
              <w:t>《环境空气中氡的测量方法》</w:t>
            </w:r>
          </w:p>
          <w:p w14:paraId="455E5537">
            <w:pPr>
              <w:spacing w:after="0" w:line="276"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spacing w:val="-16"/>
                <w14:textFill>
                  <w14:solidFill>
                    <w14:schemeClr w14:val="tx1"/>
                  </w14:solidFill>
                </w14:textFill>
              </w:rPr>
              <w:t>（</w:t>
            </w:r>
            <w:r>
              <w:rPr>
                <w:rFonts w:hint="eastAsia" w:ascii="Times New Roman" w:hAnsi="Times New Roman" w:eastAsia="宋体" w:cs="Times New Roman"/>
                <w:color w:val="000000" w:themeColor="text1"/>
                <w:spacing w:val="-16"/>
                <w14:textFill>
                  <w14:solidFill>
                    <w14:schemeClr w14:val="tx1"/>
                  </w14:solidFill>
                </w14:textFill>
              </w:rPr>
              <w:t>HJ1212-2021</w:t>
            </w:r>
            <w:r>
              <w:rPr>
                <w:rFonts w:ascii="Times New Roman" w:hAnsi="Times New Roman" w:eastAsia="宋体" w:cs="Times New Roman"/>
                <w:color w:val="000000" w:themeColor="text1"/>
                <w:spacing w:val="-16"/>
                <w14:textFill>
                  <w14:solidFill>
                    <w14:schemeClr w14:val="tx1"/>
                  </w14:solidFill>
                </w14:textFill>
              </w:rPr>
              <w:t>）</w:t>
            </w:r>
          </w:p>
        </w:tc>
        <w:tc>
          <w:tcPr>
            <w:tcW w:w="1021" w:type="pct"/>
            <w:vAlign w:val="center"/>
          </w:tcPr>
          <w:p w14:paraId="4EF7F3E0">
            <w:pPr>
              <w:spacing w:after="0" w:line="276" w:lineRule="auto"/>
              <w:jc w:val="center"/>
              <w:rPr>
                <w:rFonts w:ascii="Times New Roman" w:hAnsi="Times New Roman" w:eastAsia="宋体" w:cs="Times New Roman"/>
                <w:bCs/>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NRM-P01型便携式测氡仪（NRM02A03</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w:t>
            </w:r>
          </w:p>
        </w:tc>
        <w:tc>
          <w:tcPr>
            <w:tcW w:w="2117" w:type="pct"/>
            <w:vAlign w:val="center"/>
          </w:tcPr>
          <w:p w14:paraId="1953AA80">
            <w:pPr>
              <w:spacing w:after="0" w:line="276" w:lineRule="auto"/>
              <w:jc w:val="center"/>
              <w:rPr>
                <w:rFonts w:ascii="Times New Roman" w:hAnsi="Times New Roman" w:eastAsia="宋体" w:cs="Times New Roman"/>
                <w:bCs/>
                <w:color w:val="000000" w:themeColor="text1"/>
                <w14:textFill>
                  <w14:solidFill>
                    <w14:schemeClr w14:val="tx1"/>
                  </w14:solidFill>
                </w14:textFill>
              </w:rPr>
            </w:pPr>
            <w:r>
              <w:rPr>
                <w:rFonts w:ascii="Times New Roman" w:hAnsi="Times New Roman" w:eastAsia="宋体" w:cs="Times New Roman"/>
                <w:bCs/>
                <w:color w:val="000000" w:themeColor="text1"/>
                <w14:textFill>
                  <w14:solidFill>
                    <w14:schemeClr w14:val="tx1"/>
                  </w14:solidFill>
                </w14:textFill>
              </w:rPr>
              <w:t>检定证书编号：DLhd202</w:t>
            </w:r>
            <w:r>
              <w:rPr>
                <w:rFonts w:hint="eastAsia" w:ascii="Times New Roman" w:hAnsi="Times New Roman" w:eastAsia="宋体" w:cs="Times New Roman"/>
                <w:bCs/>
                <w:color w:val="000000" w:themeColor="text1"/>
                <w14:textFill>
                  <w14:solidFill>
                    <w14:schemeClr w14:val="tx1"/>
                  </w14:solidFill>
                </w14:textFill>
              </w:rPr>
              <w:t>4</w:t>
            </w:r>
            <w:r>
              <w:rPr>
                <w:rFonts w:ascii="Times New Roman" w:hAnsi="Times New Roman" w:eastAsia="宋体" w:cs="Times New Roman"/>
                <w:bCs/>
                <w:color w:val="000000" w:themeColor="text1"/>
                <w14:textFill>
                  <w14:solidFill>
                    <w14:schemeClr w14:val="tx1"/>
                  </w14:solidFill>
                </w14:textFill>
              </w:rPr>
              <w:t>-0</w:t>
            </w:r>
            <w:r>
              <w:rPr>
                <w:rFonts w:hint="eastAsia" w:ascii="Times New Roman" w:hAnsi="Times New Roman" w:eastAsia="宋体" w:cs="Times New Roman"/>
                <w:bCs/>
                <w:color w:val="000000" w:themeColor="text1"/>
                <w14:textFill>
                  <w14:solidFill>
                    <w14:schemeClr w14:val="tx1"/>
                  </w14:solidFill>
                </w14:textFill>
              </w:rPr>
              <w:t>4765</w:t>
            </w:r>
            <w:r>
              <w:rPr>
                <w:rFonts w:ascii="Times New Roman" w:hAnsi="Times New Roman" w:eastAsia="宋体" w:cs="Times New Roman"/>
                <w:bCs/>
                <w:color w:val="000000" w:themeColor="text1"/>
                <w14:textFill>
                  <w14:solidFill>
                    <w14:schemeClr w14:val="tx1"/>
                  </w14:solidFill>
                </w14:textFill>
              </w:rPr>
              <w:t>（中国计量科学研究院），</w:t>
            </w:r>
            <w:r>
              <w:rPr>
                <w:rFonts w:hint="eastAsia" w:ascii="Times New Roman" w:hAnsi="Times New Roman" w:eastAsia="宋体" w:cs="Times New Roman"/>
                <w:bCs/>
                <w:color w:val="000000" w:themeColor="text1"/>
                <w14:textFill>
                  <w14:solidFill>
                    <w14:schemeClr w14:val="tx1"/>
                  </w14:solidFill>
                </w14:textFill>
              </w:rPr>
              <w:t>发布日期</w:t>
            </w:r>
            <w:r>
              <w:rPr>
                <w:rFonts w:ascii="Times New Roman" w:hAnsi="Times New Roman" w:eastAsia="宋体" w:cs="Times New Roman"/>
                <w:bCs/>
                <w:color w:val="000000" w:themeColor="text1"/>
                <w14:textFill>
                  <w14:solidFill>
                    <w14:schemeClr w14:val="tx1"/>
                  </w14:solidFill>
                </w14:textFill>
              </w:rPr>
              <w:t>：202</w:t>
            </w:r>
            <w:r>
              <w:rPr>
                <w:rFonts w:hint="eastAsia" w:ascii="Times New Roman" w:hAnsi="Times New Roman" w:eastAsia="宋体" w:cs="Times New Roman"/>
                <w:bCs/>
                <w:color w:val="000000" w:themeColor="text1"/>
                <w14:textFill>
                  <w14:solidFill>
                    <w14:schemeClr w14:val="tx1"/>
                  </w14:solidFill>
                </w14:textFill>
              </w:rPr>
              <w:t>4</w:t>
            </w:r>
            <w:r>
              <w:rPr>
                <w:rFonts w:ascii="Times New Roman" w:hAnsi="Times New Roman" w:eastAsia="宋体" w:cs="Times New Roman"/>
                <w:bCs/>
                <w:color w:val="000000" w:themeColor="text1"/>
                <w14:textFill>
                  <w14:solidFill>
                    <w14:schemeClr w14:val="tx1"/>
                  </w14:solidFill>
                </w14:textFill>
              </w:rPr>
              <w:t>年</w:t>
            </w:r>
            <w:r>
              <w:rPr>
                <w:rFonts w:hint="eastAsia" w:ascii="Times New Roman" w:hAnsi="Times New Roman" w:eastAsia="宋体" w:cs="Times New Roman"/>
                <w:bCs/>
                <w:color w:val="000000" w:themeColor="text1"/>
                <w14:textFill>
                  <w14:solidFill>
                    <w14:schemeClr w14:val="tx1"/>
                  </w14:solidFill>
                </w14:textFill>
              </w:rPr>
              <w:t>7</w:t>
            </w:r>
            <w:r>
              <w:rPr>
                <w:rFonts w:ascii="Times New Roman" w:hAnsi="Times New Roman" w:eastAsia="宋体" w:cs="Times New Roman"/>
                <w:bCs/>
                <w:color w:val="000000" w:themeColor="text1"/>
                <w14:textFill>
                  <w14:solidFill>
                    <w14:schemeClr w14:val="tx1"/>
                  </w14:solidFill>
                </w14:textFill>
              </w:rPr>
              <w:t>月</w:t>
            </w:r>
            <w:r>
              <w:rPr>
                <w:rFonts w:hint="eastAsia" w:ascii="Times New Roman" w:hAnsi="Times New Roman" w:eastAsia="宋体" w:cs="Times New Roman"/>
                <w:bCs/>
                <w:color w:val="000000" w:themeColor="text1"/>
                <w14:textFill>
                  <w14:solidFill>
                    <w14:schemeClr w14:val="tx1"/>
                  </w14:solidFill>
                </w14:textFill>
              </w:rPr>
              <w:t>19</w:t>
            </w:r>
            <w:r>
              <w:rPr>
                <w:rFonts w:ascii="Times New Roman" w:hAnsi="Times New Roman" w:eastAsia="宋体" w:cs="Times New Roman"/>
                <w:bCs/>
                <w:color w:val="000000" w:themeColor="text1"/>
                <w14:textFill>
                  <w14:solidFill>
                    <w14:schemeClr w14:val="tx1"/>
                  </w14:solidFill>
                </w14:textFill>
              </w:rPr>
              <w:t>日。</w:t>
            </w:r>
          </w:p>
        </w:tc>
      </w:tr>
      <w:tr w14:paraId="78FE31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97" w:type="pct"/>
            <w:vMerge w:val="continue"/>
            <w:vAlign w:val="center"/>
          </w:tcPr>
          <w:p w14:paraId="2ED27A52">
            <w:pPr>
              <w:spacing w:after="0" w:line="276" w:lineRule="auto"/>
              <w:jc w:val="center"/>
              <w:rPr>
                <w:rFonts w:ascii="Times New Roman" w:hAnsi="Times New Roman" w:eastAsia="宋体" w:cs="Times New Roman"/>
                <w:b/>
                <w:color w:val="000000" w:themeColor="text1"/>
                <w14:textFill>
                  <w14:solidFill>
                    <w14:schemeClr w14:val="tx1"/>
                  </w14:solidFill>
                </w14:textFill>
              </w:rPr>
            </w:pPr>
          </w:p>
        </w:tc>
        <w:tc>
          <w:tcPr>
            <w:tcW w:w="503" w:type="pct"/>
            <w:vMerge w:val="continue"/>
            <w:vAlign w:val="center"/>
          </w:tcPr>
          <w:p w14:paraId="5BAB69CA">
            <w:pPr>
              <w:spacing w:after="0" w:line="276" w:lineRule="auto"/>
              <w:jc w:val="center"/>
              <w:rPr>
                <w:rFonts w:ascii="Times New Roman" w:hAnsi="Times New Roman" w:eastAsia="宋体" w:cs="Times New Roman"/>
                <w:color w:val="000000" w:themeColor="text1"/>
                <w14:textFill>
                  <w14:solidFill>
                    <w14:schemeClr w14:val="tx1"/>
                  </w14:solidFill>
                </w14:textFill>
              </w:rPr>
            </w:pPr>
          </w:p>
        </w:tc>
        <w:tc>
          <w:tcPr>
            <w:tcW w:w="862" w:type="pct"/>
            <w:vMerge w:val="continue"/>
            <w:vAlign w:val="center"/>
          </w:tcPr>
          <w:p w14:paraId="5A064798">
            <w:pPr>
              <w:spacing w:after="0" w:line="276" w:lineRule="auto"/>
              <w:jc w:val="center"/>
              <w:rPr>
                <w:rFonts w:ascii="Times New Roman" w:hAnsi="Times New Roman" w:eastAsia="宋体" w:cs="Times New Roman"/>
                <w:color w:val="000000" w:themeColor="text1"/>
                <w14:textFill>
                  <w14:solidFill>
                    <w14:schemeClr w14:val="tx1"/>
                  </w14:solidFill>
                </w14:textFill>
              </w:rPr>
            </w:pPr>
          </w:p>
        </w:tc>
        <w:tc>
          <w:tcPr>
            <w:tcW w:w="1021" w:type="pct"/>
            <w:vAlign w:val="center"/>
          </w:tcPr>
          <w:p w14:paraId="3DF56A8F">
            <w:pPr>
              <w:spacing w:after="0" w:line="276" w:lineRule="auto"/>
              <w:jc w:val="center"/>
              <w:rPr>
                <w:rFonts w:ascii="Times New Roman" w:hAnsi="Times New Roman" w:eastAsia="宋体" w:cs="Times New Roman"/>
                <w:bCs/>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NRM-P01型便携式测氡仪（NRM02A03</w:t>
            </w:r>
            <w:r>
              <w:rPr>
                <w:rFonts w:hint="eastAsia" w:ascii="Times New Roman" w:hAnsi="Times New Roman" w:eastAsia="宋体" w:cs="Times New Roman"/>
                <w:color w:val="000000" w:themeColor="text1"/>
                <w14:textFill>
                  <w14:solidFill>
                    <w14:schemeClr w14:val="tx1"/>
                  </w14:solidFill>
                </w14:textFill>
              </w:rPr>
              <w:t>9</w:t>
            </w:r>
            <w:r>
              <w:rPr>
                <w:rFonts w:ascii="Times New Roman" w:hAnsi="Times New Roman" w:eastAsia="宋体" w:cs="Times New Roman"/>
                <w:color w:val="000000" w:themeColor="text1"/>
                <w14:textFill>
                  <w14:solidFill>
                    <w14:schemeClr w14:val="tx1"/>
                  </w14:solidFill>
                </w14:textFill>
              </w:rPr>
              <w:t>）</w:t>
            </w:r>
          </w:p>
        </w:tc>
        <w:tc>
          <w:tcPr>
            <w:tcW w:w="2117" w:type="pct"/>
            <w:vAlign w:val="center"/>
          </w:tcPr>
          <w:p w14:paraId="0B05CFB6">
            <w:pPr>
              <w:spacing w:after="0" w:line="276" w:lineRule="auto"/>
              <w:jc w:val="center"/>
              <w:rPr>
                <w:rFonts w:ascii="Times New Roman" w:hAnsi="Times New Roman" w:eastAsia="宋体" w:cs="Times New Roman"/>
                <w:bCs/>
                <w:color w:val="000000" w:themeColor="text1"/>
                <w14:textFill>
                  <w14:solidFill>
                    <w14:schemeClr w14:val="tx1"/>
                  </w14:solidFill>
                </w14:textFill>
              </w:rPr>
            </w:pPr>
            <w:r>
              <w:rPr>
                <w:rFonts w:ascii="Times New Roman" w:hAnsi="Times New Roman" w:eastAsia="宋体" w:cs="Times New Roman"/>
                <w:bCs/>
                <w:color w:val="000000" w:themeColor="text1"/>
                <w14:textFill>
                  <w14:solidFill>
                    <w14:schemeClr w14:val="tx1"/>
                  </w14:solidFill>
                </w14:textFill>
              </w:rPr>
              <w:t>检定证书编号：DLhd202</w:t>
            </w:r>
            <w:r>
              <w:rPr>
                <w:rFonts w:hint="eastAsia" w:ascii="Times New Roman" w:hAnsi="Times New Roman" w:eastAsia="宋体" w:cs="Times New Roman"/>
                <w:bCs/>
                <w:color w:val="000000" w:themeColor="text1"/>
                <w14:textFill>
                  <w14:solidFill>
                    <w14:schemeClr w14:val="tx1"/>
                  </w14:solidFill>
                </w14:textFill>
              </w:rPr>
              <w:t>4</w:t>
            </w:r>
            <w:r>
              <w:rPr>
                <w:rFonts w:ascii="Times New Roman" w:hAnsi="Times New Roman" w:eastAsia="宋体" w:cs="Times New Roman"/>
                <w:bCs/>
                <w:color w:val="000000" w:themeColor="text1"/>
                <w14:textFill>
                  <w14:solidFill>
                    <w14:schemeClr w14:val="tx1"/>
                  </w14:solidFill>
                </w14:textFill>
              </w:rPr>
              <w:t>-0</w:t>
            </w:r>
            <w:r>
              <w:rPr>
                <w:rFonts w:hint="eastAsia" w:ascii="Times New Roman" w:hAnsi="Times New Roman" w:eastAsia="宋体" w:cs="Times New Roman"/>
                <w:bCs/>
                <w:color w:val="000000" w:themeColor="text1"/>
                <w14:textFill>
                  <w14:solidFill>
                    <w14:schemeClr w14:val="tx1"/>
                  </w14:solidFill>
                </w14:textFill>
              </w:rPr>
              <w:t>4592</w:t>
            </w:r>
            <w:r>
              <w:rPr>
                <w:rFonts w:ascii="Times New Roman" w:hAnsi="Times New Roman" w:eastAsia="宋体" w:cs="Times New Roman"/>
                <w:bCs/>
                <w:color w:val="000000" w:themeColor="text1"/>
                <w14:textFill>
                  <w14:solidFill>
                    <w14:schemeClr w14:val="tx1"/>
                  </w14:solidFill>
                </w14:textFill>
              </w:rPr>
              <w:t>（中国计量科学研究院），有效期：202</w:t>
            </w:r>
            <w:r>
              <w:rPr>
                <w:rFonts w:hint="eastAsia" w:ascii="Times New Roman" w:hAnsi="Times New Roman" w:eastAsia="宋体" w:cs="Times New Roman"/>
                <w:bCs/>
                <w:color w:val="000000" w:themeColor="text1"/>
                <w14:textFill>
                  <w14:solidFill>
                    <w14:schemeClr w14:val="tx1"/>
                  </w14:solidFill>
                </w14:textFill>
              </w:rPr>
              <w:t>4</w:t>
            </w:r>
            <w:r>
              <w:rPr>
                <w:rFonts w:ascii="Times New Roman" w:hAnsi="Times New Roman" w:eastAsia="宋体" w:cs="Times New Roman"/>
                <w:bCs/>
                <w:color w:val="000000" w:themeColor="text1"/>
                <w14:textFill>
                  <w14:solidFill>
                    <w14:schemeClr w14:val="tx1"/>
                  </w14:solidFill>
                </w14:textFill>
              </w:rPr>
              <w:t>年</w:t>
            </w:r>
            <w:r>
              <w:rPr>
                <w:rFonts w:hint="eastAsia" w:ascii="Times New Roman" w:hAnsi="Times New Roman" w:eastAsia="宋体" w:cs="Times New Roman"/>
                <w:bCs/>
                <w:color w:val="000000" w:themeColor="text1"/>
                <w14:textFill>
                  <w14:solidFill>
                    <w14:schemeClr w14:val="tx1"/>
                  </w14:solidFill>
                </w14:textFill>
              </w:rPr>
              <w:t>7</w:t>
            </w:r>
            <w:r>
              <w:rPr>
                <w:rFonts w:ascii="Times New Roman" w:hAnsi="Times New Roman" w:eastAsia="宋体" w:cs="Times New Roman"/>
                <w:bCs/>
                <w:color w:val="000000" w:themeColor="text1"/>
                <w14:textFill>
                  <w14:solidFill>
                    <w14:schemeClr w14:val="tx1"/>
                  </w14:solidFill>
                </w14:textFill>
              </w:rPr>
              <w:t>月</w:t>
            </w:r>
            <w:r>
              <w:rPr>
                <w:rFonts w:hint="eastAsia" w:ascii="Times New Roman" w:hAnsi="Times New Roman" w:eastAsia="宋体" w:cs="Times New Roman"/>
                <w:bCs/>
                <w:color w:val="000000" w:themeColor="text1"/>
                <w14:textFill>
                  <w14:solidFill>
                    <w14:schemeClr w14:val="tx1"/>
                  </w14:solidFill>
                </w14:textFill>
              </w:rPr>
              <w:t>9</w:t>
            </w:r>
            <w:r>
              <w:rPr>
                <w:rFonts w:ascii="Times New Roman" w:hAnsi="Times New Roman" w:eastAsia="宋体" w:cs="Times New Roman"/>
                <w:bCs/>
                <w:color w:val="000000" w:themeColor="text1"/>
                <w14:textFill>
                  <w14:solidFill>
                    <w14:schemeClr w14:val="tx1"/>
                  </w14:solidFill>
                </w14:textFill>
              </w:rPr>
              <w:t>日～202</w:t>
            </w:r>
            <w:r>
              <w:rPr>
                <w:rFonts w:hint="eastAsia" w:ascii="Times New Roman" w:hAnsi="Times New Roman" w:eastAsia="宋体" w:cs="Times New Roman"/>
                <w:bCs/>
                <w:color w:val="000000" w:themeColor="text1"/>
                <w14:textFill>
                  <w14:solidFill>
                    <w14:schemeClr w14:val="tx1"/>
                  </w14:solidFill>
                </w14:textFill>
              </w:rPr>
              <w:t>5</w:t>
            </w:r>
            <w:r>
              <w:rPr>
                <w:rFonts w:ascii="Times New Roman" w:hAnsi="Times New Roman" w:eastAsia="宋体" w:cs="Times New Roman"/>
                <w:bCs/>
                <w:color w:val="000000" w:themeColor="text1"/>
                <w14:textFill>
                  <w14:solidFill>
                    <w14:schemeClr w14:val="tx1"/>
                  </w14:solidFill>
                </w14:textFill>
              </w:rPr>
              <w:t>年</w:t>
            </w:r>
            <w:r>
              <w:rPr>
                <w:rFonts w:hint="eastAsia" w:ascii="Times New Roman" w:hAnsi="Times New Roman" w:eastAsia="宋体" w:cs="Times New Roman"/>
                <w:bCs/>
                <w:color w:val="000000" w:themeColor="text1"/>
                <w14:textFill>
                  <w14:solidFill>
                    <w14:schemeClr w14:val="tx1"/>
                  </w14:solidFill>
                </w14:textFill>
              </w:rPr>
              <w:t>7</w:t>
            </w:r>
            <w:r>
              <w:rPr>
                <w:rFonts w:ascii="Times New Roman" w:hAnsi="Times New Roman" w:eastAsia="宋体" w:cs="Times New Roman"/>
                <w:bCs/>
                <w:color w:val="000000" w:themeColor="text1"/>
                <w14:textFill>
                  <w14:solidFill>
                    <w14:schemeClr w14:val="tx1"/>
                  </w14:solidFill>
                </w14:textFill>
              </w:rPr>
              <w:t>月</w:t>
            </w:r>
            <w:r>
              <w:rPr>
                <w:rFonts w:hint="eastAsia" w:ascii="Times New Roman" w:hAnsi="Times New Roman" w:eastAsia="宋体" w:cs="Times New Roman"/>
                <w:bCs/>
                <w:color w:val="000000" w:themeColor="text1"/>
                <w14:textFill>
                  <w14:solidFill>
                    <w14:schemeClr w14:val="tx1"/>
                  </w14:solidFill>
                </w14:textFill>
              </w:rPr>
              <w:t>8</w:t>
            </w:r>
            <w:r>
              <w:rPr>
                <w:rFonts w:ascii="Times New Roman" w:hAnsi="Times New Roman" w:eastAsia="宋体" w:cs="Times New Roman"/>
                <w:bCs/>
                <w:color w:val="000000" w:themeColor="text1"/>
                <w14:textFill>
                  <w14:solidFill>
                    <w14:schemeClr w14:val="tx1"/>
                  </w14:solidFill>
                </w14:textFill>
              </w:rPr>
              <w:t>日。</w:t>
            </w:r>
          </w:p>
        </w:tc>
      </w:tr>
      <w:tr w14:paraId="73856D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97" w:type="pct"/>
            <w:vMerge w:val="continue"/>
            <w:vAlign w:val="center"/>
          </w:tcPr>
          <w:p w14:paraId="4ACACBD6">
            <w:pPr>
              <w:spacing w:after="0" w:line="276" w:lineRule="auto"/>
              <w:jc w:val="center"/>
              <w:rPr>
                <w:rFonts w:ascii="Times New Roman" w:hAnsi="Times New Roman" w:eastAsia="宋体" w:cs="Times New Roman"/>
                <w:b/>
                <w:color w:val="000000" w:themeColor="text1"/>
                <w14:textFill>
                  <w14:solidFill>
                    <w14:schemeClr w14:val="tx1"/>
                  </w14:solidFill>
                </w14:textFill>
              </w:rPr>
            </w:pPr>
          </w:p>
        </w:tc>
        <w:tc>
          <w:tcPr>
            <w:tcW w:w="503" w:type="pct"/>
            <w:vMerge w:val="continue"/>
            <w:vAlign w:val="center"/>
          </w:tcPr>
          <w:p w14:paraId="60FABC90">
            <w:pPr>
              <w:spacing w:after="0" w:line="276" w:lineRule="auto"/>
              <w:jc w:val="center"/>
              <w:rPr>
                <w:rFonts w:ascii="Times New Roman" w:hAnsi="Times New Roman" w:eastAsia="宋体" w:cs="Times New Roman"/>
                <w:color w:val="000000" w:themeColor="text1"/>
                <w14:textFill>
                  <w14:solidFill>
                    <w14:schemeClr w14:val="tx1"/>
                  </w14:solidFill>
                </w14:textFill>
              </w:rPr>
            </w:pPr>
          </w:p>
        </w:tc>
        <w:tc>
          <w:tcPr>
            <w:tcW w:w="862" w:type="pct"/>
            <w:vMerge w:val="continue"/>
            <w:vAlign w:val="center"/>
          </w:tcPr>
          <w:p w14:paraId="0E20C8C4">
            <w:pPr>
              <w:spacing w:after="0" w:line="276" w:lineRule="auto"/>
              <w:jc w:val="center"/>
              <w:rPr>
                <w:rFonts w:ascii="Times New Roman" w:hAnsi="Times New Roman" w:eastAsia="宋体" w:cs="Times New Roman"/>
                <w:color w:val="000000" w:themeColor="text1"/>
                <w14:textFill>
                  <w14:solidFill>
                    <w14:schemeClr w14:val="tx1"/>
                  </w14:solidFill>
                </w14:textFill>
              </w:rPr>
            </w:pPr>
          </w:p>
        </w:tc>
        <w:tc>
          <w:tcPr>
            <w:tcW w:w="1021" w:type="pct"/>
            <w:vAlign w:val="center"/>
          </w:tcPr>
          <w:p w14:paraId="1AC2C2A0">
            <w:pPr>
              <w:spacing w:after="0" w:line="276" w:lineRule="auto"/>
              <w:jc w:val="center"/>
              <w:rPr>
                <w:rFonts w:ascii="Times New Roman" w:hAnsi="Times New Roman" w:eastAsia="宋体" w:cs="Times New Roman"/>
                <w:bCs/>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NRM-P01型便携式测氡仪（NRM02A0</w:t>
            </w:r>
            <w:r>
              <w:rPr>
                <w:rFonts w:hint="eastAsia" w:ascii="Times New Roman" w:hAnsi="Times New Roman" w:eastAsia="宋体" w:cs="Times New Roman"/>
                <w:color w:val="000000" w:themeColor="text1"/>
                <w14:textFill>
                  <w14:solidFill>
                    <w14:schemeClr w14:val="tx1"/>
                  </w14:solidFill>
                </w14:textFill>
              </w:rPr>
              <w:t>30</w:t>
            </w:r>
            <w:r>
              <w:rPr>
                <w:rFonts w:ascii="Times New Roman" w:hAnsi="Times New Roman" w:eastAsia="宋体" w:cs="Times New Roman"/>
                <w:color w:val="000000" w:themeColor="text1"/>
                <w14:textFill>
                  <w14:solidFill>
                    <w14:schemeClr w14:val="tx1"/>
                  </w14:solidFill>
                </w14:textFill>
              </w:rPr>
              <w:t>）</w:t>
            </w:r>
          </w:p>
        </w:tc>
        <w:tc>
          <w:tcPr>
            <w:tcW w:w="2117" w:type="pct"/>
            <w:vAlign w:val="center"/>
          </w:tcPr>
          <w:p w14:paraId="3CB1292D">
            <w:pPr>
              <w:spacing w:after="0" w:line="276" w:lineRule="auto"/>
              <w:jc w:val="center"/>
              <w:rPr>
                <w:rFonts w:ascii="Times New Roman" w:hAnsi="Times New Roman" w:eastAsia="宋体" w:cs="Times New Roman"/>
                <w:bCs/>
                <w:color w:val="000000" w:themeColor="text1"/>
                <w14:textFill>
                  <w14:solidFill>
                    <w14:schemeClr w14:val="tx1"/>
                  </w14:solidFill>
                </w14:textFill>
              </w:rPr>
            </w:pPr>
            <w:r>
              <w:rPr>
                <w:rFonts w:ascii="Times New Roman" w:hAnsi="Times New Roman" w:eastAsia="宋体" w:cs="Times New Roman"/>
                <w:bCs/>
                <w:color w:val="000000" w:themeColor="text1"/>
                <w14:textFill>
                  <w14:solidFill>
                    <w14:schemeClr w14:val="tx1"/>
                  </w14:solidFill>
                </w14:textFill>
              </w:rPr>
              <w:t>检定证书编号：DLhd202</w:t>
            </w:r>
            <w:r>
              <w:rPr>
                <w:rFonts w:hint="eastAsia" w:ascii="Times New Roman" w:hAnsi="Times New Roman" w:eastAsia="宋体" w:cs="Times New Roman"/>
                <w:bCs/>
                <w:color w:val="000000" w:themeColor="text1"/>
                <w14:textFill>
                  <w14:solidFill>
                    <w14:schemeClr w14:val="tx1"/>
                  </w14:solidFill>
                </w14:textFill>
              </w:rPr>
              <w:t>4</w:t>
            </w:r>
            <w:r>
              <w:rPr>
                <w:rFonts w:ascii="Times New Roman" w:hAnsi="Times New Roman" w:eastAsia="宋体" w:cs="Times New Roman"/>
                <w:bCs/>
                <w:color w:val="000000" w:themeColor="text1"/>
                <w14:textFill>
                  <w14:solidFill>
                    <w14:schemeClr w14:val="tx1"/>
                  </w14:solidFill>
                </w14:textFill>
              </w:rPr>
              <w:t>-0</w:t>
            </w:r>
            <w:r>
              <w:rPr>
                <w:rFonts w:hint="eastAsia" w:ascii="Times New Roman" w:hAnsi="Times New Roman" w:eastAsia="宋体" w:cs="Times New Roman"/>
                <w:bCs/>
                <w:color w:val="000000" w:themeColor="text1"/>
                <w14:textFill>
                  <w14:solidFill>
                    <w14:schemeClr w14:val="tx1"/>
                  </w14:solidFill>
                </w14:textFill>
              </w:rPr>
              <w:t>4766</w:t>
            </w:r>
            <w:r>
              <w:rPr>
                <w:rFonts w:ascii="Times New Roman" w:hAnsi="Times New Roman" w:eastAsia="宋体" w:cs="Times New Roman"/>
                <w:bCs/>
                <w:color w:val="000000" w:themeColor="text1"/>
                <w14:textFill>
                  <w14:solidFill>
                    <w14:schemeClr w14:val="tx1"/>
                  </w14:solidFill>
                </w14:textFill>
              </w:rPr>
              <w:t>（中国计量科学研究院），有效期：202</w:t>
            </w:r>
            <w:r>
              <w:rPr>
                <w:rFonts w:hint="eastAsia" w:ascii="Times New Roman" w:hAnsi="Times New Roman" w:eastAsia="宋体" w:cs="Times New Roman"/>
                <w:bCs/>
                <w:color w:val="000000" w:themeColor="text1"/>
                <w14:textFill>
                  <w14:solidFill>
                    <w14:schemeClr w14:val="tx1"/>
                  </w14:solidFill>
                </w14:textFill>
              </w:rPr>
              <w:t>4</w:t>
            </w:r>
            <w:r>
              <w:rPr>
                <w:rFonts w:ascii="Times New Roman" w:hAnsi="Times New Roman" w:eastAsia="宋体" w:cs="Times New Roman"/>
                <w:bCs/>
                <w:color w:val="000000" w:themeColor="text1"/>
                <w14:textFill>
                  <w14:solidFill>
                    <w14:schemeClr w14:val="tx1"/>
                  </w14:solidFill>
                </w14:textFill>
              </w:rPr>
              <w:t>年</w:t>
            </w:r>
            <w:r>
              <w:rPr>
                <w:rFonts w:hint="eastAsia" w:ascii="Times New Roman" w:hAnsi="Times New Roman" w:eastAsia="宋体" w:cs="Times New Roman"/>
                <w:bCs/>
                <w:color w:val="000000" w:themeColor="text1"/>
                <w14:textFill>
                  <w14:solidFill>
                    <w14:schemeClr w14:val="tx1"/>
                  </w14:solidFill>
                </w14:textFill>
              </w:rPr>
              <w:t>7</w:t>
            </w:r>
            <w:r>
              <w:rPr>
                <w:rFonts w:ascii="Times New Roman" w:hAnsi="Times New Roman" w:eastAsia="宋体" w:cs="Times New Roman"/>
                <w:bCs/>
                <w:color w:val="000000" w:themeColor="text1"/>
                <w14:textFill>
                  <w14:solidFill>
                    <w14:schemeClr w14:val="tx1"/>
                  </w14:solidFill>
                </w14:textFill>
              </w:rPr>
              <w:t>月</w:t>
            </w:r>
            <w:r>
              <w:rPr>
                <w:rFonts w:hint="eastAsia" w:ascii="Times New Roman" w:hAnsi="Times New Roman" w:eastAsia="宋体" w:cs="Times New Roman"/>
                <w:bCs/>
                <w:color w:val="000000" w:themeColor="text1"/>
                <w14:textFill>
                  <w14:solidFill>
                    <w14:schemeClr w14:val="tx1"/>
                  </w14:solidFill>
                </w14:textFill>
              </w:rPr>
              <w:t>9</w:t>
            </w:r>
            <w:r>
              <w:rPr>
                <w:rFonts w:ascii="Times New Roman" w:hAnsi="Times New Roman" w:eastAsia="宋体" w:cs="Times New Roman"/>
                <w:bCs/>
                <w:color w:val="000000" w:themeColor="text1"/>
                <w14:textFill>
                  <w14:solidFill>
                    <w14:schemeClr w14:val="tx1"/>
                  </w14:solidFill>
                </w14:textFill>
              </w:rPr>
              <w:t>日～202</w:t>
            </w:r>
            <w:r>
              <w:rPr>
                <w:rFonts w:hint="eastAsia" w:ascii="Times New Roman" w:hAnsi="Times New Roman" w:eastAsia="宋体" w:cs="Times New Roman"/>
                <w:bCs/>
                <w:color w:val="000000" w:themeColor="text1"/>
                <w14:textFill>
                  <w14:solidFill>
                    <w14:schemeClr w14:val="tx1"/>
                  </w14:solidFill>
                </w14:textFill>
              </w:rPr>
              <w:t>5</w:t>
            </w:r>
            <w:r>
              <w:rPr>
                <w:rFonts w:ascii="Times New Roman" w:hAnsi="Times New Roman" w:eastAsia="宋体" w:cs="Times New Roman"/>
                <w:bCs/>
                <w:color w:val="000000" w:themeColor="text1"/>
                <w14:textFill>
                  <w14:solidFill>
                    <w14:schemeClr w14:val="tx1"/>
                  </w14:solidFill>
                </w14:textFill>
              </w:rPr>
              <w:t>年</w:t>
            </w:r>
            <w:r>
              <w:rPr>
                <w:rFonts w:hint="eastAsia" w:ascii="Times New Roman" w:hAnsi="Times New Roman" w:eastAsia="宋体" w:cs="Times New Roman"/>
                <w:bCs/>
                <w:color w:val="000000" w:themeColor="text1"/>
                <w14:textFill>
                  <w14:solidFill>
                    <w14:schemeClr w14:val="tx1"/>
                  </w14:solidFill>
                </w14:textFill>
              </w:rPr>
              <w:t>7</w:t>
            </w:r>
            <w:r>
              <w:rPr>
                <w:rFonts w:ascii="Times New Roman" w:hAnsi="Times New Roman" w:eastAsia="宋体" w:cs="Times New Roman"/>
                <w:bCs/>
                <w:color w:val="000000" w:themeColor="text1"/>
                <w14:textFill>
                  <w14:solidFill>
                    <w14:schemeClr w14:val="tx1"/>
                  </w14:solidFill>
                </w14:textFill>
              </w:rPr>
              <w:t>月</w:t>
            </w:r>
            <w:r>
              <w:rPr>
                <w:rFonts w:hint="eastAsia" w:ascii="Times New Roman" w:hAnsi="Times New Roman" w:eastAsia="宋体" w:cs="Times New Roman"/>
                <w:bCs/>
                <w:color w:val="000000" w:themeColor="text1"/>
                <w14:textFill>
                  <w14:solidFill>
                    <w14:schemeClr w14:val="tx1"/>
                  </w14:solidFill>
                </w14:textFill>
              </w:rPr>
              <w:t>17</w:t>
            </w:r>
            <w:r>
              <w:rPr>
                <w:rFonts w:ascii="Times New Roman" w:hAnsi="Times New Roman" w:eastAsia="宋体" w:cs="Times New Roman"/>
                <w:bCs/>
                <w:color w:val="000000" w:themeColor="text1"/>
                <w14:textFill>
                  <w14:solidFill>
                    <w14:schemeClr w14:val="tx1"/>
                  </w14:solidFill>
                </w14:textFill>
              </w:rPr>
              <w:t>日。</w:t>
            </w:r>
          </w:p>
        </w:tc>
      </w:tr>
      <w:tr w14:paraId="2C3BD1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00" w:hRule="atLeast"/>
          <w:jc w:val="center"/>
        </w:trPr>
        <w:tc>
          <w:tcPr>
            <w:tcW w:w="497" w:type="pct"/>
            <w:vMerge w:val="continue"/>
            <w:vAlign w:val="center"/>
          </w:tcPr>
          <w:p w14:paraId="60D6067D">
            <w:pPr>
              <w:spacing w:after="0" w:line="276" w:lineRule="auto"/>
              <w:jc w:val="center"/>
              <w:rPr>
                <w:rFonts w:ascii="Times New Roman" w:hAnsi="Times New Roman" w:eastAsia="宋体" w:cs="Times New Roman"/>
                <w:b/>
                <w:color w:val="000000" w:themeColor="text1"/>
                <w14:textFill>
                  <w14:solidFill>
                    <w14:schemeClr w14:val="tx1"/>
                  </w14:solidFill>
                </w14:textFill>
              </w:rPr>
            </w:pPr>
          </w:p>
        </w:tc>
        <w:tc>
          <w:tcPr>
            <w:tcW w:w="503" w:type="pct"/>
            <w:vMerge w:val="continue"/>
            <w:vAlign w:val="center"/>
          </w:tcPr>
          <w:p w14:paraId="0DC3E605">
            <w:pPr>
              <w:spacing w:after="0" w:line="276" w:lineRule="auto"/>
              <w:jc w:val="center"/>
              <w:rPr>
                <w:rFonts w:ascii="Times New Roman" w:hAnsi="Times New Roman" w:eastAsia="宋体" w:cs="Times New Roman"/>
                <w:color w:val="000000" w:themeColor="text1"/>
                <w14:textFill>
                  <w14:solidFill>
                    <w14:schemeClr w14:val="tx1"/>
                  </w14:solidFill>
                </w14:textFill>
              </w:rPr>
            </w:pPr>
          </w:p>
        </w:tc>
        <w:tc>
          <w:tcPr>
            <w:tcW w:w="862" w:type="pct"/>
            <w:vMerge w:val="continue"/>
            <w:vAlign w:val="center"/>
          </w:tcPr>
          <w:p w14:paraId="2F5C03EA">
            <w:pPr>
              <w:spacing w:after="0" w:line="276" w:lineRule="auto"/>
              <w:jc w:val="center"/>
              <w:rPr>
                <w:rFonts w:ascii="Times New Roman" w:hAnsi="Times New Roman" w:eastAsia="宋体" w:cs="Times New Roman"/>
                <w:color w:val="000000" w:themeColor="text1"/>
                <w14:textFill>
                  <w14:solidFill>
                    <w14:schemeClr w14:val="tx1"/>
                  </w14:solidFill>
                </w14:textFill>
              </w:rPr>
            </w:pPr>
          </w:p>
        </w:tc>
        <w:tc>
          <w:tcPr>
            <w:tcW w:w="1021" w:type="pct"/>
            <w:vAlign w:val="center"/>
          </w:tcPr>
          <w:p w14:paraId="780F0763">
            <w:pPr>
              <w:spacing w:after="0" w:line="276"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NRM-P01型便携式测氡仪（NRM02A0</w:t>
            </w:r>
            <w:r>
              <w:rPr>
                <w:rFonts w:hint="eastAsia" w:ascii="Times New Roman" w:hAnsi="Times New Roman" w:eastAsia="宋体" w:cs="Times New Roman"/>
                <w:color w:val="000000" w:themeColor="text1"/>
                <w14:textFill>
                  <w14:solidFill>
                    <w14:schemeClr w14:val="tx1"/>
                  </w14:solidFill>
                </w14:textFill>
              </w:rPr>
              <w:t>29</w:t>
            </w:r>
            <w:r>
              <w:rPr>
                <w:rFonts w:ascii="Times New Roman" w:hAnsi="Times New Roman" w:eastAsia="宋体" w:cs="Times New Roman"/>
                <w:color w:val="000000" w:themeColor="text1"/>
                <w14:textFill>
                  <w14:solidFill>
                    <w14:schemeClr w14:val="tx1"/>
                  </w14:solidFill>
                </w14:textFill>
              </w:rPr>
              <w:t>）</w:t>
            </w:r>
          </w:p>
        </w:tc>
        <w:tc>
          <w:tcPr>
            <w:tcW w:w="2117" w:type="pct"/>
            <w:vAlign w:val="center"/>
          </w:tcPr>
          <w:p w14:paraId="739B69EE">
            <w:pPr>
              <w:spacing w:after="0" w:line="276" w:lineRule="auto"/>
              <w:jc w:val="center"/>
              <w:rPr>
                <w:rFonts w:ascii="Times New Roman" w:hAnsi="Times New Roman" w:eastAsia="宋体" w:cs="Times New Roman"/>
                <w:bCs/>
                <w:color w:val="000000" w:themeColor="text1"/>
                <w14:textFill>
                  <w14:solidFill>
                    <w14:schemeClr w14:val="tx1"/>
                  </w14:solidFill>
                </w14:textFill>
              </w:rPr>
            </w:pPr>
            <w:r>
              <w:rPr>
                <w:rFonts w:ascii="Times New Roman" w:hAnsi="Times New Roman" w:eastAsia="宋体" w:cs="Times New Roman"/>
                <w:bCs/>
                <w:color w:val="000000" w:themeColor="text1"/>
                <w14:textFill>
                  <w14:solidFill>
                    <w14:schemeClr w14:val="tx1"/>
                  </w14:solidFill>
                </w14:textFill>
              </w:rPr>
              <w:t>校准证书编号：DLhd202</w:t>
            </w:r>
            <w:r>
              <w:rPr>
                <w:rFonts w:hint="eastAsia" w:ascii="Times New Roman" w:hAnsi="Times New Roman" w:eastAsia="宋体" w:cs="Times New Roman"/>
                <w:bCs/>
                <w:color w:val="000000" w:themeColor="text1"/>
                <w14:textFill>
                  <w14:solidFill>
                    <w14:schemeClr w14:val="tx1"/>
                  </w14:solidFill>
                </w14:textFill>
              </w:rPr>
              <w:t>4-</w:t>
            </w:r>
            <w:r>
              <w:rPr>
                <w:rFonts w:ascii="Times New Roman" w:hAnsi="Times New Roman" w:eastAsia="宋体" w:cs="Times New Roman"/>
                <w:bCs/>
                <w:color w:val="000000" w:themeColor="text1"/>
                <w14:textFill>
                  <w14:solidFill>
                    <w14:schemeClr w14:val="tx1"/>
                  </w14:solidFill>
                </w14:textFill>
              </w:rPr>
              <w:t>0</w:t>
            </w:r>
            <w:r>
              <w:rPr>
                <w:rFonts w:hint="eastAsia" w:ascii="Times New Roman" w:hAnsi="Times New Roman" w:eastAsia="宋体" w:cs="Times New Roman"/>
                <w:bCs/>
                <w:color w:val="000000" w:themeColor="text1"/>
                <w14:textFill>
                  <w14:solidFill>
                    <w14:schemeClr w14:val="tx1"/>
                  </w14:solidFill>
                </w14:textFill>
              </w:rPr>
              <w:t>4767</w:t>
            </w:r>
            <w:r>
              <w:rPr>
                <w:rFonts w:ascii="Times New Roman" w:hAnsi="Times New Roman" w:eastAsia="宋体" w:cs="Times New Roman"/>
                <w:bCs/>
                <w:color w:val="000000" w:themeColor="text1"/>
                <w14:textFill>
                  <w14:solidFill>
                    <w14:schemeClr w14:val="tx1"/>
                  </w14:solidFill>
                </w14:textFill>
              </w:rPr>
              <w:t>（中国计量科学研究院），发布日期：202</w:t>
            </w:r>
            <w:r>
              <w:rPr>
                <w:rFonts w:hint="eastAsia" w:ascii="Times New Roman" w:hAnsi="Times New Roman" w:eastAsia="宋体" w:cs="Times New Roman"/>
                <w:bCs/>
                <w:color w:val="000000" w:themeColor="text1"/>
                <w14:textFill>
                  <w14:solidFill>
                    <w14:schemeClr w14:val="tx1"/>
                  </w14:solidFill>
                </w14:textFill>
              </w:rPr>
              <w:t>4</w:t>
            </w:r>
            <w:r>
              <w:rPr>
                <w:rFonts w:ascii="Times New Roman" w:hAnsi="Times New Roman" w:eastAsia="宋体" w:cs="Times New Roman"/>
                <w:bCs/>
                <w:color w:val="000000" w:themeColor="text1"/>
                <w14:textFill>
                  <w14:solidFill>
                    <w14:schemeClr w14:val="tx1"/>
                  </w14:solidFill>
                </w14:textFill>
              </w:rPr>
              <w:t>年</w:t>
            </w:r>
            <w:r>
              <w:rPr>
                <w:rFonts w:hint="eastAsia" w:ascii="Times New Roman" w:hAnsi="Times New Roman" w:eastAsia="宋体" w:cs="Times New Roman"/>
                <w:bCs/>
                <w:color w:val="000000" w:themeColor="text1"/>
                <w14:textFill>
                  <w14:solidFill>
                    <w14:schemeClr w14:val="tx1"/>
                  </w14:solidFill>
                </w14:textFill>
              </w:rPr>
              <w:t>7</w:t>
            </w:r>
            <w:r>
              <w:rPr>
                <w:rFonts w:ascii="Times New Roman" w:hAnsi="Times New Roman" w:eastAsia="宋体" w:cs="Times New Roman"/>
                <w:bCs/>
                <w:color w:val="000000" w:themeColor="text1"/>
                <w14:textFill>
                  <w14:solidFill>
                    <w14:schemeClr w14:val="tx1"/>
                  </w14:solidFill>
                </w14:textFill>
              </w:rPr>
              <w:t>月</w:t>
            </w:r>
            <w:r>
              <w:rPr>
                <w:rFonts w:hint="eastAsia" w:ascii="Times New Roman" w:hAnsi="Times New Roman" w:eastAsia="宋体" w:cs="Times New Roman"/>
                <w:bCs/>
                <w:color w:val="000000" w:themeColor="text1"/>
                <w14:textFill>
                  <w14:solidFill>
                    <w14:schemeClr w14:val="tx1"/>
                  </w14:solidFill>
                </w14:textFill>
              </w:rPr>
              <w:t>19</w:t>
            </w:r>
            <w:r>
              <w:rPr>
                <w:rFonts w:ascii="Times New Roman" w:hAnsi="Times New Roman" w:eastAsia="宋体" w:cs="Times New Roman"/>
                <w:bCs/>
                <w:color w:val="000000" w:themeColor="text1"/>
                <w14:textFill>
                  <w14:solidFill>
                    <w14:schemeClr w14:val="tx1"/>
                  </w14:solidFill>
                </w14:textFill>
              </w:rPr>
              <w:t>日。</w:t>
            </w:r>
          </w:p>
        </w:tc>
      </w:tr>
      <w:tr w14:paraId="57BBB5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97" w:type="pct"/>
            <w:vAlign w:val="center"/>
          </w:tcPr>
          <w:p w14:paraId="0DD3FBEC">
            <w:pPr>
              <w:spacing w:after="0" w:line="276" w:lineRule="auto"/>
              <w:jc w:val="cente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Cs/>
                <w:color w:val="000000" w:themeColor="text1"/>
                <w14:textFill>
                  <w14:solidFill>
                    <w14:schemeClr w14:val="tx1"/>
                  </w14:solidFill>
                </w14:textFill>
              </w:rPr>
              <w:t>总α、总β</w:t>
            </w:r>
          </w:p>
        </w:tc>
        <w:tc>
          <w:tcPr>
            <w:tcW w:w="503" w:type="pct"/>
            <w:vMerge w:val="restart"/>
            <w:vAlign w:val="center"/>
          </w:tcPr>
          <w:p w14:paraId="18744109">
            <w:pPr>
              <w:spacing w:after="0" w:line="276" w:lineRule="auto"/>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Cs/>
                <w:color w:val="000000" w:themeColor="text1"/>
                <w14:textFill>
                  <w14:solidFill>
                    <w14:schemeClr w14:val="tx1"/>
                  </w14:solidFill>
                </w14:textFill>
              </w:rPr>
              <w:t>气溶</w:t>
            </w:r>
            <w:r>
              <w:rPr>
                <w:rFonts w:ascii="Times New Roman" w:hAnsi="Times New Roman" w:eastAsia="宋体" w:cs="Times New Roman"/>
                <w:bCs/>
                <w:color w:val="000000" w:themeColor="text1"/>
                <w14:textFill>
                  <w14:solidFill>
                    <w14:schemeClr w14:val="tx1"/>
                  </w14:solidFill>
                </w14:textFill>
              </w:rPr>
              <w:t>胶</w:t>
            </w:r>
          </w:p>
        </w:tc>
        <w:tc>
          <w:tcPr>
            <w:tcW w:w="862" w:type="pct"/>
            <w:vAlign w:val="center"/>
          </w:tcPr>
          <w:p w14:paraId="3EEFC7DE">
            <w:pPr>
              <w:spacing w:after="0" w:line="276" w:lineRule="auto"/>
              <w:jc w:val="center"/>
              <w:rPr>
                <w:rFonts w:ascii="Times New Roman" w:hAnsi="Times New Roman" w:eastAsia="宋体" w:cs="Times New Roman"/>
                <w:bCs/>
                <w:color w:val="000000" w:themeColor="text1"/>
                <w14:textFill>
                  <w14:solidFill>
                    <w14:schemeClr w14:val="tx1"/>
                  </w14:solidFill>
                </w14:textFill>
              </w:rPr>
            </w:pPr>
            <w:r>
              <w:rPr>
                <w:rFonts w:hint="eastAsia" w:ascii="Times New Roman" w:hAnsi="Times New Roman" w:eastAsia="宋体" w:cs="Times New Roman"/>
                <w:bCs/>
                <w:color w:val="000000" w:themeColor="text1"/>
                <w14:textFill>
                  <w14:solidFill>
                    <w14:schemeClr w14:val="tx1"/>
                  </w14:solidFill>
                </w14:textFill>
              </w:rPr>
              <w:t>《</w:t>
            </w:r>
            <w:r>
              <w:rPr>
                <w:rFonts w:ascii="Times New Roman" w:hAnsi="Times New Roman" w:eastAsia="宋体" w:cs="Times New Roman"/>
                <w:bCs/>
                <w:color w:val="000000" w:themeColor="text1"/>
                <w14:textFill>
                  <w14:solidFill>
                    <w14:schemeClr w14:val="tx1"/>
                  </w14:solidFill>
                </w14:textFill>
              </w:rPr>
              <w:t>气溶胶、沉降灰总α/总β分析实施细则</w:t>
            </w:r>
            <w:r>
              <w:rPr>
                <w:rFonts w:hint="eastAsia" w:ascii="Times New Roman" w:hAnsi="Times New Roman" w:eastAsia="宋体" w:cs="Times New Roman"/>
                <w:bCs/>
                <w:color w:val="000000" w:themeColor="text1"/>
                <w14:textFill>
                  <w14:solidFill>
                    <w14:schemeClr w14:val="tx1"/>
                  </w14:solidFill>
                </w14:textFill>
              </w:rPr>
              <w:t>》（</w:t>
            </w:r>
            <w:r>
              <w:rPr>
                <w:rFonts w:ascii="Times New Roman" w:hAnsi="Times New Roman" w:eastAsia="宋体" w:cs="Times New Roman"/>
                <w:bCs/>
                <w:color w:val="000000" w:themeColor="text1"/>
                <w14:textFill>
                  <w14:solidFill>
                    <w14:schemeClr w14:val="tx1"/>
                  </w14:solidFill>
                </w14:textFill>
              </w:rPr>
              <w:t>作业指导书GXFSZ/ZY-JC-036</w:t>
            </w:r>
            <w:r>
              <w:rPr>
                <w:rFonts w:hint="eastAsia" w:ascii="Times New Roman" w:hAnsi="Times New Roman" w:eastAsia="宋体" w:cs="Times New Roman"/>
                <w:bCs/>
                <w:color w:val="000000" w:themeColor="text1"/>
                <w14:textFill>
                  <w14:solidFill>
                    <w14:schemeClr w14:val="tx1"/>
                  </w14:solidFill>
                </w14:textFill>
              </w:rPr>
              <w:t>）</w:t>
            </w:r>
            <w:r>
              <w:rPr>
                <w:rFonts w:ascii="Times New Roman" w:hAnsi="Times New Roman" w:eastAsia="宋体" w:cs="Times New Roman"/>
                <w:bCs/>
                <w:color w:val="000000" w:themeColor="text1"/>
                <w14:textFill>
                  <w14:solidFill>
                    <w14:schemeClr w14:val="tx1"/>
                  </w14:solidFill>
                </w14:textFill>
              </w:rPr>
              <w:t>（参考HJ 898-2017)</w:t>
            </w:r>
          </w:p>
        </w:tc>
        <w:tc>
          <w:tcPr>
            <w:tcW w:w="1021" w:type="pct"/>
            <w:vAlign w:val="center"/>
          </w:tcPr>
          <w:p w14:paraId="0FD36213">
            <w:pPr>
              <w:spacing w:after="0" w:line="276" w:lineRule="auto"/>
              <w:jc w:val="center"/>
              <w:rPr>
                <w:rFonts w:ascii="Times New Roman" w:hAnsi="Times New Roman" w:eastAsia="宋体" w:cs="Times New Roman"/>
                <w:bCs/>
                <w:color w:val="000000" w:themeColor="text1"/>
                <w14:textFill>
                  <w14:solidFill>
                    <w14:schemeClr w14:val="tx1"/>
                  </w14:solidFill>
                </w14:textFill>
              </w:rPr>
            </w:pPr>
            <w:r>
              <w:rPr>
                <w:rFonts w:ascii="Times New Roman" w:hAnsi="Times New Roman" w:eastAsia="宋体" w:cs="Times New Roman"/>
                <w:bCs/>
                <w:color w:val="000000" w:themeColor="text1"/>
                <w14:textFill>
                  <w14:solidFill>
                    <w14:schemeClr w14:val="tx1"/>
                  </w14:solidFill>
                </w14:textFill>
              </w:rPr>
              <w:t>LB4200型流气式</w:t>
            </w:r>
            <w:r>
              <w:rPr>
                <w:rFonts w:hint="eastAsia" w:ascii="Times New Roman" w:hAnsi="Times New Roman" w:eastAsia="宋体" w:cs="Times New Roman"/>
                <w:bCs/>
                <w:color w:val="000000" w:themeColor="text1"/>
                <w14:textFill>
                  <w14:solidFill>
                    <w14:schemeClr w14:val="tx1"/>
                  </w14:solidFill>
                </w14:textFill>
              </w:rPr>
              <w:t>低本底</w:t>
            </w:r>
            <w:r>
              <w:rPr>
                <w:rFonts w:ascii="Times New Roman" w:hAnsi="Times New Roman" w:eastAsia="宋体" w:cs="Times New Roman"/>
                <w:bCs/>
                <w:color w:val="000000" w:themeColor="text1"/>
                <w14:textFill>
                  <w14:solidFill>
                    <w14:schemeClr w14:val="tx1"/>
                  </w14:solidFill>
                </w14:textFill>
              </w:rPr>
              <w:t>总α、总β测量仪</w:t>
            </w:r>
            <w:r>
              <w:rPr>
                <w:rFonts w:hint="eastAsia" w:ascii="Times New Roman" w:hAnsi="Times New Roman" w:eastAsia="宋体" w:cs="Times New Roman"/>
                <w:bCs/>
                <w:color w:val="000000" w:themeColor="text1"/>
                <w14:textFill>
                  <w14:solidFill>
                    <w14:schemeClr w14:val="tx1"/>
                  </w14:solidFill>
                </w14:textFill>
              </w:rPr>
              <w:t>（13000103）</w:t>
            </w:r>
          </w:p>
        </w:tc>
        <w:tc>
          <w:tcPr>
            <w:tcW w:w="2117" w:type="pct"/>
            <w:vAlign w:val="center"/>
          </w:tcPr>
          <w:p w14:paraId="3B661EE3">
            <w:pPr>
              <w:spacing w:after="0" w:line="276" w:lineRule="auto"/>
              <w:jc w:val="center"/>
              <w:rPr>
                <w:rFonts w:ascii="Times New Roman" w:hAnsi="Times New Roman" w:eastAsia="宋体" w:cs="Times New Roman"/>
                <w:bCs/>
                <w:color w:val="000000" w:themeColor="text1"/>
                <w14:textFill>
                  <w14:solidFill>
                    <w14:schemeClr w14:val="tx1"/>
                  </w14:solidFill>
                </w14:textFill>
              </w:rPr>
            </w:pPr>
            <w:r>
              <w:rPr>
                <w:rFonts w:ascii="Times New Roman" w:hAnsi="Times New Roman" w:eastAsia="宋体" w:cs="Times New Roman"/>
                <w:bCs/>
                <w:color w:val="000000" w:themeColor="text1"/>
                <w14:textFill>
                  <w14:solidFill>
                    <w14:schemeClr w14:val="tx1"/>
                  </w14:solidFill>
                </w14:textFill>
              </w:rPr>
              <w:t>检定证书编号：DLhd202</w:t>
            </w:r>
            <w:r>
              <w:rPr>
                <w:rFonts w:hint="eastAsia" w:ascii="Times New Roman" w:hAnsi="Times New Roman" w:eastAsia="宋体" w:cs="Times New Roman"/>
                <w:bCs/>
                <w:color w:val="000000" w:themeColor="text1"/>
                <w14:textFill>
                  <w14:solidFill>
                    <w14:schemeClr w14:val="tx1"/>
                  </w14:solidFill>
                </w14:textFill>
              </w:rPr>
              <w:t>3-</w:t>
            </w:r>
            <w:r>
              <w:rPr>
                <w:rFonts w:ascii="Times New Roman" w:hAnsi="Times New Roman" w:eastAsia="宋体" w:cs="Times New Roman"/>
                <w:bCs/>
                <w:color w:val="000000" w:themeColor="text1"/>
                <w14:textFill>
                  <w14:solidFill>
                    <w14:schemeClr w14:val="tx1"/>
                  </w14:solidFill>
                </w14:textFill>
              </w:rPr>
              <w:t>0</w:t>
            </w:r>
            <w:r>
              <w:rPr>
                <w:rFonts w:hint="eastAsia" w:ascii="Times New Roman" w:hAnsi="Times New Roman" w:eastAsia="宋体" w:cs="Times New Roman"/>
                <w:bCs/>
                <w:color w:val="000000" w:themeColor="text1"/>
                <w14:textFill>
                  <w14:solidFill>
                    <w14:schemeClr w14:val="tx1"/>
                  </w14:solidFill>
                </w14:textFill>
              </w:rPr>
              <w:t>4260</w:t>
            </w:r>
            <w:r>
              <w:rPr>
                <w:rFonts w:ascii="Times New Roman" w:hAnsi="Times New Roman" w:eastAsia="宋体" w:cs="Times New Roman"/>
                <w:bCs/>
                <w:color w:val="000000" w:themeColor="text1"/>
                <w14:textFill>
                  <w14:solidFill>
                    <w14:schemeClr w14:val="tx1"/>
                  </w14:solidFill>
                </w14:textFill>
              </w:rPr>
              <w:t>（中国计量科学研究院），</w:t>
            </w:r>
            <w:r>
              <w:rPr>
                <w:rFonts w:hint="eastAsia" w:ascii="Times New Roman" w:hAnsi="Times New Roman" w:eastAsia="宋体" w:cs="Times New Roman"/>
                <w:bCs/>
                <w:color w:val="000000" w:themeColor="text1"/>
                <w14:textFill>
                  <w14:solidFill>
                    <w14:schemeClr w14:val="tx1"/>
                  </w14:solidFill>
                </w14:textFill>
              </w:rPr>
              <w:t>有效期</w:t>
            </w:r>
            <w:r>
              <w:rPr>
                <w:rFonts w:ascii="Times New Roman" w:hAnsi="Times New Roman" w:eastAsia="宋体" w:cs="Times New Roman"/>
                <w:bCs/>
                <w:color w:val="000000" w:themeColor="text1"/>
                <w14:textFill>
                  <w14:solidFill>
                    <w14:schemeClr w14:val="tx1"/>
                  </w14:solidFill>
                </w14:textFill>
              </w:rPr>
              <w:t>：202</w:t>
            </w:r>
            <w:r>
              <w:rPr>
                <w:rFonts w:hint="eastAsia" w:ascii="Times New Roman" w:hAnsi="Times New Roman" w:eastAsia="宋体" w:cs="Times New Roman"/>
                <w:bCs/>
                <w:color w:val="000000" w:themeColor="text1"/>
                <w14:textFill>
                  <w14:solidFill>
                    <w14:schemeClr w14:val="tx1"/>
                  </w14:solidFill>
                </w14:textFill>
              </w:rPr>
              <w:t>3</w:t>
            </w:r>
            <w:r>
              <w:rPr>
                <w:rFonts w:ascii="Times New Roman" w:hAnsi="Times New Roman" w:eastAsia="宋体" w:cs="Times New Roman"/>
                <w:bCs/>
                <w:color w:val="000000" w:themeColor="text1"/>
                <w14:textFill>
                  <w14:solidFill>
                    <w14:schemeClr w14:val="tx1"/>
                  </w14:solidFill>
                </w14:textFill>
              </w:rPr>
              <w:t>年</w:t>
            </w:r>
            <w:r>
              <w:rPr>
                <w:rFonts w:hint="eastAsia" w:ascii="Times New Roman" w:hAnsi="Times New Roman" w:eastAsia="宋体" w:cs="Times New Roman"/>
                <w:bCs/>
                <w:color w:val="000000" w:themeColor="text1"/>
                <w14:textFill>
                  <w14:solidFill>
                    <w14:schemeClr w14:val="tx1"/>
                  </w14:solidFill>
                </w14:textFill>
              </w:rPr>
              <w:t>9</w:t>
            </w:r>
            <w:r>
              <w:rPr>
                <w:rFonts w:ascii="Times New Roman" w:hAnsi="Times New Roman" w:eastAsia="宋体" w:cs="Times New Roman"/>
                <w:bCs/>
                <w:color w:val="000000" w:themeColor="text1"/>
                <w14:textFill>
                  <w14:solidFill>
                    <w14:schemeClr w14:val="tx1"/>
                  </w14:solidFill>
                </w14:textFill>
              </w:rPr>
              <w:t>月</w:t>
            </w:r>
            <w:r>
              <w:rPr>
                <w:rFonts w:hint="eastAsia" w:ascii="Times New Roman" w:hAnsi="Times New Roman" w:eastAsia="宋体" w:cs="Times New Roman"/>
                <w:bCs/>
                <w:color w:val="000000" w:themeColor="text1"/>
                <w14:textFill>
                  <w14:solidFill>
                    <w14:schemeClr w14:val="tx1"/>
                  </w14:solidFill>
                </w14:textFill>
              </w:rPr>
              <w:t>7</w:t>
            </w:r>
            <w:r>
              <w:rPr>
                <w:rFonts w:ascii="Times New Roman" w:hAnsi="Times New Roman" w:eastAsia="宋体" w:cs="Times New Roman"/>
                <w:bCs/>
                <w:color w:val="000000" w:themeColor="text1"/>
                <w14:textFill>
                  <w14:solidFill>
                    <w14:schemeClr w14:val="tx1"/>
                  </w14:solidFill>
                </w14:textFill>
              </w:rPr>
              <w:t>日～202</w:t>
            </w:r>
            <w:r>
              <w:rPr>
                <w:rFonts w:hint="eastAsia" w:ascii="Times New Roman" w:hAnsi="Times New Roman" w:eastAsia="宋体" w:cs="Times New Roman"/>
                <w:bCs/>
                <w:color w:val="000000" w:themeColor="text1"/>
                <w14:textFill>
                  <w14:solidFill>
                    <w14:schemeClr w14:val="tx1"/>
                  </w14:solidFill>
                </w14:textFill>
              </w:rPr>
              <w:t>5</w:t>
            </w:r>
            <w:r>
              <w:rPr>
                <w:rFonts w:ascii="Times New Roman" w:hAnsi="Times New Roman" w:eastAsia="宋体" w:cs="Times New Roman"/>
                <w:bCs/>
                <w:color w:val="000000" w:themeColor="text1"/>
                <w14:textFill>
                  <w14:solidFill>
                    <w14:schemeClr w14:val="tx1"/>
                  </w14:solidFill>
                </w14:textFill>
              </w:rPr>
              <w:t>年</w:t>
            </w:r>
            <w:r>
              <w:rPr>
                <w:rFonts w:hint="eastAsia" w:ascii="Times New Roman" w:hAnsi="Times New Roman" w:eastAsia="宋体" w:cs="Times New Roman"/>
                <w:bCs/>
                <w:color w:val="000000" w:themeColor="text1"/>
                <w14:textFill>
                  <w14:solidFill>
                    <w14:schemeClr w14:val="tx1"/>
                  </w14:solidFill>
                </w14:textFill>
              </w:rPr>
              <w:t>9</w:t>
            </w:r>
            <w:r>
              <w:rPr>
                <w:rFonts w:ascii="Times New Roman" w:hAnsi="Times New Roman" w:eastAsia="宋体" w:cs="Times New Roman"/>
                <w:bCs/>
                <w:color w:val="000000" w:themeColor="text1"/>
                <w14:textFill>
                  <w14:solidFill>
                    <w14:schemeClr w14:val="tx1"/>
                  </w14:solidFill>
                </w14:textFill>
              </w:rPr>
              <w:t>月</w:t>
            </w:r>
            <w:r>
              <w:rPr>
                <w:rFonts w:hint="eastAsia" w:ascii="Times New Roman" w:hAnsi="Times New Roman" w:eastAsia="宋体" w:cs="Times New Roman"/>
                <w:bCs/>
                <w:color w:val="000000" w:themeColor="text1"/>
                <w14:textFill>
                  <w14:solidFill>
                    <w14:schemeClr w14:val="tx1"/>
                  </w14:solidFill>
                </w14:textFill>
              </w:rPr>
              <w:t>6</w:t>
            </w:r>
            <w:r>
              <w:rPr>
                <w:rFonts w:ascii="Times New Roman" w:hAnsi="Times New Roman" w:eastAsia="宋体" w:cs="Times New Roman"/>
                <w:bCs/>
                <w:color w:val="000000" w:themeColor="text1"/>
                <w14:textFill>
                  <w14:solidFill>
                    <w14:schemeClr w14:val="tx1"/>
                  </w14:solidFill>
                </w14:textFill>
              </w:rPr>
              <w:t>日。</w:t>
            </w:r>
          </w:p>
        </w:tc>
      </w:tr>
      <w:tr w14:paraId="2689B6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97" w:type="pct"/>
            <w:vAlign w:val="center"/>
          </w:tcPr>
          <w:p w14:paraId="573BEEF7">
            <w:pPr>
              <w:spacing w:after="0" w:line="276" w:lineRule="auto"/>
              <w:jc w:val="center"/>
              <w:rPr>
                <w:rFonts w:ascii="Times New Roman" w:hAnsi="Times New Roman" w:eastAsia="宋体" w:cs="Times New Roman"/>
                <w:bCs/>
                <w:color w:val="000000" w:themeColor="text1"/>
                <w14:textFill>
                  <w14:solidFill>
                    <w14:schemeClr w14:val="tx1"/>
                  </w14:solidFill>
                </w14:textFill>
              </w:rPr>
            </w:pPr>
            <w:r>
              <w:rPr>
                <w:rFonts w:ascii="Times New Roman" w:hAnsi="Times New Roman" w:eastAsia="宋体" w:cs="Times New Roman"/>
                <w:bCs/>
                <w:color w:val="000000" w:themeColor="text1"/>
                <w:vertAlign w:val="superscript"/>
                <w14:textFill>
                  <w14:solidFill>
                    <w14:schemeClr w14:val="tx1"/>
                  </w14:solidFill>
                </w14:textFill>
              </w:rPr>
              <w:t>210</w:t>
            </w:r>
            <w:r>
              <w:rPr>
                <w:rFonts w:hint="eastAsia" w:ascii="Times New Roman" w:hAnsi="Times New Roman" w:eastAsia="宋体" w:cs="Times New Roman"/>
                <w:bCs/>
                <w:color w:val="000000" w:themeColor="text1"/>
                <w14:textFill>
                  <w14:solidFill>
                    <w14:schemeClr w14:val="tx1"/>
                  </w14:solidFill>
                </w14:textFill>
              </w:rPr>
              <w:t>Pb</w:t>
            </w:r>
          </w:p>
        </w:tc>
        <w:tc>
          <w:tcPr>
            <w:tcW w:w="503" w:type="pct"/>
            <w:vMerge w:val="continue"/>
            <w:vAlign w:val="center"/>
          </w:tcPr>
          <w:p w14:paraId="314B6F38">
            <w:pPr>
              <w:spacing w:after="0" w:line="276" w:lineRule="auto"/>
              <w:jc w:val="center"/>
              <w:rPr>
                <w:rFonts w:ascii="Times New Roman" w:hAnsi="Times New Roman" w:eastAsia="宋体" w:cs="Times New Roman"/>
                <w:color w:val="000000" w:themeColor="text1"/>
                <w14:textFill>
                  <w14:solidFill>
                    <w14:schemeClr w14:val="tx1"/>
                  </w14:solidFill>
                </w14:textFill>
              </w:rPr>
            </w:pPr>
          </w:p>
        </w:tc>
        <w:tc>
          <w:tcPr>
            <w:tcW w:w="862" w:type="pct"/>
            <w:vAlign w:val="center"/>
          </w:tcPr>
          <w:p w14:paraId="35F689FE">
            <w:pPr>
              <w:spacing w:after="0" w:line="276" w:lineRule="auto"/>
              <w:jc w:val="center"/>
              <w:rPr>
                <w:rFonts w:ascii="Times New Roman" w:hAnsi="Times New Roman" w:eastAsia="宋体" w:cs="Times New Roman"/>
                <w:bCs/>
                <w:color w:val="000000" w:themeColor="text1"/>
                <w14:textFill>
                  <w14:solidFill>
                    <w14:schemeClr w14:val="tx1"/>
                  </w14:solidFill>
                </w14:textFill>
              </w:rPr>
            </w:pPr>
            <w:r>
              <w:rPr>
                <w:rFonts w:hint="eastAsia" w:ascii="Times New Roman" w:hAnsi="Times New Roman" w:eastAsia="宋体" w:cs="Times New Roman"/>
                <w:bCs/>
                <w:color w:val="000000" w:themeColor="text1"/>
                <w14:textFill>
                  <w14:solidFill>
                    <w14:schemeClr w14:val="tx1"/>
                  </w14:solidFill>
                </w14:textFill>
              </w:rPr>
              <w:t>《</w:t>
            </w:r>
            <w:r>
              <w:rPr>
                <w:rFonts w:ascii="Times New Roman" w:hAnsi="Times New Roman" w:eastAsia="宋体" w:cs="Times New Roman"/>
                <w:bCs/>
                <w:color w:val="000000" w:themeColor="text1"/>
                <w14:textFill>
                  <w14:solidFill>
                    <w14:schemeClr w14:val="tx1"/>
                  </w14:solidFill>
                </w14:textFill>
              </w:rPr>
              <w:t>土壤、生物样、气溶胶中Pb-210监测实施细则</w:t>
            </w:r>
            <w:r>
              <w:rPr>
                <w:rFonts w:hint="eastAsia" w:ascii="Times New Roman" w:hAnsi="Times New Roman" w:eastAsia="宋体" w:cs="Times New Roman"/>
                <w:bCs/>
                <w:color w:val="000000" w:themeColor="text1"/>
                <w14:textFill>
                  <w14:solidFill>
                    <w14:schemeClr w14:val="tx1"/>
                  </w14:solidFill>
                </w14:textFill>
              </w:rPr>
              <w:t>》（</w:t>
            </w:r>
            <w:r>
              <w:rPr>
                <w:rFonts w:ascii="Times New Roman" w:hAnsi="Times New Roman" w:eastAsia="宋体" w:cs="Times New Roman"/>
                <w:bCs/>
                <w:color w:val="000000" w:themeColor="text1"/>
                <w14:textFill>
                  <w14:solidFill>
                    <w14:schemeClr w14:val="tx1"/>
                  </w14:solidFill>
                </w14:textFill>
              </w:rPr>
              <w:t>作业指导书GXFSZ/ZY</w:t>
            </w:r>
            <w:r>
              <w:rPr>
                <w:rFonts w:hint="eastAsia" w:ascii="Times New Roman" w:hAnsi="Times New Roman" w:eastAsia="宋体" w:cs="Times New Roman"/>
                <w:bCs/>
                <w:color w:val="000000" w:themeColor="text1"/>
                <w14:textFill>
                  <w14:solidFill>
                    <w14:schemeClr w14:val="tx1"/>
                  </w14:solidFill>
                </w14:textFill>
              </w:rPr>
              <w:t>-</w:t>
            </w:r>
            <w:r>
              <w:rPr>
                <w:rFonts w:ascii="Times New Roman" w:hAnsi="Times New Roman" w:eastAsia="宋体" w:cs="Times New Roman"/>
                <w:bCs/>
                <w:color w:val="000000" w:themeColor="text1"/>
                <w14:textFill>
                  <w14:solidFill>
                    <w14:schemeClr w14:val="tx1"/>
                  </w14:solidFill>
                </w14:textFill>
              </w:rPr>
              <w:t>JC-05</w:t>
            </w:r>
            <w:r>
              <w:rPr>
                <w:rFonts w:hint="eastAsia" w:ascii="Times New Roman" w:hAnsi="Times New Roman" w:eastAsia="宋体" w:cs="Times New Roman"/>
                <w:bCs/>
                <w:color w:val="000000" w:themeColor="text1"/>
                <w14:textFill>
                  <w14:solidFill>
                    <w14:schemeClr w14:val="tx1"/>
                  </w14:solidFill>
                </w14:textFill>
              </w:rPr>
              <w:t>4）</w:t>
            </w:r>
            <w:r>
              <w:rPr>
                <w:rFonts w:ascii="Times New Roman" w:hAnsi="Times New Roman" w:eastAsia="宋体" w:cs="Times New Roman"/>
                <w:bCs/>
                <w:color w:val="000000" w:themeColor="text1"/>
                <w14:textFill>
                  <w14:solidFill>
                    <w14:schemeClr w14:val="tx1"/>
                  </w14:solidFill>
                </w14:textFill>
              </w:rPr>
              <w:t>（参考EJ/T859-94</w:t>
            </w:r>
            <w:r>
              <w:rPr>
                <w:rFonts w:hint="eastAsia" w:ascii="Times New Roman" w:hAnsi="Times New Roman" w:eastAsia="宋体" w:cs="Times New Roman"/>
                <w:bCs/>
                <w:color w:val="000000" w:themeColor="text1"/>
                <w14:textFill>
                  <w14:solidFill>
                    <w14:schemeClr w14:val="tx1"/>
                  </w14:solidFill>
                </w14:textFill>
              </w:rPr>
              <w:t>）</w:t>
            </w:r>
          </w:p>
        </w:tc>
        <w:tc>
          <w:tcPr>
            <w:tcW w:w="1021" w:type="pct"/>
            <w:vAlign w:val="center"/>
          </w:tcPr>
          <w:p w14:paraId="4E189629">
            <w:pPr>
              <w:spacing w:after="0" w:line="276" w:lineRule="auto"/>
              <w:jc w:val="center"/>
              <w:rPr>
                <w:rFonts w:ascii="Times New Roman" w:hAnsi="Times New Roman" w:eastAsia="宋体" w:cs="Times New Roman"/>
                <w:bCs/>
                <w:color w:val="000000" w:themeColor="text1"/>
                <w14:textFill>
                  <w14:solidFill>
                    <w14:schemeClr w14:val="tx1"/>
                  </w14:solidFill>
                </w14:textFill>
              </w:rPr>
            </w:pPr>
            <w:r>
              <w:rPr>
                <w:rFonts w:ascii="Times New Roman" w:hAnsi="Times New Roman" w:eastAsia="宋体" w:cs="Times New Roman"/>
                <w:bCs/>
                <w:color w:val="000000" w:themeColor="text1"/>
                <w14:textFill>
                  <w14:solidFill>
                    <w14:schemeClr w14:val="tx1"/>
                  </w14:solidFill>
                </w14:textFill>
              </w:rPr>
              <w:t>LB4200型流气式</w:t>
            </w:r>
            <w:r>
              <w:rPr>
                <w:rFonts w:hint="eastAsia" w:ascii="Times New Roman" w:hAnsi="Times New Roman" w:eastAsia="宋体" w:cs="Times New Roman"/>
                <w:bCs/>
                <w:color w:val="000000" w:themeColor="text1"/>
                <w14:textFill>
                  <w14:solidFill>
                    <w14:schemeClr w14:val="tx1"/>
                  </w14:solidFill>
                </w14:textFill>
              </w:rPr>
              <w:t>低本底</w:t>
            </w:r>
            <w:r>
              <w:rPr>
                <w:rFonts w:ascii="Times New Roman" w:hAnsi="Times New Roman" w:eastAsia="宋体" w:cs="Times New Roman"/>
                <w:bCs/>
                <w:color w:val="000000" w:themeColor="text1"/>
                <w14:textFill>
                  <w14:solidFill>
                    <w14:schemeClr w14:val="tx1"/>
                  </w14:solidFill>
                </w14:textFill>
              </w:rPr>
              <w:t>总α、总β测量仪</w:t>
            </w:r>
            <w:r>
              <w:rPr>
                <w:rFonts w:hint="eastAsia" w:ascii="Times New Roman" w:hAnsi="Times New Roman" w:eastAsia="宋体" w:cs="Times New Roman"/>
                <w:bCs/>
                <w:color w:val="000000" w:themeColor="text1"/>
                <w14:textFill>
                  <w14:solidFill>
                    <w14:schemeClr w14:val="tx1"/>
                  </w14:solidFill>
                </w14:textFill>
              </w:rPr>
              <w:t>（13000102）</w:t>
            </w:r>
          </w:p>
        </w:tc>
        <w:tc>
          <w:tcPr>
            <w:tcW w:w="2117" w:type="pct"/>
            <w:vAlign w:val="center"/>
          </w:tcPr>
          <w:p w14:paraId="20458846">
            <w:pPr>
              <w:spacing w:after="0" w:line="276" w:lineRule="auto"/>
              <w:jc w:val="center"/>
              <w:rPr>
                <w:rFonts w:ascii="Times New Roman" w:hAnsi="Times New Roman" w:eastAsia="宋体" w:cs="Times New Roman"/>
                <w:bCs/>
                <w:color w:val="000000" w:themeColor="text1"/>
                <w14:textFill>
                  <w14:solidFill>
                    <w14:schemeClr w14:val="tx1"/>
                  </w14:solidFill>
                </w14:textFill>
              </w:rPr>
            </w:pPr>
            <w:bookmarkStart w:id="85" w:name="OLE_LINK3"/>
            <w:r>
              <w:rPr>
                <w:rFonts w:hint="eastAsia" w:ascii="Times New Roman" w:hAnsi="Times New Roman" w:eastAsia="宋体" w:cs="Times New Roman"/>
                <w:bCs/>
                <w:color w:val="000000" w:themeColor="text1"/>
                <w14:textFill>
                  <w14:solidFill>
                    <w14:schemeClr w14:val="tx1"/>
                  </w14:solidFill>
                </w14:textFill>
              </w:rPr>
              <w:t>检定证书编号：DLhd2023-04259（中国计量科学研究院），有效期：2023年9月7日～2025年9月6日</w:t>
            </w:r>
            <w:r>
              <w:rPr>
                <w:rFonts w:ascii="Times New Roman" w:hAnsi="Times New Roman" w:eastAsia="宋体" w:cs="Times New Roman"/>
                <w:bCs/>
                <w:color w:val="000000" w:themeColor="text1"/>
                <w14:textFill>
                  <w14:solidFill>
                    <w14:schemeClr w14:val="tx1"/>
                  </w14:solidFill>
                </w14:textFill>
              </w:rPr>
              <w:t>。</w:t>
            </w:r>
            <w:bookmarkEnd w:id="85"/>
          </w:p>
        </w:tc>
      </w:tr>
      <w:tr w14:paraId="128F7E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97" w:type="pct"/>
            <w:vAlign w:val="center"/>
          </w:tcPr>
          <w:p w14:paraId="0C19FBA6">
            <w:pPr>
              <w:spacing w:after="0" w:line="276" w:lineRule="auto"/>
              <w:jc w:val="center"/>
              <w:rPr>
                <w:rFonts w:ascii="Times New Roman" w:hAnsi="Times New Roman" w:eastAsia="宋体" w:cs="Times New Roman"/>
                <w:bCs/>
                <w:color w:val="000000" w:themeColor="text1"/>
                <w14:textFill>
                  <w14:solidFill>
                    <w14:schemeClr w14:val="tx1"/>
                  </w14:solidFill>
                </w14:textFill>
              </w:rPr>
            </w:pPr>
            <w:r>
              <w:rPr>
                <w:rFonts w:ascii="Times New Roman" w:hAnsi="Times New Roman" w:eastAsia="宋体" w:cs="Times New Roman"/>
                <w:bCs/>
                <w:color w:val="000000" w:themeColor="text1"/>
                <w:vertAlign w:val="superscript"/>
                <w14:textFill>
                  <w14:solidFill>
                    <w14:schemeClr w14:val="tx1"/>
                  </w14:solidFill>
                </w14:textFill>
              </w:rPr>
              <w:t>210</w:t>
            </w:r>
            <w:r>
              <w:rPr>
                <w:rFonts w:hint="eastAsia" w:ascii="Times New Roman" w:hAnsi="Times New Roman" w:eastAsia="宋体" w:cs="Times New Roman"/>
                <w:bCs/>
                <w:color w:val="000000" w:themeColor="text1"/>
                <w14:textFill>
                  <w14:solidFill>
                    <w14:schemeClr w14:val="tx1"/>
                  </w14:solidFill>
                </w14:textFill>
              </w:rPr>
              <w:t>Po</w:t>
            </w:r>
          </w:p>
        </w:tc>
        <w:tc>
          <w:tcPr>
            <w:tcW w:w="503" w:type="pct"/>
            <w:vMerge w:val="continue"/>
            <w:vAlign w:val="center"/>
          </w:tcPr>
          <w:p w14:paraId="5BD7CA7F">
            <w:pPr>
              <w:spacing w:after="0" w:line="276" w:lineRule="auto"/>
              <w:jc w:val="center"/>
              <w:rPr>
                <w:rFonts w:ascii="Times New Roman" w:hAnsi="Times New Roman" w:eastAsia="宋体" w:cs="Times New Roman"/>
                <w:color w:val="000000" w:themeColor="text1"/>
                <w14:textFill>
                  <w14:solidFill>
                    <w14:schemeClr w14:val="tx1"/>
                  </w14:solidFill>
                </w14:textFill>
              </w:rPr>
            </w:pPr>
          </w:p>
        </w:tc>
        <w:tc>
          <w:tcPr>
            <w:tcW w:w="862" w:type="pct"/>
            <w:vAlign w:val="center"/>
          </w:tcPr>
          <w:p w14:paraId="00805703">
            <w:pPr>
              <w:spacing w:after="0" w:line="276" w:lineRule="auto"/>
              <w:jc w:val="center"/>
              <w:rPr>
                <w:rFonts w:ascii="Times New Roman" w:hAnsi="Times New Roman" w:eastAsia="宋体" w:cs="Times New Roman"/>
                <w:bCs/>
                <w:color w:val="000000" w:themeColor="text1"/>
                <w14:textFill>
                  <w14:solidFill>
                    <w14:schemeClr w14:val="tx1"/>
                  </w14:solidFill>
                </w14:textFill>
              </w:rPr>
            </w:pPr>
            <w:r>
              <w:rPr>
                <w:rFonts w:hint="eastAsia" w:ascii="Times New Roman" w:hAnsi="Times New Roman" w:eastAsia="宋体" w:cs="Times New Roman"/>
                <w:bCs/>
                <w:color w:val="000000" w:themeColor="text1"/>
                <w14:textFill>
                  <w14:solidFill>
                    <w14:schemeClr w14:val="tx1"/>
                  </w14:solidFill>
                </w14:textFill>
              </w:rPr>
              <w:t>《</w:t>
            </w:r>
            <w:r>
              <w:rPr>
                <w:rFonts w:ascii="Times New Roman" w:hAnsi="Times New Roman" w:eastAsia="宋体" w:cs="Times New Roman"/>
                <w:bCs/>
                <w:color w:val="000000" w:themeColor="text1"/>
                <w14:textFill>
                  <w14:solidFill>
                    <w14:schemeClr w14:val="tx1"/>
                  </w14:solidFill>
                </w14:textFill>
              </w:rPr>
              <w:t>气溶胶中Po-210监测实施细则</w:t>
            </w:r>
            <w:r>
              <w:rPr>
                <w:rFonts w:hint="eastAsia" w:ascii="Times New Roman" w:hAnsi="Times New Roman" w:eastAsia="宋体" w:cs="Times New Roman"/>
                <w:bCs/>
                <w:color w:val="000000" w:themeColor="text1"/>
                <w14:textFill>
                  <w14:solidFill>
                    <w14:schemeClr w14:val="tx1"/>
                  </w14:solidFill>
                </w14:textFill>
              </w:rPr>
              <w:t>》（</w:t>
            </w:r>
            <w:r>
              <w:rPr>
                <w:rFonts w:ascii="Times New Roman" w:hAnsi="Times New Roman" w:eastAsia="宋体" w:cs="Times New Roman"/>
                <w:bCs/>
                <w:color w:val="000000" w:themeColor="text1"/>
                <w14:textFill>
                  <w14:solidFill>
                    <w14:schemeClr w14:val="tx1"/>
                  </w14:solidFill>
                </w14:textFill>
              </w:rPr>
              <w:t>作业指导书GXFSZ/ZY</w:t>
            </w:r>
            <w:r>
              <w:rPr>
                <w:rFonts w:hint="eastAsia" w:ascii="Times New Roman" w:hAnsi="Times New Roman" w:eastAsia="宋体" w:cs="Times New Roman"/>
                <w:bCs/>
                <w:color w:val="000000" w:themeColor="text1"/>
                <w14:textFill>
                  <w14:solidFill>
                    <w14:schemeClr w14:val="tx1"/>
                  </w14:solidFill>
                </w14:textFill>
              </w:rPr>
              <w:t>-</w:t>
            </w:r>
            <w:r>
              <w:rPr>
                <w:rFonts w:ascii="Times New Roman" w:hAnsi="Times New Roman" w:eastAsia="宋体" w:cs="Times New Roman"/>
                <w:bCs/>
                <w:color w:val="000000" w:themeColor="text1"/>
                <w14:textFill>
                  <w14:solidFill>
                    <w14:schemeClr w14:val="tx1"/>
                  </w14:solidFill>
                </w14:textFill>
              </w:rPr>
              <w:t>JC-053</w:t>
            </w:r>
            <w:r>
              <w:rPr>
                <w:rFonts w:hint="eastAsia" w:ascii="Times New Roman" w:hAnsi="Times New Roman" w:eastAsia="宋体" w:cs="Times New Roman"/>
                <w:bCs/>
                <w:color w:val="000000" w:themeColor="text1"/>
                <w14:textFill>
                  <w14:solidFill>
                    <w14:schemeClr w14:val="tx1"/>
                  </w14:solidFill>
                </w14:textFill>
              </w:rPr>
              <w:t>）</w:t>
            </w:r>
            <w:r>
              <w:rPr>
                <w:rFonts w:ascii="Times New Roman" w:hAnsi="Times New Roman" w:eastAsia="宋体" w:cs="Times New Roman"/>
                <w:bCs/>
                <w:color w:val="000000" w:themeColor="text1"/>
                <w14:textFill>
                  <w14:solidFill>
                    <w14:schemeClr w14:val="tx1"/>
                  </w14:solidFill>
                </w14:textFill>
              </w:rPr>
              <w:t>（参考HJ</w:t>
            </w:r>
            <w:r>
              <w:rPr>
                <w:rFonts w:hint="eastAsia" w:ascii="Times New Roman" w:hAnsi="Times New Roman" w:eastAsia="宋体" w:cs="Times New Roman"/>
                <w:bCs/>
                <w:color w:val="000000" w:themeColor="text1"/>
                <w14:textFill>
                  <w14:solidFill>
                    <w14:schemeClr w14:val="tx1"/>
                  </w14:solidFill>
                </w14:textFill>
              </w:rPr>
              <w:t xml:space="preserve"> </w:t>
            </w:r>
            <w:r>
              <w:rPr>
                <w:rFonts w:ascii="Times New Roman" w:hAnsi="Times New Roman" w:eastAsia="宋体" w:cs="Times New Roman"/>
                <w:bCs/>
                <w:color w:val="000000" w:themeColor="text1"/>
                <w14:textFill>
                  <w14:solidFill>
                    <w14:schemeClr w14:val="tx1"/>
                  </w14:solidFill>
                </w14:textFill>
              </w:rPr>
              <w:t>813-2016)</w:t>
            </w:r>
          </w:p>
        </w:tc>
        <w:tc>
          <w:tcPr>
            <w:tcW w:w="1021" w:type="pct"/>
            <w:vAlign w:val="center"/>
          </w:tcPr>
          <w:p w14:paraId="5696BEA4">
            <w:pPr>
              <w:spacing w:after="0" w:line="276" w:lineRule="auto"/>
              <w:jc w:val="center"/>
              <w:rPr>
                <w:rFonts w:ascii="Times New Roman" w:hAnsi="Times New Roman" w:eastAsia="宋体" w:cs="Times New Roman"/>
                <w:bCs/>
                <w:color w:val="000000" w:themeColor="text1"/>
                <w14:textFill>
                  <w14:solidFill>
                    <w14:schemeClr w14:val="tx1"/>
                  </w14:solidFill>
                </w14:textFill>
              </w:rPr>
            </w:pPr>
            <w:r>
              <w:rPr>
                <w:rFonts w:hint="eastAsia" w:ascii="Times New Roman" w:hAnsi="Times New Roman" w:eastAsia="宋体" w:cs="Times New Roman"/>
                <w:bCs/>
                <w:color w:val="000000" w:themeColor="text1"/>
                <w14:textFill>
                  <w14:solidFill>
                    <w14:schemeClr w14:val="tx1"/>
                  </w14:solidFill>
                </w14:textFill>
              </w:rPr>
              <w:t>Alpha-Ensemble-4型</w:t>
            </w:r>
            <w:r>
              <w:rPr>
                <w:rFonts w:ascii="Times New Roman" w:hAnsi="Times New Roman" w:eastAsia="宋体" w:cs="Times New Roman"/>
                <w:bCs/>
                <w:color w:val="000000" w:themeColor="text1"/>
                <w14:textFill>
                  <w14:solidFill>
                    <w14:schemeClr w14:val="tx1"/>
                  </w14:solidFill>
                </w14:textFill>
              </w:rPr>
              <w:t>α谱仪</w:t>
            </w:r>
            <w:r>
              <w:rPr>
                <w:rFonts w:hint="eastAsia" w:ascii="Times New Roman" w:hAnsi="Times New Roman" w:eastAsia="宋体" w:cs="Times New Roman"/>
                <w:bCs/>
                <w:color w:val="000000" w:themeColor="text1"/>
                <w14:textFill>
                  <w14:solidFill>
                    <w14:schemeClr w14:val="tx1"/>
                  </w14:solidFill>
                </w14:textFill>
              </w:rPr>
              <w:t>（14128265）</w:t>
            </w:r>
          </w:p>
        </w:tc>
        <w:tc>
          <w:tcPr>
            <w:tcW w:w="2117" w:type="pct"/>
            <w:vAlign w:val="center"/>
          </w:tcPr>
          <w:p w14:paraId="701C8E64">
            <w:pPr>
              <w:spacing w:after="0" w:line="276" w:lineRule="auto"/>
              <w:jc w:val="center"/>
              <w:rPr>
                <w:rFonts w:ascii="Times New Roman" w:hAnsi="Times New Roman" w:eastAsia="宋体" w:cs="Times New Roman"/>
                <w:bCs/>
                <w:color w:val="000000" w:themeColor="text1"/>
                <w14:textFill>
                  <w14:solidFill>
                    <w14:schemeClr w14:val="tx1"/>
                  </w14:solidFill>
                </w14:textFill>
              </w:rPr>
            </w:pPr>
            <w:r>
              <w:rPr>
                <w:rFonts w:hint="eastAsia" w:ascii="Times New Roman" w:hAnsi="Times New Roman" w:eastAsia="宋体" w:cs="Times New Roman"/>
                <w:bCs/>
                <w:color w:val="000000" w:themeColor="text1"/>
                <w14:textFill>
                  <w14:solidFill>
                    <w14:schemeClr w14:val="tx1"/>
                  </w14:solidFill>
                </w14:textFill>
              </w:rPr>
              <w:t>检定证书编号：DLhd2023-04262（中国计量科学研究院），发布日期：2023年9月15日</w:t>
            </w:r>
            <w:r>
              <w:rPr>
                <w:rFonts w:ascii="Times New Roman" w:hAnsi="Times New Roman" w:eastAsia="宋体" w:cs="Times New Roman"/>
                <w:bCs/>
                <w:color w:val="000000" w:themeColor="text1"/>
                <w14:textFill>
                  <w14:solidFill>
                    <w14:schemeClr w14:val="tx1"/>
                  </w14:solidFill>
                </w14:textFill>
              </w:rPr>
              <w:t>。</w:t>
            </w:r>
          </w:p>
        </w:tc>
      </w:tr>
      <w:bookmarkEnd w:id="83"/>
    </w:tbl>
    <w:p w14:paraId="25F2DFD0">
      <w:pPr>
        <w:widowControl w:val="0"/>
        <w:spacing w:after="0" w:line="360" w:lineRule="auto"/>
        <w:ind w:firstLine="482" w:firstLineChars="200"/>
        <w:jc w:val="both"/>
        <w:rPr>
          <w:rFonts w:ascii="Times New Roman" w:hAnsi="Times New Roman" w:cs="Times New Roman"/>
          <w:b/>
          <w:bCs/>
          <w:color w:val="000000" w:themeColor="text1"/>
          <w:sz w:val="24"/>
          <w:szCs w:val="24"/>
          <w14:textFill>
            <w14:solidFill>
              <w14:schemeClr w14:val="tx1"/>
            </w14:solidFill>
          </w14:textFill>
        </w:rPr>
      </w:pPr>
      <w:bookmarkStart w:id="86" w:name="_Toc78822660"/>
      <w:bookmarkStart w:id="87" w:name="_Toc214525291"/>
      <w:bookmarkStart w:id="88" w:name="_Toc162360790"/>
      <w:bookmarkStart w:id="89" w:name="_Toc230317813"/>
    </w:p>
    <w:p w14:paraId="718106D3">
      <w:pPr>
        <w:pStyle w:val="5"/>
        <w:widowControl w:val="0"/>
        <w:numPr>
          <w:ilvl w:val="2"/>
          <w:numId w:val="1"/>
        </w:numPr>
        <w:spacing w:before="0" w:line="360" w:lineRule="auto"/>
        <w:jc w:val="both"/>
        <w:rPr>
          <w:rFonts w:ascii="Times New Roman" w:hAnsi="Times New Roman" w:eastAsia="黑体" w:cs="Times New Roman"/>
          <w:b/>
          <w:bCs/>
          <w:caps w:val="0"/>
          <w:color w:val="000000" w:themeColor="text1"/>
          <w:kern w:val="2"/>
          <w:sz w:val="24"/>
          <w:szCs w:val="32"/>
          <w14:textFill>
            <w14:solidFill>
              <w14:schemeClr w14:val="tx1"/>
            </w14:solidFill>
          </w14:textFill>
        </w:rPr>
      </w:pPr>
      <w:r>
        <w:rPr>
          <w:rFonts w:ascii="Times New Roman" w:hAnsi="Times New Roman" w:eastAsia="黑体" w:cs="Times New Roman"/>
          <w:b/>
          <w:bCs/>
          <w:caps w:val="0"/>
          <w:color w:val="000000" w:themeColor="text1"/>
          <w:kern w:val="2"/>
          <w:sz w:val="24"/>
          <w:szCs w:val="32"/>
          <w14:textFill>
            <w14:solidFill>
              <w14:schemeClr w14:val="tx1"/>
            </w14:solidFill>
          </w14:textFill>
        </w:rPr>
        <w:t>监测结果</w:t>
      </w:r>
      <w:bookmarkEnd w:id="86"/>
    </w:p>
    <w:p w14:paraId="7DEFCBCD">
      <w:pPr>
        <w:pStyle w:val="6"/>
        <w:widowControl w:val="0"/>
        <w:numPr>
          <w:ilvl w:val="3"/>
          <w:numId w:val="1"/>
        </w:numPr>
        <w:spacing w:before="0" w:line="360" w:lineRule="auto"/>
        <w:ind w:left="0" w:firstLine="0"/>
        <w:jc w:val="both"/>
        <w:rPr>
          <w:rFonts w:ascii="Times New Roman" w:hAnsi="Times New Roman" w:eastAsia="黑体" w:cs="Times New Roman"/>
          <w:bCs/>
          <w:i w:val="0"/>
          <w:iCs w:val="0"/>
          <w:color w:val="000000" w:themeColor="text1"/>
          <w:kern w:val="2"/>
          <w:sz w:val="24"/>
          <w14:textFill>
            <w14:solidFill>
              <w14:schemeClr w14:val="tx1"/>
            </w14:solidFill>
          </w14:textFill>
        </w:rPr>
      </w:pPr>
      <w:bookmarkStart w:id="90" w:name="_Hlk64899217"/>
      <w:r>
        <w:rPr>
          <w:rFonts w:ascii="Times New Roman" w:hAnsi="Times New Roman" w:eastAsia="黑体" w:cs="Times New Roman"/>
          <w:bCs/>
          <w:i w:val="0"/>
          <w:iCs w:val="0"/>
          <w:color w:val="000000" w:themeColor="text1"/>
          <w:kern w:val="2"/>
          <w:sz w:val="24"/>
          <w14:textFill>
            <w14:solidFill>
              <w14:schemeClr w14:val="tx1"/>
            </w14:solidFill>
          </w14:textFill>
        </w:rPr>
        <w:t>辐射空气吸收剂量率</w:t>
      </w:r>
      <w:bookmarkEnd w:id="90"/>
      <w:r>
        <w:rPr>
          <w:rFonts w:hint="eastAsia" w:ascii="Times New Roman" w:hAnsi="Times New Roman" w:eastAsia="黑体" w:cs="Times New Roman"/>
          <w:bCs/>
          <w:i w:val="0"/>
          <w:iCs w:val="0"/>
          <w:color w:val="000000" w:themeColor="text1"/>
          <w:kern w:val="2"/>
          <w:sz w:val="24"/>
          <w14:textFill>
            <w14:solidFill>
              <w14:schemeClr w14:val="tx1"/>
            </w14:solidFill>
          </w14:textFill>
        </w:rPr>
        <w:t>监测结果</w:t>
      </w:r>
    </w:p>
    <w:p w14:paraId="736A811D">
      <w:pPr>
        <w:autoSpaceDE w:val="0"/>
        <w:autoSpaceDN w:val="0"/>
        <w:adjustRightInd w:val="0"/>
        <w:spacing w:after="0" w:line="360" w:lineRule="auto"/>
        <w:ind w:firstLine="48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项目场址</w:t>
      </w:r>
      <w:r>
        <w:rPr>
          <w:rFonts w:hint="eastAsia" w:ascii="Times New Roman" w:hAnsi="Times New Roman" w:cs="Times New Roman"/>
          <w:color w:val="000000" w:themeColor="text1"/>
          <w:sz w:val="24"/>
          <w:szCs w:val="24"/>
          <w14:textFill>
            <w14:solidFill>
              <w14:schemeClr w14:val="tx1"/>
            </w14:solidFill>
          </w14:textFill>
        </w:rPr>
        <w:t>及</w:t>
      </w:r>
      <w:r>
        <w:rPr>
          <w:rFonts w:ascii="Times New Roman" w:hAnsi="Times New Roman" w:cs="Times New Roman"/>
          <w:color w:val="000000" w:themeColor="text1"/>
          <w:sz w:val="24"/>
          <w:szCs w:val="24"/>
          <w14:textFill>
            <w14:solidFill>
              <w14:schemeClr w14:val="tx1"/>
            </w14:solidFill>
          </w14:textFill>
        </w:rPr>
        <w:t>周围环境现状γ辐射空气吸收剂量率监测结果见表3.1-</w:t>
      </w:r>
      <w:r>
        <w:rPr>
          <w:rFonts w:hint="eastAsia" w:ascii="Times New Roman" w:hAnsi="Times New Roman" w:cs="Times New Roman"/>
          <w:color w:val="000000" w:themeColor="text1"/>
          <w:sz w:val="24"/>
          <w:szCs w:val="24"/>
          <w14:textFill>
            <w14:solidFill>
              <w14:schemeClr w14:val="tx1"/>
            </w14:solidFill>
          </w14:textFill>
        </w:rPr>
        <w:t>3</w:t>
      </w:r>
      <w:r>
        <w:rPr>
          <w:rFonts w:ascii="Times New Roman" w:hAnsi="Times New Roman" w:cs="Times New Roman"/>
          <w:color w:val="000000" w:themeColor="text1"/>
          <w:sz w:val="24"/>
          <w:szCs w:val="24"/>
          <w14:textFill>
            <w14:solidFill>
              <w14:schemeClr w14:val="tx1"/>
            </w14:solidFill>
          </w14:textFill>
        </w:rPr>
        <w:t>。</w:t>
      </w:r>
    </w:p>
    <w:p w14:paraId="57E8294C">
      <w:pPr>
        <w:widowControl w:val="0"/>
        <w:spacing w:after="0" w:line="360" w:lineRule="auto"/>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eastAsia="宋体" w:cs="Times New Roman"/>
          <w:b/>
          <w:bCs/>
          <w:color w:val="000000" w:themeColor="text1"/>
          <w:spacing w:val="-2"/>
          <w:sz w:val="24"/>
          <w:szCs w:val="20"/>
          <w14:textFill>
            <w14:solidFill>
              <w14:schemeClr w14:val="tx1"/>
            </w14:solidFill>
          </w14:textFill>
        </w:rPr>
        <w:t>表3.1-3 项目场址</w:t>
      </w:r>
      <w:r>
        <w:rPr>
          <w:rFonts w:hint="eastAsia" w:ascii="Times New Roman" w:hAnsi="Times New Roman" w:eastAsia="宋体" w:cs="Times New Roman"/>
          <w:b/>
          <w:bCs/>
          <w:color w:val="000000" w:themeColor="text1"/>
          <w:spacing w:val="-2"/>
          <w:sz w:val="24"/>
          <w:szCs w:val="20"/>
          <w14:textFill>
            <w14:solidFill>
              <w14:schemeClr w14:val="tx1"/>
            </w14:solidFill>
          </w14:textFill>
        </w:rPr>
        <w:t>及周边</w:t>
      </w:r>
      <w:r>
        <w:rPr>
          <w:rFonts w:ascii="Times New Roman" w:hAnsi="Times New Roman" w:eastAsia="宋体" w:cs="Times New Roman"/>
          <w:b/>
          <w:bCs/>
          <w:color w:val="000000" w:themeColor="text1"/>
          <w:spacing w:val="-2"/>
          <w:sz w:val="24"/>
          <w:szCs w:val="20"/>
          <w14:textFill>
            <w14:solidFill>
              <w14:schemeClr w14:val="tx1"/>
            </w14:solidFill>
          </w14:textFill>
        </w:rPr>
        <w:t>环境现状γ辐射空气吸收剂量率监测结果</w:t>
      </w:r>
    </w:p>
    <w:tbl>
      <w:tblPr>
        <w:tblStyle w:val="46"/>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69"/>
        <w:gridCol w:w="2913"/>
        <w:gridCol w:w="1384"/>
        <w:gridCol w:w="1384"/>
        <w:gridCol w:w="1972"/>
      </w:tblGrid>
      <w:tr w14:paraId="604D31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510" w:type="pct"/>
            <w:vMerge w:val="restart"/>
            <w:shd w:val="clear" w:color="auto" w:fill="auto"/>
            <w:vAlign w:val="center"/>
          </w:tcPr>
          <w:p w14:paraId="00853AE1">
            <w:pPr>
              <w:spacing w:after="0" w:line="240" w:lineRule="auto"/>
              <w:jc w:val="center"/>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点位</w:t>
            </w:r>
          </w:p>
        </w:tc>
        <w:tc>
          <w:tcPr>
            <w:tcW w:w="1709" w:type="pct"/>
            <w:vMerge w:val="restart"/>
            <w:shd w:val="clear" w:color="auto" w:fill="auto"/>
            <w:vAlign w:val="center"/>
          </w:tcPr>
          <w:p w14:paraId="12307D4B">
            <w:pPr>
              <w:spacing w:after="0" w:line="240" w:lineRule="auto"/>
              <w:jc w:val="center"/>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点位描述</w:t>
            </w:r>
          </w:p>
        </w:tc>
        <w:tc>
          <w:tcPr>
            <w:tcW w:w="1624" w:type="pct"/>
            <w:gridSpan w:val="2"/>
            <w:shd w:val="clear" w:color="auto" w:fill="auto"/>
            <w:vAlign w:val="center"/>
          </w:tcPr>
          <w:p w14:paraId="69435886">
            <w:pPr>
              <w:spacing w:after="0" w:line="240" w:lineRule="auto"/>
              <w:jc w:val="center"/>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γ辐射剂量率</w:t>
            </w:r>
            <w:r>
              <w:rPr>
                <w:rFonts w:hint="eastAsia" w:ascii="Times New Roman" w:hAnsi="Times New Roman" w:eastAsia="宋体" w:cs="Times New Roman"/>
                <w:b/>
                <w:bCs/>
                <w:color w:val="000000" w:themeColor="text1"/>
                <w14:textFill>
                  <w14:solidFill>
                    <w14:schemeClr w14:val="tx1"/>
                  </w14:solidFill>
                </w14:textFill>
              </w:rPr>
              <w:t>（</w:t>
            </w:r>
            <w:r>
              <w:rPr>
                <w:rFonts w:ascii="Times New Roman" w:hAnsi="Times New Roman" w:eastAsia="宋体" w:cs="Times New Roman"/>
                <w:b/>
                <w:bCs/>
                <w:color w:val="000000" w:themeColor="text1"/>
                <w14:textFill>
                  <w14:solidFill>
                    <w14:schemeClr w14:val="tx1"/>
                  </w14:solidFill>
                </w14:textFill>
              </w:rPr>
              <w:t>nGy/h</w:t>
            </w:r>
            <w:r>
              <w:rPr>
                <w:rFonts w:hint="eastAsia" w:ascii="Times New Roman" w:hAnsi="Times New Roman" w:eastAsia="宋体" w:cs="Times New Roman"/>
                <w:b/>
                <w:bCs/>
                <w:color w:val="000000" w:themeColor="text1"/>
                <w14:textFill>
                  <w14:solidFill>
                    <w14:schemeClr w14:val="tx1"/>
                  </w14:solidFill>
                </w14:textFill>
              </w:rPr>
              <w:t>）</w:t>
            </w:r>
          </w:p>
        </w:tc>
        <w:tc>
          <w:tcPr>
            <w:tcW w:w="1157" w:type="pct"/>
            <w:vMerge w:val="restart"/>
            <w:shd w:val="clear" w:color="auto" w:fill="auto"/>
            <w:vAlign w:val="center"/>
          </w:tcPr>
          <w:p w14:paraId="57A7ED73">
            <w:pPr>
              <w:spacing w:after="0" w:line="240" w:lineRule="auto"/>
              <w:jc w:val="center"/>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备注</w:t>
            </w:r>
          </w:p>
        </w:tc>
      </w:tr>
      <w:tr w14:paraId="0BF8BC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510" w:type="pct"/>
            <w:vMerge w:val="continue"/>
            <w:shd w:val="clear" w:color="auto" w:fill="auto"/>
            <w:vAlign w:val="center"/>
          </w:tcPr>
          <w:p w14:paraId="0C838F41">
            <w:pPr>
              <w:spacing w:after="0" w:line="240" w:lineRule="auto"/>
              <w:rPr>
                <w:rFonts w:ascii="Times New Roman" w:hAnsi="Times New Roman" w:eastAsia="宋体" w:cs="Times New Roman"/>
                <w:b/>
                <w:bCs/>
                <w:color w:val="000000" w:themeColor="text1"/>
                <w14:textFill>
                  <w14:solidFill>
                    <w14:schemeClr w14:val="tx1"/>
                  </w14:solidFill>
                </w14:textFill>
              </w:rPr>
            </w:pPr>
          </w:p>
        </w:tc>
        <w:tc>
          <w:tcPr>
            <w:tcW w:w="1709" w:type="pct"/>
            <w:vMerge w:val="continue"/>
            <w:shd w:val="clear" w:color="auto" w:fill="auto"/>
            <w:vAlign w:val="center"/>
          </w:tcPr>
          <w:p w14:paraId="2E1B6A03">
            <w:pPr>
              <w:spacing w:after="0" w:line="240" w:lineRule="auto"/>
              <w:rPr>
                <w:rFonts w:ascii="Times New Roman" w:hAnsi="Times New Roman" w:eastAsia="宋体" w:cs="Times New Roman"/>
                <w:b/>
                <w:bCs/>
                <w:color w:val="000000" w:themeColor="text1"/>
                <w14:textFill>
                  <w14:solidFill>
                    <w14:schemeClr w14:val="tx1"/>
                  </w14:solidFill>
                </w14:textFill>
              </w:rPr>
            </w:pPr>
          </w:p>
        </w:tc>
        <w:tc>
          <w:tcPr>
            <w:tcW w:w="812" w:type="pct"/>
            <w:shd w:val="clear" w:color="auto" w:fill="auto"/>
            <w:vAlign w:val="center"/>
          </w:tcPr>
          <w:p w14:paraId="6CBEADCF">
            <w:pPr>
              <w:spacing w:after="0" w:line="240" w:lineRule="auto"/>
              <w:jc w:val="center"/>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平均值</w:t>
            </w:r>
          </w:p>
        </w:tc>
        <w:tc>
          <w:tcPr>
            <w:tcW w:w="812" w:type="pct"/>
            <w:shd w:val="clear" w:color="auto" w:fill="auto"/>
            <w:vAlign w:val="center"/>
          </w:tcPr>
          <w:p w14:paraId="6A1ECB4B">
            <w:pPr>
              <w:spacing w:after="0" w:line="240" w:lineRule="auto"/>
              <w:jc w:val="center"/>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标准差</w:t>
            </w:r>
          </w:p>
        </w:tc>
        <w:tc>
          <w:tcPr>
            <w:tcW w:w="1157" w:type="pct"/>
            <w:vMerge w:val="continue"/>
            <w:shd w:val="clear" w:color="auto" w:fill="auto"/>
            <w:vAlign w:val="center"/>
          </w:tcPr>
          <w:p w14:paraId="3A69E812">
            <w:pPr>
              <w:spacing w:after="0" w:line="240" w:lineRule="auto"/>
              <w:rPr>
                <w:rFonts w:ascii="Times New Roman" w:hAnsi="Times New Roman" w:eastAsia="宋体" w:cs="Times New Roman"/>
                <w:b/>
                <w:bCs/>
                <w:color w:val="000000" w:themeColor="text1"/>
                <w14:textFill>
                  <w14:solidFill>
                    <w14:schemeClr w14:val="tx1"/>
                  </w14:solidFill>
                </w14:textFill>
              </w:rPr>
            </w:pPr>
          </w:p>
        </w:tc>
      </w:tr>
      <w:tr w14:paraId="3D6764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0" w:type="pct"/>
            <w:shd w:val="clear" w:color="auto" w:fill="auto"/>
            <w:vAlign w:val="center"/>
          </w:tcPr>
          <w:p w14:paraId="606927E8">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1709" w:type="pct"/>
            <w:shd w:val="clear" w:color="auto" w:fill="auto"/>
            <w:vAlign w:val="center"/>
          </w:tcPr>
          <w:p w14:paraId="3D2CCAB2">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车间内东侧</w:t>
            </w:r>
          </w:p>
        </w:tc>
        <w:tc>
          <w:tcPr>
            <w:tcW w:w="812" w:type="pct"/>
            <w:shd w:val="clear" w:color="auto" w:fill="auto"/>
            <w:vAlign w:val="center"/>
          </w:tcPr>
          <w:p w14:paraId="7A68D937">
            <w:pPr>
              <w:spacing w:after="0" w:line="240" w:lineRule="auto"/>
              <w:jc w:val="center"/>
              <w:rPr>
                <w:rFonts w:ascii="Times New Roman" w:hAnsi="Times New Roman" w:eastAsia="宋体" w:cs="Times New Roman"/>
                <w:color w:val="000000" w:themeColor="text1"/>
                <w14:textFill>
                  <w14:solidFill>
                    <w14:schemeClr w14:val="tx1"/>
                  </w14:solidFill>
                </w14:textFill>
              </w:rPr>
            </w:pPr>
          </w:p>
        </w:tc>
        <w:tc>
          <w:tcPr>
            <w:tcW w:w="812" w:type="pct"/>
            <w:shd w:val="clear" w:color="auto" w:fill="auto"/>
            <w:vAlign w:val="center"/>
          </w:tcPr>
          <w:p w14:paraId="236208EB">
            <w:pPr>
              <w:spacing w:after="0" w:line="240" w:lineRule="auto"/>
              <w:jc w:val="center"/>
              <w:rPr>
                <w:rFonts w:ascii="Times New Roman" w:hAnsi="Times New Roman" w:eastAsia="宋体" w:cs="Times New Roman"/>
                <w:color w:val="000000" w:themeColor="text1"/>
                <w14:textFill>
                  <w14:solidFill>
                    <w14:schemeClr w14:val="tx1"/>
                  </w14:solidFill>
                </w14:textFill>
              </w:rPr>
            </w:pPr>
          </w:p>
        </w:tc>
        <w:tc>
          <w:tcPr>
            <w:tcW w:w="1157" w:type="pct"/>
            <w:shd w:val="clear" w:color="auto" w:fill="auto"/>
            <w:vAlign w:val="center"/>
          </w:tcPr>
          <w:p w14:paraId="02FCF59E">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一层建筑</w:t>
            </w:r>
          </w:p>
        </w:tc>
      </w:tr>
      <w:tr w14:paraId="4A8D02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0" w:type="pct"/>
            <w:shd w:val="clear" w:color="auto" w:fill="auto"/>
            <w:vAlign w:val="center"/>
          </w:tcPr>
          <w:p w14:paraId="42873B86">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1709" w:type="pct"/>
            <w:shd w:val="clear" w:color="auto" w:fill="auto"/>
            <w:vAlign w:val="center"/>
          </w:tcPr>
          <w:p w14:paraId="590356EC">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车间内西侧</w:t>
            </w:r>
          </w:p>
        </w:tc>
        <w:tc>
          <w:tcPr>
            <w:tcW w:w="812" w:type="pct"/>
            <w:shd w:val="clear" w:color="auto" w:fill="auto"/>
            <w:vAlign w:val="center"/>
          </w:tcPr>
          <w:p w14:paraId="702A945E">
            <w:pPr>
              <w:spacing w:after="0" w:line="240" w:lineRule="auto"/>
              <w:jc w:val="center"/>
              <w:rPr>
                <w:rFonts w:ascii="Times New Roman" w:hAnsi="Times New Roman" w:eastAsia="宋体" w:cs="Times New Roman"/>
                <w:color w:val="000000" w:themeColor="text1"/>
                <w14:textFill>
                  <w14:solidFill>
                    <w14:schemeClr w14:val="tx1"/>
                  </w14:solidFill>
                </w14:textFill>
              </w:rPr>
            </w:pPr>
          </w:p>
        </w:tc>
        <w:tc>
          <w:tcPr>
            <w:tcW w:w="812" w:type="pct"/>
            <w:shd w:val="clear" w:color="auto" w:fill="auto"/>
            <w:vAlign w:val="center"/>
          </w:tcPr>
          <w:p w14:paraId="2C8AC4EC">
            <w:pPr>
              <w:spacing w:after="0" w:line="240" w:lineRule="auto"/>
              <w:jc w:val="center"/>
              <w:rPr>
                <w:rFonts w:ascii="Times New Roman" w:hAnsi="Times New Roman" w:eastAsia="宋体" w:cs="Times New Roman"/>
                <w:color w:val="000000" w:themeColor="text1"/>
                <w14:textFill>
                  <w14:solidFill>
                    <w14:schemeClr w14:val="tx1"/>
                  </w14:solidFill>
                </w14:textFill>
              </w:rPr>
            </w:pPr>
          </w:p>
        </w:tc>
        <w:tc>
          <w:tcPr>
            <w:tcW w:w="1157" w:type="pct"/>
            <w:shd w:val="clear" w:color="auto" w:fill="auto"/>
            <w:vAlign w:val="center"/>
          </w:tcPr>
          <w:p w14:paraId="62B1656D">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一层建筑</w:t>
            </w:r>
          </w:p>
        </w:tc>
      </w:tr>
      <w:tr w14:paraId="7C2AF9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0" w:type="pct"/>
            <w:shd w:val="clear" w:color="auto" w:fill="auto"/>
            <w:vAlign w:val="center"/>
          </w:tcPr>
          <w:p w14:paraId="1EAC9F43">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w:t>
            </w:r>
          </w:p>
        </w:tc>
        <w:tc>
          <w:tcPr>
            <w:tcW w:w="1709" w:type="pct"/>
            <w:shd w:val="clear" w:color="auto" w:fill="auto"/>
            <w:vAlign w:val="center"/>
          </w:tcPr>
          <w:p w14:paraId="5F667CD8">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厂界东侧</w:t>
            </w:r>
          </w:p>
        </w:tc>
        <w:tc>
          <w:tcPr>
            <w:tcW w:w="812" w:type="pct"/>
            <w:shd w:val="clear" w:color="auto" w:fill="auto"/>
            <w:vAlign w:val="center"/>
          </w:tcPr>
          <w:p w14:paraId="79D04A73">
            <w:pPr>
              <w:spacing w:after="0" w:line="240" w:lineRule="auto"/>
              <w:jc w:val="center"/>
              <w:rPr>
                <w:rFonts w:ascii="Times New Roman" w:hAnsi="Times New Roman" w:eastAsia="宋体" w:cs="Times New Roman"/>
                <w:color w:val="000000" w:themeColor="text1"/>
                <w14:textFill>
                  <w14:solidFill>
                    <w14:schemeClr w14:val="tx1"/>
                  </w14:solidFill>
                </w14:textFill>
              </w:rPr>
            </w:pPr>
          </w:p>
        </w:tc>
        <w:tc>
          <w:tcPr>
            <w:tcW w:w="812" w:type="pct"/>
            <w:shd w:val="clear" w:color="auto" w:fill="auto"/>
            <w:vAlign w:val="center"/>
          </w:tcPr>
          <w:p w14:paraId="46C511C4">
            <w:pPr>
              <w:spacing w:after="0" w:line="240" w:lineRule="auto"/>
              <w:jc w:val="center"/>
              <w:rPr>
                <w:rFonts w:ascii="Times New Roman" w:hAnsi="Times New Roman" w:eastAsia="宋体" w:cs="Times New Roman"/>
                <w:color w:val="000000" w:themeColor="text1"/>
                <w14:textFill>
                  <w14:solidFill>
                    <w14:schemeClr w14:val="tx1"/>
                  </w14:solidFill>
                </w14:textFill>
              </w:rPr>
            </w:pPr>
          </w:p>
        </w:tc>
        <w:tc>
          <w:tcPr>
            <w:tcW w:w="1157" w:type="pct"/>
            <w:shd w:val="clear" w:color="auto" w:fill="auto"/>
            <w:vAlign w:val="center"/>
          </w:tcPr>
          <w:p w14:paraId="11476CF0">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室外</w:t>
            </w:r>
          </w:p>
        </w:tc>
      </w:tr>
      <w:tr w14:paraId="160BED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0" w:type="pct"/>
            <w:shd w:val="clear" w:color="auto" w:fill="auto"/>
            <w:vAlign w:val="center"/>
          </w:tcPr>
          <w:p w14:paraId="17BCD874">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4</w:t>
            </w:r>
          </w:p>
        </w:tc>
        <w:tc>
          <w:tcPr>
            <w:tcW w:w="1709" w:type="pct"/>
            <w:shd w:val="clear" w:color="auto" w:fill="auto"/>
            <w:vAlign w:val="center"/>
          </w:tcPr>
          <w:p w14:paraId="42C8A48B">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厂界南侧（建筑物内）</w:t>
            </w:r>
          </w:p>
        </w:tc>
        <w:tc>
          <w:tcPr>
            <w:tcW w:w="812" w:type="pct"/>
            <w:shd w:val="clear" w:color="auto" w:fill="auto"/>
            <w:vAlign w:val="center"/>
          </w:tcPr>
          <w:p w14:paraId="265D5080">
            <w:pPr>
              <w:spacing w:after="0" w:line="240" w:lineRule="auto"/>
              <w:jc w:val="center"/>
              <w:rPr>
                <w:rFonts w:ascii="Times New Roman" w:hAnsi="Times New Roman" w:eastAsia="宋体" w:cs="Times New Roman"/>
                <w:color w:val="000000" w:themeColor="text1"/>
                <w14:textFill>
                  <w14:solidFill>
                    <w14:schemeClr w14:val="tx1"/>
                  </w14:solidFill>
                </w14:textFill>
              </w:rPr>
            </w:pPr>
          </w:p>
        </w:tc>
        <w:tc>
          <w:tcPr>
            <w:tcW w:w="812" w:type="pct"/>
            <w:shd w:val="clear" w:color="auto" w:fill="auto"/>
            <w:vAlign w:val="center"/>
          </w:tcPr>
          <w:p w14:paraId="64E5F678">
            <w:pPr>
              <w:spacing w:after="0" w:line="240" w:lineRule="auto"/>
              <w:jc w:val="center"/>
              <w:rPr>
                <w:rFonts w:ascii="Times New Roman" w:hAnsi="Times New Roman" w:eastAsia="宋体" w:cs="Times New Roman"/>
                <w:color w:val="000000" w:themeColor="text1"/>
                <w14:textFill>
                  <w14:solidFill>
                    <w14:schemeClr w14:val="tx1"/>
                  </w14:solidFill>
                </w14:textFill>
              </w:rPr>
            </w:pPr>
          </w:p>
        </w:tc>
        <w:tc>
          <w:tcPr>
            <w:tcW w:w="1157" w:type="pct"/>
            <w:shd w:val="clear" w:color="auto" w:fill="auto"/>
            <w:vAlign w:val="center"/>
          </w:tcPr>
          <w:p w14:paraId="652D4DBB">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南侧为二层建筑，监测点位位于1楼</w:t>
            </w:r>
          </w:p>
        </w:tc>
      </w:tr>
      <w:tr w14:paraId="0282BE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0" w:type="pct"/>
            <w:shd w:val="clear" w:color="auto" w:fill="auto"/>
            <w:vAlign w:val="center"/>
          </w:tcPr>
          <w:p w14:paraId="62A711A6">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5</w:t>
            </w:r>
          </w:p>
        </w:tc>
        <w:tc>
          <w:tcPr>
            <w:tcW w:w="1709" w:type="pct"/>
            <w:shd w:val="clear" w:color="auto" w:fill="auto"/>
            <w:vAlign w:val="center"/>
          </w:tcPr>
          <w:p w14:paraId="3E5CEBF1">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厂界北侧</w:t>
            </w:r>
          </w:p>
        </w:tc>
        <w:tc>
          <w:tcPr>
            <w:tcW w:w="812" w:type="pct"/>
            <w:shd w:val="clear" w:color="auto" w:fill="auto"/>
            <w:vAlign w:val="center"/>
          </w:tcPr>
          <w:p w14:paraId="0DD43FD7">
            <w:pPr>
              <w:spacing w:after="0" w:line="240" w:lineRule="auto"/>
              <w:jc w:val="center"/>
              <w:rPr>
                <w:rFonts w:ascii="Times New Roman" w:hAnsi="Times New Roman" w:eastAsia="宋体" w:cs="Times New Roman"/>
                <w:color w:val="000000" w:themeColor="text1"/>
                <w14:textFill>
                  <w14:solidFill>
                    <w14:schemeClr w14:val="tx1"/>
                  </w14:solidFill>
                </w14:textFill>
              </w:rPr>
            </w:pPr>
          </w:p>
        </w:tc>
        <w:tc>
          <w:tcPr>
            <w:tcW w:w="812" w:type="pct"/>
            <w:shd w:val="clear" w:color="auto" w:fill="auto"/>
            <w:vAlign w:val="center"/>
          </w:tcPr>
          <w:p w14:paraId="22A1D2EE">
            <w:pPr>
              <w:spacing w:after="0" w:line="240" w:lineRule="auto"/>
              <w:jc w:val="center"/>
              <w:rPr>
                <w:rFonts w:ascii="Times New Roman" w:hAnsi="Times New Roman" w:eastAsia="宋体" w:cs="Times New Roman"/>
                <w:color w:val="000000" w:themeColor="text1"/>
                <w14:textFill>
                  <w14:solidFill>
                    <w14:schemeClr w14:val="tx1"/>
                  </w14:solidFill>
                </w14:textFill>
              </w:rPr>
            </w:pPr>
          </w:p>
        </w:tc>
        <w:tc>
          <w:tcPr>
            <w:tcW w:w="1157" w:type="pct"/>
            <w:shd w:val="clear" w:color="auto" w:fill="auto"/>
            <w:vAlign w:val="center"/>
          </w:tcPr>
          <w:p w14:paraId="3525B44D">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室外</w:t>
            </w:r>
          </w:p>
        </w:tc>
      </w:tr>
      <w:tr w14:paraId="1278A6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0" w:type="pct"/>
            <w:shd w:val="clear" w:color="auto" w:fill="auto"/>
            <w:vAlign w:val="center"/>
          </w:tcPr>
          <w:p w14:paraId="6CD3D845">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w:t>
            </w:r>
          </w:p>
        </w:tc>
        <w:tc>
          <w:tcPr>
            <w:tcW w:w="1709" w:type="pct"/>
            <w:shd w:val="clear" w:color="auto" w:fill="auto"/>
            <w:vAlign w:val="center"/>
          </w:tcPr>
          <w:p w14:paraId="161CB4C0">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厂界西侧</w:t>
            </w:r>
          </w:p>
        </w:tc>
        <w:tc>
          <w:tcPr>
            <w:tcW w:w="812" w:type="pct"/>
            <w:shd w:val="clear" w:color="auto" w:fill="auto"/>
            <w:vAlign w:val="center"/>
          </w:tcPr>
          <w:p w14:paraId="664EE085">
            <w:pPr>
              <w:spacing w:after="0" w:line="240" w:lineRule="auto"/>
              <w:jc w:val="center"/>
              <w:rPr>
                <w:rFonts w:ascii="Times New Roman" w:hAnsi="Times New Roman" w:eastAsia="宋体" w:cs="Times New Roman"/>
                <w:color w:val="000000" w:themeColor="text1"/>
                <w14:textFill>
                  <w14:solidFill>
                    <w14:schemeClr w14:val="tx1"/>
                  </w14:solidFill>
                </w14:textFill>
              </w:rPr>
            </w:pPr>
          </w:p>
        </w:tc>
        <w:tc>
          <w:tcPr>
            <w:tcW w:w="812" w:type="pct"/>
            <w:shd w:val="clear" w:color="auto" w:fill="auto"/>
            <w:vAlign w:val="center"/>
          </w:tcPr>
          <w:p w14:paraId="7B08460C">
            <w:pPr>
              <w:spacing w:after="0" w:line="240" w:lineRule="auto"/>
              <w:jc w:val="center"/>
              <w:rPr>
                <w:rFonts w:ascii="Times New Roman" w:hAnsi="Times New Roman" w:eastAsia="宋体" w:cs="Times New Roman"/>
                <w:color w:val="000000" w:themeColor="text1"/>
                <w14:textFill>
                  <w14:solidFill>
                    <w14:schemeClr w14:val="tx1"/>
                  </w14:solidFill>
                </w14:textFill>
              </w:rPr>
            </w:pPr>
          </w:p>
        </w:tc>
        <w:tc>
          <w:tcPr>
            <w:tcW w:w="1157" w:type="pct"/>
            <w:shd w:val="clear" w:color="auto" w:fill="auto"/>
            <w:vAlign w:val="center"/>
          </w:tcPr>
          <w:p w14:paraId="0774449B">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室外</w:t>
            </w:r>
          </w:p>
        </w:tc>
      </w:tr>
      <w:tr w14:paraId="4E6182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0" w:type="pct"/>
            <w:shd w:val="clear" w:color="auto" w:fill="auto"/>
            <w:vAlign w:val="center"/>
          </w:tcPr>
          <w:p w14:paraId="39A12528">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7</w:t>
            </w:r>
          </w:p>
        </w:tc>
        <w:tc>
          <w:tcPr>
            <w:tcW w:w="1709" w:type="pct"/>
            <w:shd w:val="clear" w:color="auto" w:fill="auto"/>
            <w:vAlign w:val="center"/>
          </w:tcPr>
          <w:p w14:paraId="761B4579">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广西钦州保税港区桂吉冷链物流有限公司门口</w:t>
            </w:r>
          </w:p>
        </w:tc>
        <w:tc>
          <w:tcPr>
            <w:tcW w:w="812" w:type="pct"/>
            <w:shd w:val="clear" w:color="auto" w:fill="auto"/>
            <w:vAlign w:val="center"/>
          </w:tcPr>
          <w:p w14:paraId="0F4519E9">
            <w:pPr>
              <w:spacing w:after="0" w:line="240" w:lineRule="auto"/>
              <w:jc w:val="center"/>
              <w:rPr>
                <w:rFonts w:ascii="Times New Roman" w:hAnsi="Times New Roman" w:eastAsia="宋体" w:cs="Times New Roman"/>
                <w:color w:val="000000" w:themeColor="text1"/>
                <w14:textFill>
                  <w14:solidFill>
                    <w14:schemeClr w14:val="tx1"/>
                  </w14:solidFill>
                </w14:textFill>
              </w:rPr>
            </w:pPr>
          </w:p>
        </w:tc>
        <w:tc>
          <w:tcPr>
            <w:tcW w:w="812" w:type="pct"/>
            <w:shd w:val="clear" w:color="auto" w:fill="auto"/>
            <w:vAlign w:val="center"/>
          </w:tcPr>
          <w:p w14:paraId="68FFC94C">
            <w:pPr>
              <w:spacing w:after="0" w:line="240" w:lineRule="auto"/>
              <w:jc w:val="center"/>
              <w:rPr>
                <w:rFonts w:ascii="Times New Roman" w:hAnsi="Times New Roman" w:eastAsia="宋体" w:cs="Times New Roman"/>
                <w:color w:val="000000" w:themeColor="text1"/>
                <w14:textFill>
                  <w14:solidFill>
                    <w14:schemeClr w14:val="tx1"/>
                  </w14:solidFill>
                </w14:textFill>
              </w:rPr>
            </w:pPr>
          </w:p>
        </w:tc>
        <w:tc>
          <w:tcPr>
            <w:tcW w:w="1157" w:type="pct"/>
            <w:shd w:val="clear" w:color="auto" w:fill="auto"/>
            <w:vAlign w:val="center"/>
          </w:tcPr>
          <w:p w14:paraId="37DA57A7">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室外</w:t>
            </w:r>
          </w:p>
        </w:tc>
      </w:tr>
      <w:tr w14:paraId="682D47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0" w:type="pct"/>
            <w:shd w:val="clear" w:color="auto" w:fill="auto"/>
            <w:vAlign w:val="center"/>
          </w:tcPr>
          <w:p w14:paraId="0DE5AF3A">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1709" w:type="pct"/>
            <w:shd w:val="clear" w:color="auto" w:fill="auto"/>
            <w:vAlign w:val="center"/>
          </w:tcPr>
          <w:p w14:paraId="3F80093B">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星火物流园门口</w:t>
            </w:r>
          </w:p>
        </w:tc>
        <w:tc>
          <w:tcPr>
            <w:tcW w:w="812" w:type="pct"/>
            <w:shd w:val="clear" w:color="auto" w:fill="auto"/>
            <w:vAlign w:val="center"/>
          </w:tcPr>
          <w:p w14:paraId="2DEEE903">
            <w:pPr>
              <w:spacing w:after="0" w:line="240" w:lineRule="auto"/>
              <w:jc w:val="center"/>
              <w:rPr>
                <w:rFonts w:ascii="Times New Roman" w:hAnsi="Times New Roman" w:eastAsia="宋体" w:cs="Times New Roman"/>
                <w:color w:val="000000" w:themeColor="text1"/>
                <w14:textFill>
                  <w14:solidFill>
                    <w14:schemeClr w14:val="tx1"/>
                  </w14:solidFill>
                </w14:textFill>
              </w:rPr>
            </w:pPr>
          </w:p>
        </w:tc>
        <w:tc>
          <w:tcPr>
            <w:tcW w:w="812" w:type="pct"/>
            <w:shd w:val="clear" w:color="auto" w:fill="auto"/>
            <w:vAlign w:val="center"/>
          </w:tcPr>
          <w:p w14:paraId="416DE3FE">
            <w:pPr>
              <w:spacing w:after="0" w:line="240" w:lineRule="auto"/>
              <w:jc w:val="center"/>
              <w:rPr>
                <w:rFonts w:ascii="Times New Roman" w:hAnsi="Times New Roman" w:eastAsia="宋体" w:cs="Times New Roman"/>
                <w:color w:val="000000" w:themeColor="text1"/>
                <w14:textFill>
                  <w14:solidFill>
                    <w14:schemeClr w14:val="tx1"/>
                  </w14:solidFill>
                </w14:textFill>
              </w:rPr>
            </w:pPr>
          </w:p>
        </w:tc>
        <w:tc>
          <w:tcPr>
            <w:tcW w:w="1157" w:type="pct"/>
            <w:shd w:val="clear" w:color="auto" w:fill="auto"/>
            <w:vAlign w:val="center"/>
          </w:tcPr>
          <w:p w14:paraId="2FD06130">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室外</w:t>
            </w:r>
          </w:p>
        </w:tc>
      </w:tr>
      <w:tr w14:paraId="1292A4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0" w:type="pct"/>
            <w:shd w:val="clear" w:color="auto" w:fill="auto"/>
            <w:vAlign w:val="center"/>
          </w:tcPr>
          <w:p w14:paraId="2C0C9F89">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9</w:t>
            </w:r>
          </w:p>
        </w:tc>
        <w:tc>
          <w:tcPr>
            <w:tcW w:w="1709" w:type="pct"/>
            <w:shd w:val="clear" w:color="auto" w:fill="auto"/>
            <w:vAlign w:val="center"/>
          </w:tcPr>
          <w:p w14:paraId="7B51195E">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北部湾（钦州湾）冷链保税交易中心大门口</w:t>
            </w:r>
          </w:p>
        </w:tc>
        <w:tc>
          <w:tcPr>
            <w:tcW w:w="812" w:type="pct"/>
            <w:shd w:val="clear" w:color="auto" w:fill="auto"/>
            <w:vAlign w:val="center"/>
          </w:tcPr>
          <w:p w14:paraId="714719BD">
            <w:pPr>
              <w:spacing w:after="0" w:line="240" w:lineRule="auto"/>
              <w:jc w:val="center"/>
              <w:rPr>
                <w:rFonts w:ascii="Times New Roman" w:hAnsi="Times New Roman" w:eastAsia="宋体" w:cs="Times New Roman"/>
                <w:color w:val="000000" w:themeColor="text1"/>
                <w14:textFill>
                  <w14:solidFill>
                    <w14:schemeClr w14:val="tx1"/>
                  </w14:solidFill>
                </w14:textFill>
              </w:rPr>
            </w:pPr>
          </w:p>
        </w:tc>
        <w:tc>
          <w:tcPr>
            <w:tcW w:w="812" w:type="pct"/>
            <w:shd w:val="clear" w:color="auto" w:fill="auto"/>
            <w:vAlign w:val="center"/>
          </w:tcPr>
          <w:p w14:paraId="4FB36BC2">
            <w:pPr>
              <w:spacing w:after="0" w:line="240" w:lineRule="auto"/>
              <w:jc w:val="center"/>
              <w:rPr>
                <w:rFonts w:ascii="Times New Roman" w:hAnsi="Times New Roman" w:eastAsia="宋体" w:cs="Times New Roman"/>
                <w:color w:val="000000" w:themeColor="text1"/>
                <w14:textFill>
                  <w14:solidFill>
                    <w14:schemeClr w14:val="tx1"/>
                  </w14:solidFill>
                </w14:textFill>
              </w:rPr>
            </w:pPr>
          </w:p>
        </w:tc>
        <w:tc>
          <w:tcPr>
            <w:tcW w:w="1157" w:type="pct"/>
            <w:shd w:val="clear" w:color="auto" w:fill="auto"/>
            <w:vAlign w:val="center"/>
          </w:tcPr>
          <w:p w14:paraId="3139D44F">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室外</w:t>
            </w:r>
          </w:p>
        </w:tc>
      </w:tr>
    </w:tbl>
    <w:p w14:paraId="1EC09F5A">
      <w:pPr>
        <w:autoSpaceDE w:val="0"/>
        <w:autoSpaceDN w:val="0"/>
        <w:adjustRightInd w:val="0"/>
        <w:spacing w:after="0" w:line="360" w:lineRule="auto"/>
        <w:ind w:firstLine="480"/>
        <w:rPr>
          <w:rFonts w:ascii="Times New Roman" w:hAnsi="Times New Roman" w:cs="Times New Roman"/>
          <w:color w:val="000000" w:themeColor="text1"/>
          <w:sz w:val="24"/>
          <w:szCs w:val="24"/>
          <w14:textFill>
            <w14:solidFill>
              <w14:schemeClr w14:val="tx1"/>
            </w14:solidFill>
          </w14:textFill>
        </w:rPr>
      </w:pPr>
    </w:p>
    <w:p w14:paraId="5EAE1483">
      <w:pPr>
        <w:autoSpaceDE w:val="0"/>
        <w:autoSpaceDN w:val="0"/>
        <w:adjustRightInd w:val="0"/>
        <w:spacing w:after="0" w:line="360" w:lineRule="auto"/>
        <w:ind w:firstLine="48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由表3.1-3监测结果可知</w:t>
      </w:r>
      <w:r>
        <w:rPr>
          <w:rFonts w:hint="eastAsia" w:ascii="Times New Roman" w:hAnsi="Times New Roman" w:cs="Times New Roman"/>
          <w:color w:val="000000" w:themeColor="text1"/>
          <w:sz w:val="24"/>
          <w:szCs w:val="24"/>
          <w14:textFill>
            <w14:solidFill>
              <w14:schemeClr w14:val="tx1"/>
            </w14:solidFill>
          </w14:textFill>
        </w:rPr>
        <w:t>，项目车间内的</w:t>
      </w:r>
      <w:r>
        <w:rPr>
          <w:rFonts w:ascii="Times New Roman" w:hAnsi="Times New Roman" w:cs="Times New Roman"/>
          <w:color w:val="000000" w:themeColor="text1"/>
          <w:sz w:val="24"/>
          <w:szCs w:val="24"/>
          <w14:textFill>
            <w14:solidFill>
              <w14:schemeClr w14:val="tx1"/>
            </w14:solidFill>
          </w14:textFill>
        </w:rPr>
        <w:t>γ辐射空气吸收剂量率范围为</w:t>
      </w:r>
      <w:r>
        <w:rPr>
          <w:rFonts w:hint="eastAsia" w:ascii="Times New Roman" w:hAnsi="Times New Roman" w:cs="Times New Roman"/>
          <w:color w:val="000000" w:themeColor="text1"/>
          <w:sz w:val="24"/>
          <w:szCs w:val="24"/>
          <w14:textFill>
            <w14:solidFill>
              <w14:schemeClr w14:val="tx1"/>
            </w14:solidFill>
          </w14:textFill>
        </w:rPr>
        <w:t>97.5</w:t>
      </w:r>
      <w:r>
        <w:rPr>
          <w:rFonts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97.8</w:t>
      </w:r>
      <w:r>
        <w:rPr>
          <w:rFonts w:ascii="Times New Roman" w:hAnsi="Times New Roman" w:cs="Times New Roman"/>
          <w:color w:val="000000" w:themeColor="text1"/>
          <w:sz w:val="24"/>
          <w:szCs w:val="24"/>
          <w14:textFill>
            <w14:solidFill>
              <w14:schemeClr w14:val="tx1"/>
            </w14:solidFill>
          </w14:textFill>
        </w:rPr>
        <w:t>nGy/h；</w:t>
      </w:r>
      <w:r>
        <w:rPr>
          <w:rFonts w:hint="eastAsia" w:ascii="Times New Roman" w:hAnsi="Times New Roman" w:cs="Times New Roman"/>
          <w:color w:val="000000" w:themeColor="text1"/>
          <w:sz w:val="24"/>
          <w:szCs w:val="24"/>
          <w14:textFill>
            <w14:solidFill>
              <w14:schemeClr w14:val="tx1"/>
            </w14:solidFill>
          </w14:textFill>
        </w:rPr>
        <w:t>车间四周厂界处的</w:t>
      </w:r>
      <w:r>
        <w:rPr>
          <w:rFonts w:ascii="Times New Roman" w:hAnsi="Times New Roman" w:cs="Times New Roman"/>
          <w:color w:val="000000" w:themeColor="text1"/>
          <w:sz w:val="24"/>
          <w:szCs w:val="24"/>
          <w14:textFill>
            <w14:solidFill>
              <w14:schemeClr w14:val="tx1"/>
            </w14:solidFill>
          </w14:textFill>
        </w:rPr>
        <w:t>γ辐射空气吸收剂量率范围为</w:t>
      </w:r>
      <w:r>
        <w:rPr>
          <w:rFonts w:hint="eastAsia" w:ascii="Times New Roman" w:hAnsi="Times New Roman" w:cs="Times New Roman"/>
          <w:color w:val="000000" w:themeColor="text1"/>
          <w:sz w:val="24"/>
          <w:szCs w:val="24"/>
          <w14:textFill>
            <w14:solidFill>
              <w14:schemeClr w14:val="tx1"/>
            </w14:solidFill>
          </w14:textFill>
        </w:rPr>
        <w:t>91.2</w:t>
      </w:r>
      <w:r>
        <w:rPr>
          <w:rFonts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127</w:t>
      </w:r>
      <w:r>
        <w:rPr>
          <w:rFonts w:ascii="Times New Roman" w:hAnsi="Times New Roman" w:cs="Times New Roman"/>
          <w:color w:val="000000" w:themeColor="text1"/>
          <w:sz w:val="24"/>
          <w:szCs w:val="24"/>
          <w14:textFill>
            <w14:solidFill>
              <w14:schemeClr w14:val="tx1"/>
            </w14:solidFill>
          </w14:textFill>
        </w:rPr>
        <w:t>nGy/h；</w:t>
      </w:r>
      <w:r>
        <w:rPr>
          <w:rFonts w:hint="eastAsia" w:ascii="Times New Roman" w:hAnsi="Times New Roman" w:cs="Times New Roman"/>
          <w:color w:val="000000" w:themeColor="text1"/>
          <w:sz w:val="24"/>
          <w:szCs w:val="24"/>
          <w14:textFill>
            <w14:solidFill>
              <w14:schemeClr w14:val="tx1"/>
            </w14:solidFill>
          </w14:textFill>
        </w:rPr>
        <w:t>项目所在区域周边</w:t>
      </w:r>
      <w:r>
        <w:rPr>
          <w:rFonts w:ascii="Times New Roman" w:hAnsi="Times New Roman" w:cs="Times New Roman"/>
          <w:color w:val="000000" w:themeColor="text1"/>
          <w:sz w:val="24"/>
          <w:szCs w:val="24"/>
          <w14:textFill>
            <w14:solidFill>
              <w14:schemeClr w14:val="tx1"/>
            </w14:solidFill>
          </w14:textFill>
        </w:rPr>
        <w:t>环境γ辐射空气吸收剂量率为</w:t>
      </w:r>
      <w:r>
        <w:rPr>
          <w:rFonts w:hint="eastAsia" w:ascii="Times New Roman" w:hAnsi="Times New Roman" w:cs="Times New Roman"/>
          <w:color w:val="000000" w:themeColor="text1"/>
          <w:sz w:val="24"/>
          <w:szCs w:val="24"/>
          <w14:textFill>
            <w14:solidFill>
              <w14:schemeClr w14:val="tx1"/>
            </w14:solidFill>
          </w14:textFill>
        </w:rPr>
        <w:t>66.8</w:t>
      </w:r>
      <w:r>
        <w:rPr>
          <w:rFonts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93</w:t>
      </w:r>
      <w:r>
        <w:rPr>
          <w:rFonts w:ascii="Times New Roman" w:hAnsi="Times New Roman" w:cs="Times New Roman"/>
          <w:color w:val="000000" w:themeColor="text1"/>
          <w:sz w:val="24"/>
          <w:szCs w:val="24"/>
          <w14:textFill>
            <w14:solidFill>
              <w14:schemeClr w14:val="tx1"/>
            </w14:solidFill>
          </w14:textFill>
        </w:rPr>
        <w:t>nGy/h。根据《中国环境天然放射性水平》可知，广西原野γ辐射空气吸收剂量率在10.7～238.7nGy/h范围。可见，本项目建设场址各监测点位γ辐射空气吸收剂量率在其范围内，辐射环境质量状况未见异常。</w:t>
      </w:r>
    </w:p>
    <w:p w14:paraId="5755D71B">
      <w:pPr>
        <w:pStyle w:val="6"/>
        <w:widowControl w:val="0"/>
        <w:numPr>
          <w:ilvl w:val="3"/>
          <w:numId w:val="1"/>
        </w:numPr>
        <w:spacing w:before="0" w:line="360" w:lineRule="auto"/>
        <w:ind w:left="0" w:firstLine="0"/>
        <w:jc w:val="both"/>
        <w:rPr>
          <w:rFonts w:ascii="Times New Roman" w:hAnsi="Times New Roman" w:eastAsia="黑体" w:cs="Times New Roman"/>
          <w:bCs/>
          <w:i w:val="0"/>
          <w:iCs w:val="0"/>
          <w:color w:val="000000" w:themeColor="text1"/>
          <w:kern w:val="2"/>
          <w:sz w:val="24"/>
          <w14:textFill>
            <w14:solidFill>
              <w14:schemeClr w14:val="tx1"/>
            </w14:solidFill>
          </w14:textFill>
        </w:rPr>
      </w:pPr>
      <w:r>
        <w:rPr>
          <w:rFonts w:ascii="Times New Roman" w:hAnsi="Times New Roman" w:eastAsia="黑体" w:cs="Times New Roman"/>
          <w:bCs/>
          <w:i w:val="0"/>
          <w:iCs w:val="0"/>
          <w:color w:val="000000" w:themeColor="text1"/>
          <w:kern w:val="2"/>
          <w:sz w:val="24"/>
          <w14:textFill>
            <w14:solidFill>
              <w14:schemeClr w14:val="tx1"/>
            </w14:solidFill>
          </w14:textFill>
        </w:rPr>
        <w:t>环境氡监测结果</w:t>
      </w:r>
    </w:p>
    <w:p w14:paraId="132A07C5">
      <w:pPr>
        <w:autoSpaceDE w:val="0"/>
        <w:autoSpaceDN w:val="0"/>
        <w:adjustRightInd w:val="0"/>
        <w:spacing w:after="0" w:line="360" w:lineRule="auto"/>
        <w:ind w:firstLine="48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项目建设场所及周围环境现状空气中氡浓度监测结果见表3.1-</w:t>
      </w:r>
      <w:r>
        <w:rPr>
          <w:rFonts w:hint="eastAsia" w:ascii="Times New Roman" w:hAnsi="Times New Roman" w:cs="Times New Roman"/>
          <w:color w:val="000000" w:themeColor="text1"/>
          <w:sz w:val="24"/>
          <w:szCs w:val="24"/>
          <w14:textFill>
            <w14:solidFill>
              <w14:schemeClr w14:val="tx1"/>
            </w14:solidFill>
          </w14:textFill>
        </w:rPr>
        <w:t>4</w:t>
      </w:r>
      <w:r>
        <w:rPr>
          <w:rFonts w:ascii="Times New Roman" w:hAnsi="Times New Roman" w:cs="Times New Roman"/>
          <w:color w:val="000000" w:themeColor="text1"/>
          <w:sz w:val="24"/>
          <w:szCs w:val="24"/>
          <w14:textFill>
            <w14:solidFill>
              <w14:schemeClr w14:val="tx1"/>
            </w14:solidFill>
          </w14:textFill>
        </w:rPr>
        <w:t>。</w:t>
      </w:r>
    </w:p>
    <w:p w14:paraId="4E78C5B1">
      <w:pPr>
        <w:widowControl w:val="0"/>
        <w:spacing w:after="0" w:line="360" w:lineRule="auto"/>
        <w:jc w:val="center"/>
        <w:rPr>
          <w:rFonts w:ascii="Times New Roman" w:hAnsi="Times New Roman" w:eastAsia="宋体" w:cs="Times New Roman"/>
          <w:b/>
          <w:bCs/>
          <w:color w:val="000000" w:themeColor="text1"/>
          <w:spacing w:val="-2"/>
          <w:sz w:val="24"/>
          <w:szCs w:val="20"/>
          <w14:textFill>
            <w14:solidFill>
              <w14:schemeClr w14:val="tx1"/>
            </w14:solidFill>
          </w14:textFill>
        </w:rPr>
      </w:pPr>
      <w:r>
        <w:rPr>
          <w:rFonts w:ascii="Times New Roman" w:hAnsi="Times New Roman" w:eastAsia="宋体" w:cs="Times New Roman"/>
          <w:b/>
          <w:bCs/>
          <w:color w:val="000000" w:themeColor="text1"/>
          <w:spacing w:val="-2"/>
          <w:sz w:val="24"/>
          <w:szCs w:val="20"/>
          <w14:textFill>
            <w14:solidFill>
              <w14:schemeClr w14:val="tx1"/>
            </w14:solidFill>
          </w14:textFill>
        </w:rPr>
        <w:t>表3.1-</w:t>
      </w:r>
      <w:r>
        <w:rPr>
          <w:rFonts w:hint="eastAsia" w:ascii="Times New Roman" w:hAnsi="Times New Roman" w:eastAsia="宋体" w:cs="Times New Roman"/>
          <w:b/>
          <w:bCs/>
          <w:color w:val="000000" w:themeColor="text1"/>
          <w:spacing w:val="-2"/>
          <w:sz w:val="24"/>
          <w:szCs w:val="20"/>
          <w14:textFill>
            <w14:solidFill>
              <w14:schemeClr w14:val="tx1"/>
            </w14:solidFill>
          </w14:textFill>
        </w:rPr>
        <w:t>4</w:t>
      </w:r>
      <w:r>
        <w:rPr>
          <w:rFonts w:ascii="Times New Roman" w:hAnsi="Times New Roman" w:eastAsia="宋体" w:cs="Times New Roman"/>
          <w:b/>
          <w:bCs/>
          <w:color w:val="000000" w:themeColor="text1"/>
          <w:spacing w:val="-2"/>
          <w:sz w:val="24"/>
          <w:szCs w:val="20"/>
          <w14:textFill>
            <w14:solidFill>
              <w14:schemeClr w14:val="tx1"/>
            </w14:solidFill>
          </w14:textFill>
        </w:rPr>
        <w:t xml:space="preserve"> 项目建设场所及周围环境现状空气中氡浓度监测结果</w:t>
      </w:r>
    </w:p>
    <w:tbl>
      <w:tblPr>
        <w:tblStyle w:val="46"/>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452"/>
        <w:gridCol w:w="3934"/>
        <w:gridCol w:w="3136"/>
      </w:tblGrid>
      <w:tr w14:paraId="687F4A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852" w:type="pct"/>
            <w:shd w:val="clear" w:color="auto" w:fill="auto"/>
            <w:vAlign w:val="center"/>
          </w:tcPr>
          <w:p w14:paraId="0A44E8D4">
            <w:pPr>
              <w:spacing w:after="0" w:line="240" w:lineRule="auto"/>
              <w:jc w:val="center"/>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序号</w:t>
            </w:r>
          </w:p>
        </w:tc>
        <w:tc>
          <w:tcPr>
            <w:tcW w:w="2308" w:type="pct"/>
            <w:shd w:val="clear" w:color="auto" w:fill="auto"/>
            <w:vAlign w:val="center"/>
          </w:tcPr>
          <w:p w14:paraId="10A4B21C">
            <w:pPr>
              <w:spacing w:after="0" w:line="240" w:lineRule="auto"/>
              <w:jc w:val="center"/>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点位描述</w:t>
            </w:r>
          </w:p>
        </w:tc>
        <w:tc>
          <w:tcPr>
            <w:tcW w:w="1840" w:type="pct"/>
            <w:shd w:val="clear" w:color="auto" w:fill="auto"/>
            <w:vAlign w:val="center"/>
          </w:tcPr>
          <w:p w14:paraId="19518C47">
            <w:pPr>
              <w:spacing w:after="0" w:line="240" w:lineRule="auto"/>
              <w:jc w:val="center"/>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氡浓度</w:t>
            </w:r>
            <w:r>
              <w:rPr>
                <w:rFonts w:hint="eastAsia" w:ascii="Times New Roman" w:hAnsi="Times New Roman" w:eastAsia="宋体" w:cs="Times New Roman"/>
                <w:b/>
                <w:bCs/>
                <w:color w:val="000000" w:themeColor="text1"/>
                <w14:textFill>
                  <w14:solidFill>
                    <w14:schemeClr w14:val="tx1"/>
                  </w14:solidFill>
                </w14:textFill>
              </w:rPr>
              <w:t>（</w:t>
            </w:r>
            <w:r>
              <w:rPr>
                <w:rFonts w:ascii="Times New Roman" w:hAnsi="Times New Roman" w:eastAsia="宋体" w:cs="Times New Roman"/>
                <w:b/>
                <w:bCs/>
                <w:color w:val="000000" w:themeColor="text1"/>
                <w14:textFill>
                  <w14:solidFill>
                    <w14:schemeClr w14:val="tx1"/>
                  </w14:solidFill>
                </w14:textFill>
              </w:rPr>
              <w:t>Bq/m</w:t>
            </w:r>
            <w:r>
              <w:rPr>
                <w:rFonts w:ascii="Times New Roman" w:hAnsi="Times New Roman" w:eastAsia="宋体" w:cs="Times New Roman"/>
                <w:b/>
                <w:bCs/>
                <w:color w:val="000000" w:themeColor="text1"/>
                <w:vertAlign w:val="superscript"/>
                <w14:textFill>
                  <w14:solidFill>
                    <w14:schemeClr w14:val="tx1"/>
                  </w14:solidFill>
                </w14:textFill>
              </w:rPr>
              <w:t>3</w:t>
            </w:r>
            <w:r>
              <w:rPr>
                <w:rFonts w:hint="eastAsia" w:ascii="Times New Roman" w:hAnsi="Times New Roman" w:eastAsia="宋体" w:cs="Times New Roman"/>
                <w:b/>
                <w:bCs/>
                <w:color w:val="000000" w:themeColor="text1"/>
                <w14:textFill>
                  <w14:solidFill>
                    <w14:schemeClr w14:val="tx1"/>
                  </w14:solidFill>
                </w14:textFill>
              </w:rPr>
              <w:t>）</w:t>
            </w:r>
          </w:p>
        </w:tc>
      </w:tr>
      <w:tr w14:paraId="4238F6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52" w:type="pct"/>
            <w:shd w:val="clear" w:color="auto" w:fill="auto"/>
            <w:vAlign w:val="center"/>
          </w:tcPr>
          <w:p w14:paraId="76654720">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2308" w:type="pct"/>
            <w:shd w:val="clear" w:color="auto" w:fill="auto"/>
            <w:vAlign w:val="center"/>
          </w:tcPr>
          <w:p w14:paraId="2666A0B8">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厂界南侧（室内）</w:t>
            </w:r>
          </w:p>
        </w:tc>
        <w:tc>
          <w:tcPr>
            <w:tcW w:w="1840" w:type="pct"/>
            <w:shd w:val="clear" w:color="auto" w:fill="auto"/>
            <w:vAlign w:val="center"/>
          </w:tcPr>
          <w:p w14:paraId="4A3083B1">
            <w:pPr>
              <w:spacing w:after="0" w:line="240" w:lineRule="auto"/>
              <w:jc w:val="center"/>
              <w:rPr>
                <w:rFonts w:ascii="Times New Roman" w:hAnsi="Times New Roman" w:eastAsia="宋体" w:cs="Times New Roman"/>
                <w:color w:val="000000" w:themeColor="text1"/>
                <w14:textFill>
                  <w14:solidFill>
                    <w14:schemeClr w14:val="tx1"/>
                  </w14:solidFill>
                </w14:textFill>
              </w:rPr>
            </w:pPr>
          </w:p>
        </w:tc>
      </w:tr>
      <w:tr w14:paraId="51A15A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52" w:type="pct"/>
            <w:shd w:val="clear" w:color="auto" w:fill="auto"/>
            <w:vAlign w:val="center"/>
          </w:tcPr>
          <w:p w14:paraId="1E5F9266">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2308" w:type="pct"/>
            <w:shd w:val="clear" w:color="auto" w:fill="auto"/>
            <w:vAlign w:val="center"/>
          </w:tcPr>
          <w:p w14:paraId="53801AAF">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厂界西侧</w:t>
            </w:r>
          </w:p>
        </w:tc>
        <w:tc>
          <w:tcPr>
            <w:tcW w:w="1840" w:type="pct"/>
            <w:shd w:val="clear" w:color="auto" w:fill="auto"/>
            <w:vAlign w:val="center"/>
          </w:tcPr>
          <w:p w14:paraId="748C9E49">
            <w:pPr>
              <w:spacing w:after="0" w:line="240" w:lineRule="auto"/>
              <w:jc w:val="center"/>
              <w:rPr>
                <w:rFonts w:ascii="Times New Roman" w:hAnsi="Times New Roman" w:eastAsia="宋体" w:cs="Times New Roman"/>
                <w:color w:val="000000" w:themeColor="text1"/>
                <w14:textFill>
                  <w14:solidFill>
                    <w14:schemeClr w14:val="tx1"/>
                  </w14:solidFill>
                </w14:textFill>
              </w:rPr>
            </w:pPr>
          </w:p>
        </w:tc>
      </w:tr>
      <w:tr w14:paraId="78B0B5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52" w:type="pct"/>
            <w:shd w:val="clear" w:color="auto" w:fill="auto"/>
            <w:vAlign w:val="center"/>
          </w:tcPr>
          <w:p w14:paraId="360FE2F4">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w:t>
            </w:r>
          </w:p>
        </w:tc>
        <w:tc>
          <w:tcPr>
            <w:tcW w:w="2308" w:type="pct"/>
            <w:shd w:val="clear" w:color="auto" w:fill="auto"/>
            <w:vAlign w:val="center"/>
          </w:tcPr>
          <w:p w14:paraId="1A8269BC">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厂界北侧</w:t>
            </w:r>
          </w:p>
        </w:tc>
        <w:tc>
          <w:tcPr>
            <w:tcW w:w="1840" w:type="pct"/>
            <w:shd w:val="clear" w:color="auto" w:fill="auto"/>
            <w:vAlign w:val="center"/>
          </w:tcPr>
          <w:p w14:paraId="181F0287">
            <w:pPr>
              <w:spacing w:after="0" w:line="240" w:lineRule="auto"/>
              <w:jc w:val="center"/>
              <w:rPr>
                <w:rFonts w:ascii="Times New Roman" w:hAnsi="Times New Roman" w:eastAsia="宋体" w:cs="Times New Roman"/>
                <w:color w:val="000000" w:themeColor="text1"/>
                <w14:textFill>
                  <w14:solidFill>
                    <w14:schemeClr w14:val="tx1"/>
                  </w14:solidFill>
                </w14:textFill>
              </w:rPr>
            </w:pPr>
          </w:p>
        </w:tc>
      </w:tr>
      <w:tr w14:paraId="70735B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52" w:type="pct"/>
            <w:shd w:val="clear" w:color="auto" w:fill="auto"/>
            <w:vAlign w:val="center"/>
          </w:tcPr>
          <w:p w14:paraId="2E2F119E">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4</w:t>
            </w:r>
          </w:p>
        </w:tc>
        <w:tc>
          <w:tcPr>
            <w:tcW w:w="2308" w:type="pct"/>
            <w:shd w:val="clear" w:color="auto" w:fill="auto"/>
            <w:vAlign w:val="center"/>
          </w:tcPr>
          <w:p w14:paraId="5EC39D75">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厂界东侧</w:t>
            </w:r>
          </w:p>
        </w:tc>
        <w:tc>
          <w:tcPr>
            <w:tcW w:w="1840" w:type="pct"/>
            <w:shd w:val="clear" w:color="auto" w:fill="auto"/>
            <w:vAlign w:val="center"/>
          </w:tcPr>
          <w:p w14:paraId="117C8126">
            <w:pPr>
              <w:spacing w:after="0" w:line="240" w:lineRule="auto"/>
              <w:jc w:val="center"/>
              <w:rPr>
                <w:rFonts w:ascii="Times New Roman" w:hAnsi="Times New Roman" w:eastAsia="宋体" w:cs="Times New Roman"/>
                <w:color w:val="000000" w:themeColor="text1"/>
                <w14:textFill>
                  <w14:solidFill>
                    <w14:schemeClr w14:val="tx1"/>
                  </w14:solidFill>
                </w14:textFill>
              </w:rPr>
            </w:pPr>
          </w:p>
        </w:tc>
      </w:tr>
    </w:tbl>
    <w:p w14:paraId="14772B27">
      <w:pPr>
        <w:autoSpaceDE w:val="0"/>
        <w:autoSpaceDN w:val="0"/>
        <w:adjustRightInd w:val="0"/>
        <w:spacing w:after="0" w:line="360" w:lineRule="auto"/>
        <w:ind w:firstLine="480"/>
        <w:jc w:val="both"/>
        <w:rPr>
          <w:rFonts w:ascii="Times New Roman" w:hAnsi="Times New Roman" w:cs="Times New Roman"/>
          <w:color w:val="000000" w:themeColor="text1"/>
          <w:sz w:val="24"/>
          <w:szCs w:val="24"/>
          <w14:textFill>
            <w14:solidFill>
              <w14:schemeClr w14:val="tx1"/>
            </w14:solidFill>
          </w14:textFill>
        </w:rPr>
      </w:pPr>
    </w:p>
    <w:p w14:paraId="3ABF3F53">
      <w:pPr>
        <w:autoSpaceDE w:val="0"/>
        <w:autoSpaceDN w:val="0"/>
        <w:adjustRightInd w:val="0"/>
        <w:spacing w:after="0" w:line="360" w:lineRule="auto"/>
        <w:ind w:firstLine="48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从表3.1-</w:t>
      </w:r>
      <w:r>
        <w:rPr>
          <w:rFonts w:hint="eastAsia" w:ascii="Times New Roman" w:hAnsi="Times New Roman" w:cs="Times New Roman"/>
          <w:color w:val="000000" w:themeColor="text1"/>
          <w:sz w:val="24"/>
          <w:szCs w:val="24"/>
          <w14:textFill>
            <w14:solidFill>
              <w14:schemeClr w14:val="tx1"/>
            </w14:solidFill>
          </w14:textFill>
        </w:rPr>
        <w:t>4</w:t>
      </w:r>
      <w:r>
        <w:rPr>
          <w:rFonts w:ascii="Times New Roman" w:hAnsi="Times New Roman" w:cs="Times New Roman"/>
          <w:color w:val="000000" w:themeColor="text1"/>
          <w:sz w:val="24"/>
          <w:szCs w:val="24"/>
          <w14:textFill>
            <w14:solidFill>
              <w14:schemeClr w14:val="tx1"/>
            </w14:solidFill>
          </w14:textFill>
        </w:rPr>
        <w:t>监测结果可知，</w:t>
      </w:r>
      <w:r>
        <w:rPr>
          <w:rFonts w:hint="eastAsia" w:ascii="Times New Roman" w:hAnsi="Times New Roman" w:cs="Times New Roman"/>
          <w:color w:val="000000" w:themeColor="text1"/>
          <w:sz w:val="24"/>
          <w:szCs w:val="24"/>
          <w14:textFill>
            <w14:solidFill>
              <w14:schemeClr w14:val="tx1"/>
            </w14:solidFill>
          </w14:textFill>
        </w:rPr>
        <w:t>项目</w:t>
      </w:r>
      <w:r>
        <w:rPr>
          <w:rFonts w:ascii="Times New Roman" w:hAnsi="Times New Roman" w:cs="Times New Roman"/>
          <w:color w:val="000000" w:themeColor="text1"/>
          <w:sz w:val="24"/>
          <w:szCs w:val="24"/>
          <w14:textFill>
            <w14:solidFill>
              <w14:schemeClr w14:val="tx1"/>
            </w14:solidFill>
          </w14:textFill>
        </w:rPr>
        <w:t>厂区</w:t>
      </w:r>
      <w:r>
        <w:rPr>
          <w:rFonts w:hint="eastAsia" w:ascii="Times New Roman" w:hAnsi="Times New Roman" w:cs="Times New Roman"/>
          <w:color w:val="000000" w:themeColor="text1"/>
          <w:sz w:val="24"/>
          <w:szCs w:val="24"/>
          <w14:textFill>
            <w14:solidFill>
              <w14:schemeClr w14:val="tx1"/>
            </w14:solidFill>
          </w14:textFill>
        </w:rPr>
        <w:t>周边</w:t>
      </w:r>
      <w:r>
        <w:rPr>
          <w:rFonts w:ascii="Times New Roman" w:hAnsi="Times New Roman" w:cs="Times New Roman"/>
          <w:color w:val="000000" w:themeColor="text1"/>
          <w:sz w:val="24"/>
          <w:szCs w:val="24"/>
          <w14:textFill>
            <w14:solidFill>
              <w14:schemeClr w14:val="tx1"/>
            </w14:solidFill>
          </w14:textFill>
        </w:rPr>
        <w:t>环境空气中氡浓度范围为</w:t>
      </w:r>
      <w:r>
        <w:rPr>
          <w:rFonts w:hint="eastAsia" w:ascii="Times New Roman" w:hAnsi="Times New Roman" w:cs="Times New Roman"/>
          <w:color w:val="000000" w:themeColor="text1"/>
          <w:sz w:val="24"/>
          <w:szCs w:val="24"/>
          <w14:textFill>
            <w14:solidFill>
              <w14:schemeClr w14:val="tx1"/>
            </w14:solidFill>
          </w14:textFill>
        </w:rPr>
        <w:t>27.37</w:t>
      </w:r>
      <w:r>
        <w:rPr>
          <w:rFonts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79.43.</w:t>
      </w:r>
      <w:r>
        <w:rPr>
          <w:rFonts w:ascii="Times New Roman" w:hAnsi="Times New Roman" w:cs="Times New Roman"/>
          <w:color w:val="000000" w:themeColor="text1"/>
          <w:sz w:val="24"/>
          <w:szCs w:val="24"/>
          <w14:textFill>
            <w14:solidFill>
              <w14:schemeClr w14:val="tx1"/>
            </w14:solidFill>
          </w14:textFill>
        </w:rPr>
        <w:t>Bq/m</w:t>
      </w:r>
      <w:r>
        <w:rPr>
          <w:rFonts w:ascii="Times New Roman" w:hAnsi="Times New Roman" w:cs="Times New Roman"/>
          <w:color w:val="000000" w:themeColor="text1"/>
          <w:sz w:val="24"/>
          <w:szCs w:val="24"/>
          <w:vertAlign w:val="superscript"/>
          <w14:textFill>
            <w14:solidFill>
              <w14:schemeClr w14:val="tx1"/>
            </w14:solidFill>
          </w14:textFill>
        </w:rPr>
        <w:t>3</w:t>
      </w:r>
      <w:r>
        <w:rPr>
          <w:rFonts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对比</w:t>
      </w:r>
      <w:r>
        <w:rPr>
          <w:rFonts w:ascii="Times New Roman" w:hAnsi="Times New Roman" w:cs="Times New Roman"/>
          <w:color w:val="000000" w:themeColor="text1"/>
          <w:sz w:val="24"/>
          <w:szCs w:val="24"/>
          <w14:textFill>
            <w14:solidFill>
              <w14:schemeClr w14:val="tx1"/>
            </w14:solidFill>
          </w14:textFill>
        </w:rPr>
        <w:t>《中国环境天然放射性水平》中全国城市空气中氡平均浓度变化范围值（3.3～40.6 Bq/m</w:t>
      </w:r>
      <w:r>
        <w:rPr>
          <w:rFonts w:ascii="Times New Roman" w:hAnsi="Times New Roman" w:cs="Times New Roman"/>
          <w:color w:val="000000" w:themeColor="text1"/>
          <w:sz w:val="24"/>
          <w:szCs w:val="24"/>
          <w:vertAlign w:val="superscript"/>
          <w14:textFill>
            <w14:solidFill>
              <w14:schemeClr w14:val="tx1"/>
            </w14:solidFill>
          </w14:textFill>
        </w:rPr>
        <w:t>3</w:t>
      </w:r>
      <w:r>
        <w:rPr>
          <w:rFonts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，项目厂界西侧、南侧氡浓度</w:t>
      </w:r>
      <w:r>
        <w:rPr>
          <w:rFonts w:hint="eastAsia" w:ascii="Times New Roman" w:hAnsi="Times New Roman" w:cs="Times New Roman"/>
          <w:color w:val="000000" w:themeColor="text1"/>
          <w:sz w:val="24"/>
          <w:szCs w:val="24"/>
          <w:lang w:eastAsia="zh-CN"/>
          <w14:textFill>
            <w14:solidFill>
              <w14:schemeClr w14:val="tx1"/>
            </w14:solidFill>
          </w14:textFill>
        </w:rPr>
        <w:t>高于</w:t>
      </w:r>
      <w:r>
        <w:rPr>
          <w:rFonts w:ascii="Times New Roman" w:hAnsi="Times New Roman" w:cs="Times New Roman"/>
          <w:color w:val="000000" w:themeColor="text1"/>
          <w:sz w:val="24"/>
          <w:szCs w:val="24"/>
          <w14:textFill>
            <w14:solidFill>
              <w14:schemeClr w14:val="tx1"/>
            </w14:solidFill>
          </w14:textFill>
        </w:rPr>
        <w:t>全国城市空气中氡平均浓度</w:t>
      </w:r>
      <w:r>
        <w:rPr>
          <w:rFonts w:hint="eastAsia" w:ascii="Times New Roman" w:hAnsi="Times New Roman" w:cs="Times New Roman"/>
          <w:color w:val="000000" w:themeColor="text1"/>
          <w:sz w:val="24"/>
          <w:szCs w:val="24"/>
          <w14:textFill>
            <w14:solidFill>
              <w14:schemeClr w14:val="tx1"/>
            </w14:solidFill>
          </w14:textFill>
        </w:rPr>
        <w:t>，目前项目尚未建设投运，西面、南面出现氡浓度水平较高的情况</w:t>
      </w:r>
      <w:r>
        <w:rPr>
          <w:rFonts w:hint="eastAsia" w:ascii="Times New Roman" w:hAnsi="Times New Roman"/>
          <w:color w:val="000000" w:themeColor="text1"/>
          <w:sz w:val="24"/>
          <w:szCs w:val="24"/>
          <w:u w:val="single"/>
          <w14:textFill>
            <w14:solidFill>
              <w14:schemeClr w14:val="tx1"/>
            </w14:solidFill>
          </w14:textFill>
        </w:rPr>
        <w:t>可能是受填海区域吹填土土质背景值的影响</w:t>
      </w:r>
      <w:r>
        <w:rPr>
          <w:rFonts w:ascii="Times New Roman" w:hAnsi="Times New Roman" w:cs="Times New Roman"/>
          <w:color w:val="000000" w:themeColor="text1"/>
          <w:sz w:val="24"/>
          <w:szCs w:val="24"/>
          <w:u w:val="single"/>
          <w14:textFill>
            <w14:solidFill>
              <w14:schemeClr w14:val="tx1"/>
            </w14:solidFill>
          </w14:textFill>
        </w:rPr>
        <w:t>。</w:t>
      </w:r>
    </w:p>
    <w:p w14:paraId="55ED29EB">
      <w:pPr>
        <w:pStyle w:val="6"/>
        <w:widowControl w:val="0"/>
        <w:numPr>
          <w:ilvl w:val="3"/>
          <w:numId w:val="1"/>
        </w:numPr>
        <w:spacing w:before="0" w:line="360" w:lineRule="auto"/>
        <w:ind w:left="0" w:firstLine="0"/>
        <w:jc w:val="both"/>
        <w:rPr>
          <w:rFonts w:ascii="Times New Roman" w:hAnsi="Times New Roman" w:eastAsia="黑体" w:cs="Times New Roman"/>
          <w:bCs/>
          <w:i w:val="0"/>
          <w:iCs w:val="0"/>
          <w:color w:val="000000" w:themeColor="text1"/>
          <w:kern w:val="2"/>
          <w:sz w:val="24"/>
          <w14:textFill>
            <w14:solidFill>
              <w14:schemeClr w14:val="tx1"/>
            </w14:solidFill>
          </w14:textFill>
        </w:rPr>
      </w:pPr>
      <w:r>
        <w:rPr>
          <w:rFonts w:ascii="Times New Roman" w:hAnsi="Times New Roman" w:eastAsia="黑体" w:cs="Times New Roman"/>
          <w:bCs/>
          <w:i w:val="0"/>
          <w:iCs w:val="0"/>
          <w:color w:val="000000" w:themeColor="text1"/>
          <w:kern w:val="2"/>
          <w:sz w:val="24"/>
          <w14:textFill>
            <w14:solidFill>
              <w14:schemeClr w14:val="tx1"/>
            </w14:solidFill>
          </w14:textFill>
        </w:rPr>
        <w:t>气溶胶监测结果</w:t>
      </w:r>
    </w:p>
    <w:p w14:paraId="066E0340">
      <w:pPr>
        <w:autoSpaceDE w:val="0"/>
        <w:autoSpaceDN w:val="0"/>
        <w:adjustRightInd w:val="0"/>
        <w:spacing w:after="0" w:line="360" w:lineRule="auto"/>
        <w:ind w:firstLine="48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项目建设场所周围环境地气溶胶结果见表3.1-</w:t>
      </w:r>
      <w:r>
        <w:rPr>
          <w:rFonts w:hint="eastAsia" w:ascii="Times New Roman" w:hAnsi="Times New Roman" w:cs="Times New Roman"/>
          <w:color w:val="000000" w:themeColor="text1"/>
          <w:sz w:val="24"/>
          <w:szCs w:val="24"/>
          <w14:textFill>
            <w14:solidFill>
              <w14:schemeClr w14:val="tx1"/>
            </w14:solidFill>
          </w14:textFill>
        </w:rPr>
        <w:t>5</w:t>
      </w:r>
      <w:r>
        <w:rPr>
          <w:rFonts w:ascii="Times New Roman" w:hAnsi="Times New Roman" w:cs="Times New Roman"/>
          <w:color w:val="000000" w:themeColor="text1"/>
          <w:sz w:val="24"/>
          <w:szCs w:val="24"/>
          <w14:textFill>
            <w14:solidFill>
              <w14:schemeClr w14:val="tx1"/>
            </w14:solidFill>
          </w14:textFill>
        </w:rPr>
        <w:t>。</w:t>
      </w:r>
    </w:p>
    <w:p w14:paraId="130DBDF0">
      <w:pPr>
        <w:widowControl w:val="0"/>
        <w:spacing w:after="0" w:line="360" w:lineRule="auto"/>
        <w:jc w:val="center"/>
        <w:rPr>
          <w:rFonts w:ascii="Times New Roman" w:hAnsi="Times New Roman" w:eastAsia="宋体" w:cs="Times New Roman"/>
          <w:b/>
          <w:bCs/>
          <w:color w:val="000000" w:themeColor="text1"/>
          <w:spacing w:val="-2"/>
          <w:sz w:val="24"/>
          <w:szCs w:val="20"/>
          <w14:textFill>
            <w14:solidFill>
              <w14:schemeClr w14:val="tx1"/>
            </w14:solidFill>
          </w14:textFill>
        </w:rPr>
      </w:pPr>
      <w:r>
        <w:rPr>
          <w:rFonts w:ascii="Times New Roman" w:hAnsi="Times New Roman" w:eastAsia="宋体" w:cs="Times New Roman"/>
          <w:b/>
          <w:bCs/>
          <w:color w:val="000000" w:themeColor="text1"/>
          <w:spacing w:val="-2"/>
          <w:sz w:val="24"/>
          <w:szCs w:val="20"/>
          <w14:textFill>
            <w14:solidFill>
              <w14:schemeClr w14:val="tx1"/>
            </w14:solidFill>
          </w14:textFill>
        </w:rPr>
        <w:t>表3.1-</w:t>
      </w:r>
      <w:r>
        <w:rPr>
          <w:rFonts w:hint="eastAsia" w:ascii="Times New Roman" w:hAnsi="Times New Roman" w:eastAsia="宋体" w:cs="Times New Roman"/>
          <w:b/>
          <w:bCs/>
          <w:color w:val="000000" w:themeColor="text1"/>
          <w:spacing w:val="-2"/>
          <w:sz w:val="24"/>
          <w:szCs w:val="20"/>
          <w14:textFill>
            <w14:solidFill>
              <w14:schemeClr w14:val="tx1"/>
            </w14:solidFill>
          </w14:textFill>
        </w:rPr>
        <w:t>5</w:t>
      </w:r>
      <w:r>
        <w:rPr>
          <w:rFonts w:ascii="Times New Roman" w:hAnsi="Times New Roman" w:eastAsia="宋体" w:cs="Times New Roman"/>
          <w:b/>
          <w:bCs/>
          <w:color w:val="000000" w:themeColor="text1"/>
          <w:spacing w:val="-2"/>
          <w:sz w:val="24"/>
          <w:szCs w:val="20"/>
          <w14:textFill>
            <w14:solidFill>
              <w14:schemeClr w14:val="tx1"/>
            </w14:solidFill>
          </w14:textFill>
        </w:rPr>
        <w:t xml:space="preserve"> 项目建设场所周围环境地气溶胶结果</w:t>
      </w:r>
      <w:r>
        <w:rPr>
          <w:rFonts w:hint="eastAsia" w:ascii="Times New Roman" w:hAnsi="Times New Roman" w:eastAsia="宋体" w:cs="Times New Roman"/>
          <w:b/>
          <w:bCs/>
          <w:color w:val="000000" w:themeColor="text1"/>
          <w:spacing w:val="-2"/>
          <w:sz w:val="24"/>
          <w:szCs w:val="20"/>
          <w14:textFill>
            <w14:solidFill>
              <w14:schemeClr w14:val="tx1"/>
            </w14:solidFill>
          </w14:textFill>
        </w:rPr>
        <w:t xml:space="preserve"> </w:t>
      </w:r>
    </w:p>
    <w:tbl>
      <w:tblPr>
        <w:tblStyle w:val="4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71"/>
        <w:gridCol w:w="2083"/>
        <w:gridCol w:w="1392"/>
        <w:gridCol w:w="1392"/>
        <w:gridCol w:w="1392"/>
        <w:gridCol w:w="1392"/>
      </w:tblGrid>
      <w:tr w14:paraId="159792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1" w:type="pct"/>
            <w:vMerge w:val="restart"/>
            <w:shd w:val="clear" w:color="auto" w:fill="auto"/>
            <w:vAlign w:val="center"/>
          </w:tcPr>
          <w:p w14:paraId="113C6CFE">
            <w:pPr>
              <w:spacing w:after="0" w:line="240" w:lineRule="auto"/>
              <w:jc w:val="center"/>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点位</w:t>
            </w:r>
          </w:p>
        </w:tc>
        <w:tc>
          <w:tcPr>
            <w:tcW w:w="1222" w:type="pct"/>
            <w:vMerge w:val="restart"/>
            <w:shd w:val="clear" w:color="auto" w:fill="auto"/>
            <w:vAlign w:val="center"/>
          </w:tcPr>
          <w:p w14:paraId="562E06B7">
            <w:pPr>
              <w:spacing w:after="0" w:line="240" w:lineRule="auto"/>
              <w:jc w:val="center"/>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点位描述</w:t>
            </w:r>
          </w:p>
        </w:tc>
        <w:tc>
          <w:tcPr>
            <w:tcW w:w="3267" w:type="pct"/>
            <w:gridSpan w:val="4"/>
            <w:shd w:val="clear" w:color="auto" w:fill="auto"/>
            <w:vAlign w:val="center"/>
          </w:tcPr>
          <w:p w14:paraId="3EC48E65">
            <w:pPr>
              <w:spacing w:after="0" w:line="240" w:lineRule="auto"/>
              <w:jc w:val="center"/>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放射性核素含量（mBq/m</w:t>
            </w:r>
            <w:r>
              <w:rPr>
                <w:rFonts w:ascii="Times New Roman" w:hAnsi="Times New Roman" w:eastAsia="宋体" w:cs="Times New Roman"/>
                <w:b/>
                <w:bCs/>
                <w:color w:val="000000" w:themeColor="text1"/>
                <w:vertAlign w:val="superscript"/>
                <w14:textFill>
                  <w14:solidFill>
                    <w14:schemeClr w14:val="tx1"/>
                  </w14:solidFill>
                </w14:textFill>
              </w:rPr>
              <w:t>3</w:t>
            </w:r>
            <w:r>
              <w:rPr>
                <w:rFonts w:ascii="Times New Roman" w:hAnsi="Times New Roman" w:eastAsia="宋体" w:cs="Times New Roman"/>
                <w:b/>
                <w:bCs/>
                <w:color w:val="000000" w:themeColor="text1"/>
                <w14:textFill>
                  <w14:solidFill>
                    <w14:schemeClr w14:val="tx1"/>
                  </w14:solidFill>
                </w14:textFill>
              </w:rPr>
              <w:t>）</w:t>
            </w:r>
          </w:p>
        </w:tc>
      </w:tr>
      <w:tr w14:paraId="26877D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1" w:type="pct"/>
            <w:vMerge w:val="continue"/>
            <w:shd w:val="clear" w:color="auto" w:fill="auto"/>
            <w:vAlign w:val="center"/>
          </w:tcPr>
          <w:p w14:paraId="72DA5D34">
            <w:pPr>
              <w:spacing w:after="0" w:line="240" w:lineRule="auto"/>
              <w:rPr>
                <w:rFonts w:ascii="Times New Roman" w:hAnsi="Times New Roman" w:eastAsia="宋体" w:cs="Times New Roman"/>
                <w:b/>
                <w:bCs/>
                <w:color w:val="000000" w:themeColor="text1"/>
                <w14:textFill>
                  <w14:solidFill>
                    <w14:schemeClr w14:val="tx1"/>
                  </w14:solidFill>
                </w14:textFill>
              </w:rPr>
            </w:pPr>
          </w:p>
        </w:tc>
        <w:tc>
          <w:tcPr>
            <w:tcW w:w="1222" w:type="pct"/>
            <w:vMerge w:val="continue"/>
            <w:shd w:val="clear" w:color="auto" w:fill="auto"/>
            <w:vAlign w:val="center"/>
          </w:tcPr>
          <w:p w14:paraId="3E3697C4">
            <w:pPr>
              <w:spacing w:after="0" w:line="240" w:lineRule="auto"/>
              <w:rPr>
                <w:rFonts w:ascii="Times New Roman" w:hAnsi="Times New Roman" w:eastAsia="宋体" w:cs="Times New Roman"/>
                <w:b/>
                <w:bCs/>
                <w:color w:val="000000" w:themeColor="text1"/>
                <w14:textFill>
                  <w14:solidFill>
                    <w14:schemeClr w14:val="tx1"/>
                  </w14:solidFill>
                </w14:textFill>
              </w:rPr>
            </w:pPr>
          </w:p>
        </w:tc>
        <w:tc>
          <w:tcPr>
            <w:tcW w:w="817" w:type="pct"/>
            <w:shd w:val="clear" w:color="auto" w:fill="auto"/>
            <w:noWrap/>
            <w:vAlign w:val="center"/>
          </w:tcPr>
          <w:p w14:paraId="4F69080E">
            <w:pPr>
              <w:spacing w:after="0" w:line="240" w:lineRule="auto"/>
              <w:jc w:val="center"/>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总α</w:t>
            </w:r>
          </w:p>
        </w:tc>
        <w:tc>
          <w:tcPr>
            <w:tcW w:w="817" w:type="pct"/>
            <w:shd w:val="clear" w:color="auto" w:fill="auto"/>
            <w:noWrap/>
            <w:vAlign w:val="center"/>
          </w:tcPr>
          <w:p w14:paraId="0B66D05D">
            <w:pPr>
              <w:spacing w:after="0" w:line="240" w:lineRule="auto"/>
              <w:jc w:val="center"/>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总β</w:t>
            </w:r>
          </w:p>
        </w:tc>
        <w:tc>
          <w:tcPr>
            <w:tcW w:w="817" w:type="pct"/>
            <w:shd w:val="clear" w:color="auto" w:fill="auto"/>
            <w:noWrap/>
            <w:vAlign w:val="center"/>
          </w:tcPr>
          <w:p w14:paraId="02543A02">
            <w:pPr>
              <w:spacing w:after="0" w:line="240" w:lineRule="auto"/>
              <w:jc w:val="center"/>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bCs/>
                <w:color w:val="000000" w:themeColor="text1"/>
                <w:vertAlign w:val="superscript"/>
                <w14:textFill>
                  <w14:solidFill>
                    <w14:schemeClr w14:val="tx1"/>
                  </w14:solidFill>
                </w14:textFill>
              </w:rPr>
              <w:t>210</w:t>
            </w:r>
            <w:r>
              <w:rPr>
                <w:rFonts w:ascii="Times New Roman" w:hAnsi="Times New Roman" w:eastAsia="宋体" w:cs="Times New Roman"/>
                <w:b/>
                <w:bCs/>
                <w:color w:val="000000" w:themeColor="text1"/>
                <w14:textFill>
                  <w14:solidFill>
                    <w14:schemeClr w14:val="tx1"/>
                  </w14:solidFill>
                </w14:textFill>
              </w:rPr>
              <w:t>Po</w:t>
            </w:r>
          </w:p>
        </w:tc>
        <w:tc>
          <w:tcPr>
            <w:tcW w:w="817" w:type="pct"/>
            <w:shd w:val="clear" w:color="auto" w:fill="auto"/>
            <w:noWrap/>
            <w:vAlign w:val="center"/>
          </w:tcPr>
          <w:p w14:paraId="7442175F">
            <w:pPr>
              <w:spacing w:after="0" w:line="240" w:lineRule="auto"/>
              <w:jc w:val="center"/>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bCs/>
                <w:color w:val="000000" w:themeColor="text1"/>
                <w:vertAlign w:val="superscript"/>
                <w14:textFill>
                  <w14:solidFill>
                    <w14:schemeClr w14:val="tx1"/>
                  </w14:solidFill>
                </w14:textFill>
              </w:rPr>
              <w:t>210</w:t>
            </w:r>
            <w:r>
              <w:rPr>
                <w:rFonts w:ascii="Times New Roman" w:hAnsi="Times New Roman" w:eastAsia="宋体" w:cs="Times New Roman"/>
                <w:b/>
                <w:bCs/>
                <w:color w:val="000000" w:themeColor="text1"/>
                <w14:textFill>
                  <w14:solidFill>
                    <w14:schemeClr w14:val="tx1"/>
                  </w14:solidFill>
                </w14:textFill>
              </w:rPr>
              <w:t>Pb</w:t>
            </w:r>
          </w:p>
        </w:tc>
      </w:tr>
      <w:tr w14:paraId="15F476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1" w:type="pct"/>
            <w:shd w:val="clear" w:color="auto" w:fill="auto"/>
            <w:vAlign w:val="center"/>
          </w:tcPr>
          <w:p w14:paraId="36EBDD29">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1222" w:type="pct"/>
            <w:shd w:val="clear" w:color="auto" w:fill="auto"/>
            <w:vAlign w:val="center"/>
          </w:tcPr>
          <w:p w14:paraId="11904CE8">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厂区北侧</w:t>
            </w:r>
          </w:p>
        </w:tc>
        <w:tc>
          <w:tcPr>
            <w:tcW w:w="817" w:type="pct"/>
            <w:shd w:val="clear" w:color="auto" w:fill="auto"/>
            <w:vAlign w:val="center"/>
          </w:tcPr>
          <w:p w14:paraId="67E3200B">
            <w:pPr>
              <w:spacing w:after="0" w:line="240" w:lineRule="auto"/>
              <w:jc w:val="center"/>
              <w:rPr>
                <w:rFonts w:ascii="Times New Roman" w:hAnsi="Times New Roman" w:eastAsia="宋体" w:cs="Times New Roman"/>
                <w:color w:val="000000" w:themeColor="text1"/>
                <w14:textFill>
                  <w14:solidFill>
                    <w14:schemeClr w14:val="tx1"/>
                  </w14:solidFill>
                </w14:textFill>
              </w:rPr>
            </w:pPr>
          </w:p>
        </w:tc>
        <w:tc>
          <w:tcPr>
            <w:tcW w:w="817" w:type="pct"/>
            <w:shd w:val="clear" w:color="auto" w:fill="auto"/>
            <w:vAlign w:val="center"/>
          </w:tcPr>
          <w:p w14:paraId="0F5135F1">
            <w:pPr>
              <w:spacing w:after="0" w:line="240" w:lineRule="auto"/>
              <w:jc w:val="center"/>
              <w:rPr>
                <w:rFonts w:ascii="Times New Roman" w:hAnsi="Times New Roman" w:eastAsia="宋体" w:cs="Times New Roman"/>
                <w:color w:val="000000" w:themeColor="text1"/>
                <w14:textFill>
                  <w14:solidFill>
                    <w14:schemeClr w14:val="tx1"/>
                  </w14:solidFill>
                </w14:textFill>
              </w:rPr>
            </w:pPr>
          </w:p>
        </w:tc>
        <w:tc>
          <w:tcPr>
            <w:tcW w:w="817" w:type="pct"/>
            <w:shd w:val="clear" w:color="auto" w:fill="auto"/>
            <w:vAlign w:val="center"/>
          </w:tcPr>
          <w:p w14:paraId="398F2043">
            <w:pPr>
              <w:spacing w:after="0" w:line="240" w:lineRule="auto"/>
              <w:jc w:val="center"/>
              <w:rPr>
                <w:rFonts w:ascii="Times New Roman" w:hAnsi="Times New Roman" w:eastAsia="宋体" w:cs="Times New Roman"/>
                <w:color w:val="000000" w:themeColor="text1"/>
                <w14:textFill>
                  <w14:solidFill>
                    <w14:schemeClr w14:val="tx1"/>
                  </w14:solidFill>
                </w14:textFill>
              </w:rPr>
            </w:pPr>
          </w:p>
        </w:tc>
        <w:tc>
          <w:tcPr>
            <w:tcW w:w="817" w:type="pct"/>
            <w:shd w:val="clear" w:color="auto" w:fill="auto"/>
            <w:vAlign w:val="center"/>
          </w:tcPr>
          <w:p w14:paraId="42D58FA5">
            <w:pPr>
              <w:spacing w:after="0" w:line="240" w:lineRule="auto"/>
              <w:jc w:val="center"/>
              <w:rPr>
                <w:rFonts w:ascii="Times New Roman" w:hAnsi="Times New Roman" w:eastAsia="宋体" w:cs="Times New Roman"/>
                <w:color w:val="000000" w:themeColor="text1"/>
                <w14:textFill>
                  <w14:solidFill>
                    <w14:schemeClr w14:val="tx1"/>
                  </w14:solidFill>
                </w14:textFill>
              </w:rPr>
            </w:pPr>
          </w:p>
        </w:tc>
      </w:tr>
    </w:tbl>
    <w:p w14:paraId="5E769443">
      <w:pPr>
        <w:autoSpaceDE w:val="0"/>
        <w:autoSpaceDN w:val="0"/>
        <w:adjustRightInd w:val="0"/>
        <w:spacing w:after="0" w:line="360" w:lineRule="auto"/>
        <w:ind w:firstLine="480"/>
        <w:rPr>
          <w:rFonts w:ascii="Times New Roman" w:hAnsi="Times New Roman" w:cs="Times New Roman"/>
          <w:color w:val="000000" w:themeColor="text1"/>
          <w:sz w:val="24"/>
          <w:szCs w:val="24"/>
          <w14:textFill>
            <w14:solidFill>
              <w14:schemeClr w14:val="tx1"/>
            </w14:solidFill>
          </w14:textFill>
        </w:rPr>
      </w:pPr>
    </w:p>
    <w:p w14:paraId="0622AF87">
      <w:pPr>
        <w:autoSpaceDE w:val="0"/>
        <w:autoSpaceDN w:val="0"/>
        <w:adjustRightInd w:val="0"/>
        <w:spacing w:after="0" w:line="360" w:lineRule="auto"/>
        <w:ind w:firstLine="48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从表3.1-</w:t>
      </w:r>
      <w:r>
        <w:rPr>
          <w:rFonts w:hint="eastAsia" w:ascii="Times New Roman" w:hAnsi="Times New Roman" w:cs="Times New Roman"/>
          <w:color w:val="000000" w:themeColor="text1"/>
          <w:sz w:val="24"/>
          <w:szCs w:val="24"/>
          <w14:textFill>
            <w14:solidFill>
              <w14:schemeClr w14:val="tx1"/>
            </w14:solidFill>
          </w14:textFill>
        </w:rPr>
        <w:t>5</w:t>
      </w:r>
      <w:r>
        <w:rPr>
          <w:rFonts w:ascii="Times New Roman" w:hAnsi="Times New Roman" w:cs="Times New Roman"/>
          <w:color w:val="000000" w:themeColor="text1"/>
          <w:sz w:val="24"/>
          <w:szCs w:val="24"/>
          <w14:textFill>
            <w14:solidFill>
              <w14:schemeClr w14:val="tx1"/>
            </w14:solidFill>
          </w14:textFill>
        </w:rPr>
        <w:t>监测结果可知，气溶胶中的总α</w:t>
      </w: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总β</w:t>
      </w: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vertAlign w:val="superscript"/>
          <w14:textFill>
            <w14:solidFill>
              <w14:schemeClr w14:val="tx1"/>
            </w14:solidFill>
          </w14:textFill>
        </w:rPr>
        <w:t>210</w:t>
      </w:r>
      <w:r>
        <w:rPr>
          <w:rFonts w:ascii="Times New Roman" w:hAnsi="Times New Roman" w:cs="Times New Roman"/>
          <w:color w:val="000000" w:themeColor="text1"/>
          <w:sz w:val="24"/>
          <w:szCs w:val="24"/>
          <w14:textFill>
            <w14:solidFill>
              <w14:schemeClr w14:val="tx1"/>
            </w14:solidFill>
          </w14:textFill>
        </w:rPr>
        <w:t>Po和</w:t>
      </w:r>
      <w:r>
        <w:rPr>
          <w:rFonts w:ascii="Times New Roman" w:hAnsi="Times New Roman" w:cs="Times New Roman"/>
          <w:color w:val="000000" w:themeColor="text1"/>
          <w:sz w:val="24"/>
          <w:szCs w:val="24"/>
          <w:vertAlign w:val="superscript"/>
          <w14:textFill>
            <w14:solidFill>
              <w14:schemeClr w14:val="tx1"/>
            </w14:solidFill>
          </w14:textFill>
        </w:rPr>
        <w:t>210</w:t>
      </w:r>
      <w:r>
        <w:rPr>
          <w:rFonts w:ascii="Times New Roman" w:hAnsi="Times New Roman" w:cs="Times New Roman"/>
          <w:color w:val="000000" w:themeColor="text1"/>
          <w:sz w:val="24"/>
          <w:szCs w:val="24"/>
          <w14:textFill>
            <w14:solidFill>
              <w14:schemeClr w14:val="tx1"/>
            </w14:solidFill>
          </w14:textFill>
        </w:rPr>
        <w:t>Pb的含量极低。</w:t>
      </w:r>
      <w:bookmarkEnd w:id="84"/>
      <w:bookmarkEnd w:id="87"/>
      <w:bookmarkEnd w:id="88"/>
      <w:bookmarkEnd w:id="89"/>
      <w:r>
        <w:rPr>
          <w:rFonts w:hint="eastAsia" w:ascii="Times New Roman" w:hAnsi="Times New Roman" w:cs="Times New Roman"/>
          <w:color w:val="000000" w:themeColor="text1"/>
          <w:sz w:val="24"/>
          <w:szCs w:val="24"/>
          <w14:textFill>
            <w14:solidFill>
              <w14:schemeClr w14:val="tx1"/>
            </w14:solidFill>
          </w14:textFill>
        </w:rPr>
        <w:t xml:space="preserve"> </w:t>
      </w:r>
    </w:p>
    <w:p w14:paraId="7BB471B5">
      <w:pPr>
        <w:pStyle w:val="4"/>
        <w:widowControl w:val="0"/>
        <w:numPr>
          <w:ilvl w:val="1"/>
          <w:numId w:val="1"/>
        </w:numPr>
        <w:spacing w:before="0" w:line="360" w:lineRule="auto"/>
        <w:ind w:left="0" w:firstLine="0"/>
        <w:jc w:val="both"/>
        <w:rPr>
          <w:rFonts w:ascii="Times New Roman" w:hAnsi="Times New Roman" w:eastAsia="黑体" w:cs="Times New Roman"/>
          <w:b/>
          <w:bCs/>
          <w:color w:val="000000" w:themeColor="text1"/>
          <w:kern w:val="2"/>
          <w:sz w:val="28"/>
          <w:szCs w:val="32"/>
          <w14:textFill>
            <w14:solidFill>
              <w14:schemeClr w14:val="tx1"/>
            </w14:solidFill>
          </w14:textFill>
        </w:rPr>
      </w:pPr>
      <w:bookmarkStart w:id="91" w:name="_Toc187653468"/>
      <w:bookmarkStart w:id="92" w:name="_Toc78822661"/>
      <w:r>
        <w:rPr>
          <w:rFonts w:ascii="Times New Roman" w:hAnsi="Times New Roman" w:eastAsia="黑体" w:cs="Times New Roman"/>
          <w:b/>
          <w:bCs/>
          <w:color w:val="000000" w:themeColor="text1"/>
          <w:kern w:val="2"/>
          <w:sz w:val="28"/>
          <w:szCs w:val="32"/>
          <w14:textFill>
            <w14:solidFill>
              <w14:schemeClr w14:val="tx1"/>
            </w14:solidFill>
          </w14:textFill>
        </w:rPr>
        <w:t>辐射环境质量现状分析</w:t>
      </w:r>
      <w:bookmarkEnd w:id="91"/>
      <w:bookmarkEnd w:id="92"/>
    </w:p>
    <w:p w14:paraId="547B1846">
      <w:pPr>
        <w:autoSpaceDE w:val="0"/>
        <w:autoSpaceDN w:val="0"/>
        <w:adjustRightInd w:val="0"/>
        <w:spacing w:after="0" w:line="360" w:lineRule="auto"/>
        <w:ind w:firstLine="480"/>
        <w:rPr>
          <w:rFonts w:ascii="Times New Roman" w:hAnsi="Times New Roman" w:cs="Times New Roman"/>
          <w:color w:val="000000" w:themeColor="text1"/>
          <w:sz w:val="24"/>
          <w:szCs w:val="24"/>
          <w14:textFill>
            <w14:solidFill>
              <w14:schemeClr w14:val="tx1"/>
            </w14:solidFill>
          </w14:textFill>
        </w:rPr>
      </w:pPr>
      <w:bookmarkStart w:id="93" w:name="_Hlk37327514"/>
      <w:bookmarkStart w:id="94" w:name="_Hlk42156137"/>
      <w:r>
        <w:rPr>
          <w:rFonts w:ascii="Times New Roman" w:hAnsi="Times New Roman" w:cs="Times New Roman"/>
          <w:color w:val="000000" w:themeColor="text1"/>
          <w:sz w:val="24"/>
          <w:szCs w:val="24"/>
          <w14:textFill>
            <w14:solidFill>
              <w14:schemeClr w14:val="tx1"/>
            </w14:solidFill>
          </w14:textFill>
        </w:rPr>
        <w:t>现场监测及采集样品分析结果表明，拟建厂址及周围辐射环境质量状况未见异常。</w:t>
      </w:r>
    </w:p>
    <w:p w14:paraId="115F2873">
      <w:pPr>
        <w:autoSpaceDE w:val="0"/>
        <w:autoSpaceDN w:val="0"/>
        <w:adjustRightInd w:val="0"/>
        <w:spacing w:after="0" w:line="360" w:lineRule="auto"/>
        <w:ind w:firstLine="48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（1）</w:t>
      </w:r>
      <w:r>
        <w:rPr>
          <w:rFonts w:ascii="Times New Roman" w:hAnsi="Times New Roman" w:cs="Times New Roman"/>
          <w:color w:val="000000" w:themeColor="text1"/>
          <w:sz w:val="24"/>
          <w:szCs w:val="24"/>
          <w14:textFill>
            <w14:solidFill>
              <w14:schemeClr w14:val="tx1"/>
            </w14:solidFill>
          </w14:textFill>
        </w:rPr>
        <w:t>项目周边环境中γ辐射剂量率与</w:t>
      </w:r>
      <w:r>
        <w:rPr>
          <w:rFonts w:hint="eastAsia" w:ascii="Times New Roman" w:hAnsi="Times New Roman" w:cs="Times New Roman"/>
          <w:color w:val="000000" w:themeColor="text1"/>
          <w:sz w:val="24"/>
          <w:szCs w:val="24"/>
          <w:lang w:eastAsia="zh-CN"/>
          <w14:textFill>
            <w14:solidFill>
              <w14:schemeClr w14:val="tx1"/>
            </w14:solidFill>
          </w14:textFill>
        </w:rPr>
        <w:t>广西壮族自治区</w:t>
      </w:r>
      <w:r>
        <w:rPr>
          <w:rFonts w:ascii="Times New Roman" w:hAnsi="Times New Roman" w:cs="Times New Roman"/>
          <w:color w:val="000000" w:themeColor="text1"/>
          <w:sz w:val="24"/>
          <w:szCs w:val="24"/>
          <w14:textFill>
            <w14:solidFill>
              <w14:schemeClr w14:val="tx1"/>
            </w14:solidFill>
          </w14:textFill>
        </w:rPr>
        <w:t>钦州地区γ辐射剂量率处于同一水平。</w:t>
      </w:r>
    </w:p>
    <w:bookmarkEnd w:id="93"/>
    <w:p w14:paraId="0A9F704A">
      <w:pPr>
        <w:autoSpaceDE w:val="0"/>
        <w:autoSpaceDN w:val="0"/>
        <w:adjustRightInd w:val="0"/>
        <w:spacing w:after="0" w:line="360" w:lineRule="auto"/>
        <w:ind w:firstLine="48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（2）</w:t>
      </w:r>
      <w:r>
        <w:rPr>
          <w:rFonts w:ascii="Times New Roman" w:hAnsi="Times New Roman" w:cs="Times New Roman"/>
          <w:color w:val="000000" w:themeColor="text1"/>
          <w:sz w:val="24"/>
          <w:szCs w:val="24"/>
          <w14:textFill>
            <w14:solidFill>
              <w14:schemeClr w14:val="tx1"/>
            </w14:solidFill>
          </w14:textFill>
        </w:rPr>
        <w:t>项目</w:t>
      </w:r>
      <w:r>
        <w:rPr>
          <w:rFonts w:hint="eastAsia" w:ascii="Times New Roman" w:hAnsi="Times New Roman" w:cs="Times New Roman"/>
          <w:color w:val="000000" w:themeColor="text1"/>
          <w:sz w:val="24"/>
          <w:szCs w:val="24"/>
          <w14:textFill>
            <w14:solidFill>
              <w14:schemeClr w14:val="tx1"/>
            </w14:solidFill>
          </w14:textFill>
        </w:rPr>
        <w:t>西面、南面</w:t>
      </w:r>
      <w:r>
        <w:rPr>
          <w:rFonts w:ascii="Times New Roman" w:hAnsi="Times New Roman" w:cs="Times New Roman"/>
          <w:color w:val="000000" w:themeColor="text1"/>
          <w:sz w:val="24"/>
          <w:szCs w:val="24"/>
          <w14:textFill>
            <w14:solidFill>
              <w14:schemeClr w14:val="tx1"/>
            </w14:solidFill>
          </w14:textFill>
        </w:rPr>
        <w:t>空气中</w:t>
      </w:r>
      <w:r>
        <w:rPr>
          <w:rFonts w:ascii="Times New Roman" w:hAnsi="Times New Roman" w:cs="Times New Roman"/>
          <w:color w:val="000000" w:themeColor="text1"/>
          <w:sz w:val="24"/>
          <w:szCs w:val="24"/>
          <w:vertAlign w:val="superscript"/>
          <w14:textFill>
            <w14:solidFill>
              <w14:schemeClr w14:val="tx1"/>
            </w14:solidFill>
          </w14:textFill>
        </w:rPr>
        <w:t>222</w:t>
      </w:r>
      <w:r>
        <w:rPr>
          <w:rFonts w:ascii="Times New Roman" w:hAnsi="Times New Roman" w:cs="Times New Roman"/>
          <w:color w:val="000000" w:themeColor="text1"/>
          <w:sz w:val="24"/>
          <w:szCs w:val="24"/>
          <w14:textFill>
            <w14:solidFill>
              <w14:schemeClr w14:val="tx1"/>
            </w14:solidFill>
          </w14:textFill>
        </w:rPr>
        <w:t>Rn浓度</w:t>
      </w:r>
      <w:r>
        <w:rPr>
          <w:rFonts w:hint="eastAsia" w:ascii="Times New Roman" w:hAnsi="Times New Roman" w:cs="Times New Roman"/>
          <w:color w:val="000000" w:themeColor="text1"/>
          <w:sz w:val="24"/>
          <w:szCs w:val="24"/>
          <w14:textFill>
            <w14:solidFill>
              <w14:schemeClr w14:val="tx1"/>
            </w14:solidFill>
          </w14:textFill>
        </w:rPr>
        <w:t>出现高于</w:t>
      </w:r>
      <w:r>
        <w:rPr>
          <w:rFonts w:ascii="Times New Roman" w:hAnsi="Times New Roman" w:cs="Times New Roman"/>
          <w:color w:val="000000" w:themeColor="text1"/>
          <w:sz w:val="24"/>
          <w:szCs w:val="24"/>
          <w14:textFill>
            <w14:solidFill>
              <w14:schemeClr w14:val="tx1"/>
            </w14:solidFill>
          </w14:textFill>
        </w:rPr>
        <w:t>《中国环境天然放射性水平》中全国城市空气中氡平均浓度</w:t>
      </w:r>
      <w:r>
        <w:rPr>
          <w:rFonts w:hint="eastAsia" w:ascii="Times New Roman" w:hAnsi="Times New Roman" w:cs="Times New Roman"/>
          <w:color w:val="000000" w:themeColor="text1"/>
          <w:sz w:val="24"/>
          <w:szCs w:val="24"/>
          <w14:textFill>
            <w14:solidFill>
              <w14:schemeClr w14:val="tx1"/>
            </w14:solidFill>
          </w14:textFill>
        </w:rPr>
        <w:t>的情况，可能是受广西钦州保税区创大冷链物流公司3号仓库南部区域生产影响</w:t>
      </w:r>
      <w:r>
        <w:rPr>
          <w:rFonts w:ascii="Times New Roman" w:hAnsi="Times New Roman" w:cs="Times New Roman"/>
          <w:color w:val="000000" w:themeColor="text1"/>
          <w:sz w:val="24"/>
          <w:szCs w:val="24"/>
          <w14:textFill>
            <w14:solidFill>
              <w14:schemeClr w14:val="tx1"/>
            </w14:solidFill>
          </w14:textFill>
        </w:rPr>
        <w:t>。</w:t>
      </w:r>
    </w:p>
    <w:p w14:paraId="21A37651">
      <w:pPr>
        <w:autoSpaceDE w:val="0"/>
        <w:autoSpaceDN w:val="0"/>
        <w:adjustRightInd w:val="0"/>
        <w:spacing w:after="0" w:line="360" w:lineRule="auto"/>
        <w:ind w:firstLine="48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（3）</w:t>
      </w:r>
      <w:r>
        <w:rPr>
          <w:rFonts w:ascii="Times New Roman" w:hAnsi="Times New Roman" w:cs="Times New Roman"/>
          <w:color w:val="000000" w:themeColor="text1"/>
          <w:sz w:val="24"/>
          <w:szCs w:val="24"/>
          <w14:textFill>
            <w14:solidFill>
              <w14:schemeClr w14:val="tx1"/>
            </w14:solidFill>
          </w14:textFill>
        </w:rPr>
        <w:t>气溶胶中核素总α</w:t>
      </w: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总β</w:t>
      </w: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vertAlign w:val="superscript"/>
          <w14:textFill>
            <w14:solidFill>
              <w14:schemeClr w14:val="tx1"/>
            </w14:solidFill>
          </w14:textFill>
        </w:rPr>
        <w:t>210</w:t>
      </w:r>
      <w:r>
        <w:rPr>
          <w:rFonts w:ascii="Times New Roman" w:hAnsi="Times New Roman" w:cs="Times New Roman"/>
          <w:color w:val="000000" w:themeColor="text1"/>
          <w:sz w:val="24"/>
          <w:szCs w:val="24"/>
          <w14:textFill>
            <w14:solidFill>
              <w14:schemeClr w14:val="tx1"/>
            </w14:solidFill>
          </w14:textFill>
        </w:rPr>
        <w:t>Po和</w:t>
      </w:r>
      <w:r>
        <w:rPr>
          <w:rFonts w:ascii="Times New Roman" w:hAnsi="Times New Roman" w:cs="Times New Roman"/>
          <w:color w:val="000000" w:themeColor="text1"/>
          <w:sz w:val="24"/>
          <w:szCs w:val="24"/>
          <w:vertAlign w:val="superscript"/>
          <w14:textFill>
            <w14:solidFill>
              <w14:schemeClr w14:val="tx1"/>
            </w14:solidFill>
          </w14:textFill>
        </w:rPr>
        <w:t>210</w:t>
      </w:r>
      <w:r>
        <w:rPr>
          <w:rFonts w:ascii="Times New Roman" w:hAnsi="Times New Roman" w:cs="Times New Roman"/>
          <w:color w:val="000000" w:themeColor="text1"/>
          <w:sz w:val="24"/>
          <w:szCs w:val="24"/>
          <w14:textFill>
            <w14:solidFill>
              <w14:schemeClr w14:val="tx1"/>
            </w14:solidFill>
          </w14:textFill>
        </w:rPr>
        <w:t>Pb的含量较低。</w:t>
      </w:r>
    </w:p>
    <w:bookmarkEnd w:id="94"/>
    <w:p w14:paraId="1098C9E2">
      <w:pPr>
        <w:autoSpaceDE w:val="0"/>
        <w:autoSpaceDN w:val="0"/>
        <w:adjustRightInd w:val="0"/>
        <w:spacing w:after="0" w:line="360" w:lineRule="auto"/>
        <w:ind w:firstLine="480"/>
        <w:rPr>
          <w:rFonts w:ascii="Times New Roman" w:hAnsi="Times New Roman" w:cs="Times New Roman"/>
          <w:color w:val="000000" w:themeColor="text1"/>
          <w:sz w:val="24"/>
          <w:szCs w:val="24"/>
          <w14:textFill>
            <w14:solidFill>
              <w14:schemeClr w14:val="tx1"/>
            </w14:solidFill>
          </w14:textFill>
        </w:rPr>
      </w:pPr>
    </w:p>
    <w:p w14:paraId="5085AF3A">
      <w:pPr>
        <w:autoSpaceDE w:val="0"/>
        <w:autoSpaceDN w:val="0"/>
        <w:adjustRightInd w:val="0"/>
        <w:spacing w:after="0" w:line="360" w:lineRule="auto"/>
        <w:ind w:firstLine="480"/>
        <w:rPr>
          <w:rFonts w:ascii="Times New Roman" w:hAnsi="Times New Roman" w:cs="Times New Roman"/>
          <w:color w:val="000000" w:themeColor="text1"/>
          <w:sz w:val="24"/>
          <w:szCs w:val="24"/>
          <w14:textFill>
            <w14:solidFill>
              <w14:schemeClr w14:val="tx1"/>
            </w14:solidFill>
          </w14:textFill>
        </w:rPr>
      </w:pPr>
    </w:p>
    <w:p w14:paraId="33A032E4">
      <w:pPr>
        <w:pStyle w:val="3"/>
        <w:rPr>
          <w:rFonts w:ascii="Times New Roman" w:hAnsi="Times New Roman" w:cs="Times New Roman" w:eastAsiaTheme="minorEastAsia"/>
          <w:b/>
          <w:color w:val="000000" w:themeColor="text1"/>
          <w:sz w:val="30"/>
          <w:szCs w:val="30"/>
          <w14:textFill>
            <w14:solidFill>
              <w14:schemeClr w14:val="tx1"/>
            </w14:solidFill>
          </w14:textFill>
        </w:rPr>
        <w:sectPr>
          <w:pgSz w:w="11906" w:h="16838"/>
          <w:pgMar w:top="1440" w:right="1800" w:bottom="1440" w:left="1800" w:header="851" w:footer="992" w:gutter="0"/>
          <w:cols w:space="425" w:num="1"/>
          <w:docGrid w:type="lines" w:linePitch="312" w:charSpace="0"/>
        </w:sectPr>
      </w:pPr>
      <w:bookmarkStart w:id="95" w:name="_Toc78822662"/>
    </w:p>
    <w:p w14:paraId="23CD211B">
      <w:pPr>
        <w:pStyle w:val="3"/>
        <w:widowControl w:val="0"/>
        <w:numPr>
          <w:ilvl w:val="0"/>
          <w:numId w:val="1"/>
        </w:numPr>
        <w:pBdr>
          <w:left w:val="none" w:color="auto" w:sz="0" w:space="0"/>
        </w:pBdr>
        <w:spacing w:before="0" w:after="0" w:line="360" w:lineRule="auto"/>
        <w:ind w:left="0" w:firstLine="0"/>
        <w:jc w:val="both"/>
        <w:rPr>
          <w:rFonts w:ascii="Times New Roman" w:hAnsi="Times New Roman" w:eastAsia="黑体" w:cs="Times New Roman"/>
          <w:b/>
          <w:bCs/>
          <w:caps w:val="0"/>
          <w:color w:val="000000" w:themeColor="text1"/>
          <w:spacing w:val="0"/>
          <w:kern w:val="44"/>
          <w:sz w:val="30"/>
          <w:szCs w:val="44"/>
          <w14:textFill>
            <w14:solidFill>
              <w14:schemeClr w14:val="tx1"/>
            </w14:solidFill>
          </w14:textFill>
        </w:rPr>
      </w:pPr>
      <w:bookmarkStart w:id="96" w:name="_Toc187653469"/>
      <w:r>
        <w:rPr>
          <w:rFonts w:ascii="Times New Roman" w:hAnsi="Times New Roman" w:eastAsia="黑体" w:cs="Times New Roman"/>
          <w:b/>
          <w:bCs/>
          <w:caps w:val="0"/>
          <w:color w:val="000000" w:themeColor="text1"/>
          <w:spacing w:val="0"/>
          <w:kern w:val="44"/>
          <w:sz w:val="30"/>
          <w:szCs w:val="44"/>
          <w14:textFill>
            <w14:solidFill>
              <w14:schemeClr w14:val="tx1"/>
            </w14:solidFill>
          </w14:textFill>
        </w:rPr>
        <w:t>辐射环境影响分析</w:t>
      </w:r>
      <w:bookmarkEnd w:id="95"/>
      <w:bookmarkEnd w:id="96"/>
    </w:p>
    <w:p w14:paraId="0F7BDF34">
      <w:pPr>
        <w:pStyle w:val="4"/>
        <w:widowControl w:val="0"/>
        <w:numPr>
          <w:ilvl w:val="1"/>
          <w:numId w:val="1"/>
        </w:numPr>
        <w:spacing w:before="0" w:line="360" w:lineRule="auto"/>
        <w:ind w:left="0" w:firstLine="0"/>
        <w:jc w:val="both"/>
        <w:rPr>
          <w:rFonts w:ascii="Times New Roman" w:hAnsi="Times New Roman" w:eastAsia="黑体" w:cs="Times New Roman"/>
          <w:b/>
          <w:bCs/>
          <w:color w:val="000000" w:themeColor="text1"/>
          <w:kern w:val="2"/>
          <w:sz w:val="28"/>
          <w:szCs w:val="32"/>
          <w14:textFill>
            <w14:solidFill>
              <w14:schemeClr w14:val="tx1"/>
            </w14:solidFill>
          </w14:textFill>
        </w:rPr>
      </w:pPr>
      <w:bookmarkStart w:id="97" w:name="_Toc187653470"/>
      <w:bookmarkStart w:id="98" w:name="_Toc78822663"/>
      <w:r>
        <w:rPr>
          <w:rFonts w:ascii="Times New Roman" w:hAnsi="Times New Roman" w:eastAsia="黑体" w:cs="Times New Roman"/>
          <w:b/>
          <w:bCs/>
          <w:color w:val="000000" w:themeColor="text1"/>
          <w:kern w:val="2"/>
          <w:sz w:val="28"/>
          <w:szCs w:val="32"/>
          <w14:textFill>
            <w14:solidFill>
              <w14:schemeClr w14:val="tx1"/>
            </w14:solidFill>
          </w14:textFill>
        </w:rPr>
        <w:t>厂址特征参数</w:t>
      </w:r>
      <w:bookmarkEnd w:id="97"/>
      <w:bookmarkEnd w:id="98"/>
    </w:p>
    <w:p w14:paraId="1E2E91EE">
      <w:pPr>
        <w:pStyle w:val="5"/>
        <w:widowControl w:val="0"/>
        <w:numPr>
          <w:ilvl w:val="2"/>
          <w:numId w:val="1"/>
        </w:numPr>
        <w:spacing w:before="0" w:line="360" w:lineRule="auto"/>
        <w:jc w:val="both"/>
        <w:rPr>
          <w:rFonts w:ascii="Times New Roman" w:hAnsi="Times New Roman" w:eastAsia="黑体" w:cs="Times New Roman"/>
          <w:b/>
          <w:bCs/>
          <w:caps w:val="0"/>
          <w:color w:val="000000" w:themeColor="text1"/>
          <w:kern w:val="2"/>
          <w:sz w:val="24"/>
          <w:szCs w:val="32"/>
          <w14:textFill>
            <w14:solidFill>
              <w14:schemeClr w14:val="tx1"/>
            </w14:solidFill>
          </w14:textFill>
        </w:rPr>
      </w:pPr>
      <w:bookmarkStart w:id="99" w:name="_Toc78822664"/>
      <w:r>
        <w:rPr>
          <w:rFonts w:ascii="Times New Roman" w:hAnsi="Times New Roman" w:eastAsia="黑体" w:cs="Times New Roman"/>
          <w:b/>
          <w:bCs/>
          <w:caps w:val="0"/>
          <w:color w:val="000000" w:themeColor="text1"/>
          <w:kern w:val="2"/>
          <w:sz w:val="24"/>
          <w:szCs w:val="32"/>
          <w14:textFill>
            <w14:solidFill>
              <w14:schemeClr w14:val="tx1"/>
            </w14:solidFill>
          </w14:textFill>
        </w:rPr>
        <w:t>气象</w:t>
      </w:r>
      <w:bookmarkEnd w:id="99"/>
      <w:r>
        <w:rPr>
          <w:rFonts w:hint="eastAsia" w:ascii="Times New Roman" w:hAnsi="Times New Roman" w:eastAsia="黑体" w:cs="Times New Roman"/>
          <w:b/>
          <w:bCs/>
          <w:caps w:val="0"/>
          <w:color w:val="000000" w:themeColor="text1"/>
          <w:kern w:val="2"/>
          <w:sz w:val="24"/>
          <w:szCs w:val="32"/>
          <w14:textFill>
            <w14:solidFill>
              <w14:schemeClr w14:val="tx1"/>
            </w14:solidFill>
          </w14:textFill>
        </w:rPr>
        <w:t>与气候</w:t>
      </w:r>
    </w:p>
    <w:p w14:paraId="7BA1083C">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钦州湾属南亚亚热带海洋性季风气候。钦州湾的天气特点是：春季天气多变，多阴雨和强对流天气，偶有春旱；夏季高温多雨，多台风、雷暴；秋季多晴天、少雨，秋旱时有发生；冬季少旱少雨，气温较低。</w:t>
      </w:r>
    </w:p>
    <w:p w14:paraId="6BC5EF83">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（1）气温</w:t>
      </w:r>
    </w:p>
    <w:p w14:paraId="23826F66">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根据钦</w:t>
      </w:r>
      <w:r>
        <w:rPr>
          <w:rFonts w:ascii="Times New Roman" w:hAnsi="Times New Roman" w:eastAsia="宋体" w:cs="Times New Roman"/>
          <w:color w:val="000000" w:themeColor="text1"/>
          <w:spacing w:val="-2"/>
          <w:sz w:val="24"/>
          <w:szCs w:val="20"/>
          <w14:textFill>
            <w14:solidFill>
              <w14:schemeClr w14:val="tx1"/>
            </w14:solidFill>
          </w14:textFill>
        </w:rPr>
        <w:t>州气象站的统计资料（2001年至2020年），钦州气象站累年月平均气温7月气温最高（28.84℃），1月气温最低（14.07℃）。累年极端最高气温为36.8℃，极值出现在2005年7月19日（37.9℃），累年极端最低气温为5.0℃，极值出现在2016年1月24日（1.6℃）。近20年气温无明显变化趋势，2015年年平均气温最高（23.80℃），2011年年平均气温最低（22.20℃），周期为5年。</w:t>
      </w:r>
    </w:p>
    <w:p w14:paraId="5DF86ACE">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（2）降水</w:t>
      </w:r>
    </w:p>
    <w:p w14:paraId="1E263702">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本项目所在的区域雨量充沛，多年平均降水量为2057.7 mm，平均降水日数在169.8 d至135.5 d。降水量的季节变化很大，全年降水量多集中在4～10月份，约占全年雨量的90%，雨量高峰期相对集中在6～8月，这三个月的雨量占全年雨量的57%。据多年钦州市气象站降水资料统计可知，历史年最大降水量为2807.7 mm（1970年），月最大降雨量为848.7mm，一日最大降雨量为313mm（出现在1985年8月28日），一小时降水量最大达99.6mm（1962年6月7日）。年最小降水量为1255.2mm（1977年）。犀牛脚最大年降雨量为2824.7mm（1987年），最少年降雨量为1232.6 mm（1962年）。</w:t>
      </w:r>
    </w:p>
    <w:p w14:paraId="3B18F6DB">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（3）风况</w:t>
      </w:r>
    </w:p>
    <w:p w14:paraId="47C31310">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钦州湾常年盛行风以N为主，S风次之。风向随季节变化明显，9月至次年4月多偏北风，以11月、12月最多；5月至7月多偏南风，以6月、7月最多。常风向为N，频率为22%，强风向为S，频率为13%。夏秋两季（6月至11月）受台风影响，年平均2.4次，最多年份为4次。台风一般由南海进入北部湾，因受到海南岛和雷州半岛的阻挡，风力一般减弱至5-6级，平均每年大于8级的大风日数为12天。多年平均风速2.2m/s，极大风速24.6m/s。</w:t>
      </w:r>
      <w:r>
        <w:rPr>
          <w:rFonts w:ascii="Times New Roman" w:hAnsi="Times New Roman" w:eastAsia="宋体" w:cs="Times New Roman"/>
          <w:color w:val="000000" w:themeColor="text1"/>
          <w:spacing w:val="-2"/>
          <w:sz w:val="24"/>
          <w:szCs w:val="20"/>
          <w14:textFill>
            <w14:solidFill>
              <w14:schemeClr w14:val="tx1"/>
            </w14:solidFill>
          </w14:textFill>
        </w:rPr>
        <w:t xml:space="preserve"> </w:t>
      </w:r>
    </w:p>
    <w:p w14:paraId="21BF2F0C">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（4）相对湿度</w:t>
      </w:r>
    </w:p>
    <w:p w14:paraId="3E7C97DB">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钦州湾的雾以锋面雾和平流雾为主，辐射雾次之。钦州湾的雾日与廉州湾相近，多年平均为13.4d，历年最多雾日达30d，最少为6d。一年中多雾日时段为12月至翌年3月，在此期间月平均雾日为2d至3d。一天中雾主要出现在傍晚至次日清晨。冬春季节，大雾常出现在冷空气南下之前。</w:t>
      </w:r>
    </w:p>
    <w:p w14:paraId="4CDA84C0">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区域相对湿度以春季3月和雨季6～8月为最大，10月到次年1月为相对湿度低值期。多年平均相对湿度为82%，历史最大相对湿度达100%，历史最小相对湿度为22%。</w:t>
      </w:r>
    </w:p>
    <w:p w14:paraId="76238B92">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钦州湾历年平均年蒸发量：1502.9mm，极端最低年蒸发量：1260.5mm。</w:t>
      </w:r>
    </w:p>
    <w:p w14:paraId="4CAE475D">
      <w:pPr>
        <w:pStyle w:val="5"/>
        <w:widowControl w:val="0"/>
        <w:numPr>
          <w:ilvl w:val="2"/>
          <w:numId w:val="1"/>
        </w:numPr>
        <w:spacing w:before="0" w:line="360" w:lineRule="auto"/>
        <w:jc w:val="both"/>
        <w:rPr>
          <w:rFonts w:ascii="Times New Roman" w:hAnsi="Times New Roman" w:eastAsia="黑体" w:cs="Times New Roman"/>
          <w:b/>
          <w:bCs/>
          <w:caps w:val="0"/>
          <w:color w:val="000000" w:themeColor="text1"/>
          <w:kern w:val="2"/>
          <w:sz w:val="24"/>
          <w:szCs w:val="32"/>
          <w14:textFill>
            <w14:solidFill>
              <w14:schemeClr w14:val="tx1"/>
            </w14:solidFill>
          </w14:textFill>
        </w:rPr>
      </w:pPr>
      <w:bookmarkStart w:id="100" w:name="_Toc78822665"/>
      <w:r>
        <w:rPr>
          <w:rFonts w:ascii="Times New Roman" w:hAnsi="Times New Roman" w:eastAsia="黑体" w:cs="Times New Roman"/>
          <w:b/>
          <w:bCs/>
          <w:caps w:val="0"/>
          <w:color w:val="000000" w:themeColor="text1"/>
          <w:kern w:val="2"/>
          <w:sz w:val="24"/>
          <w:szCs w:val="32"/>
          <w14:textFill>
            <w14:solidFill>
              <w14:schemeClr w14:val="tx1"/>
            </w14:solidFill>
          </w14:textFill>
        </w:rPr>
        <w:t>水文</w:t>
      </w:r>
      <w:bookmarkEnd w:id="100"/>
    </w:p>
    <w:p w14:paraId="54F4A735">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（1）潮汐潮流</w:t>
      </w:r>
    </w:p>
    <w:p w14:paraId="48BF6FB9">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钦州湾水域潮汐属不正规全日潮，潮流运动形式为往复流，流向基本与岸线和深槽走向一致，基本沿湾岸流动。涨潮流方向主要为270°～360°之间；落潮流方向在90°～180°之间。根据实测资料，落潮历时大于涨潮历时，夏季大潮落潮历时、涨潮历时分别为13h50min和11h11min，中潮分别为7h50min和6h28min，小潮分别为6h03min和6h07min。冬季大潮分别为14h01min和10h50min，中潮分别为15h09min和9h36min，小潮分别为6h02min和6h20min。多年平均涨潮历时10h29 min，多年平均落潮历时7h47 min。</w:t>
      </w:r>
    </w:p>
    <w:p w14:paraId="732DF361">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落潮平均流速大于涨潮平均流速，其平均比值为1.3。平均流速，自北向南水流强度逐渐减弱。钦州湾内涨潮平均流速为0.08～0.28m/s；落潮平均流速为0.09～0.55m/s。实测最大涨潮流流速83cm/s，流向339；实测最大落潮流速为140cm/s，流向为152，均出现在青菜头附近。</w:t>
      </w:r>
    </w:p>
    <w:p w14:paraId="44DED503">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涨潮流速，呈现从表层至底层逐渐减小的趋势，落潮流速呈现中间最大，表层次之，底层最小的分布趋势，流速垂向的梯度，涨潮大于落潮。</w:t>
      </w:r>
    </w:p>
    <w:p w14:paraId="339EA8D6">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（2）波浪</w:t>
      </w:r>
    </w:p>
    <w:p w14:paraId="68BFDDED">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北部湾海域是一个半封闭海域，西临中南半岛，北面为广西大陆，东、南面分别受雷州半岛和海南掩护，海域掩护条件较好，波动能力相对较弱。根据广西水文局钦州分局设在三娘湾的波浪站（108°46′E，20°36′N）1991年～2002年海浪观测资料，本海区波浪以风浪为主，常浪向为SSW向、频率占17.67%，其次是NNE向、频率为17.2%；强浪向为SSW向，次强浪向为S向和NE向；本海区实测最大波高为3.4m，波向为ESE向；实测最大周期为6.8s。据统计，本区波级小于0.5m的发生频率为66.37%，波高小于1.0m发生频率为96.21%，大于1.5m波高出现频率仅为1.1%。</w:t>
      </w:r>
    </w:p>
    <w:p w14:paraId="23B1B22E">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（3）泥沙</w:t>
      </w:r>
    </w:p>
    <w:p w14:paraId="730D4375">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钦州湾悬沙来源于陆相来沙和海相来沙。</w:t>
      </w:r>
    </w:p>
    <w:p w14:paraId="5EE1DAE9">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陆相来沙数量取决于注入钦州湾的茅岭江和钦江径流输沙量。入湾江河来沙量表现出明显的季节性变化，夏季大冬季小：以注入茅尾海的钦江为例，夏季输沙年均30.14万吨，冬季输沙年均仅为0.52万吨。茅尾海实际上为以钦江、茅岭江为主要入湾径流的共同河口海滨区，入</w:t>
      </w:r>
      <w:r>
        <w:rPr>
          <w:rFonts w:hint="eastAsia" w:ascii="Times New Roman" w:hAnsi="Times New Roman" w:eastAsia="宋体" w:cs="Times New Roman"/>
          <w:color w:val="000000" w:themeColor="text1"/>
          <w:spacing w:val="-2"/>
          <w:sz w:val="24"/>
          <w:szCs w:val="20"/>
          <w:lang w:eastAsia="zh-CN"/>
          <w14:textFill>
            <w14:solidFill>
              <w14:schemeClr w14:val="tx1"/>
            </w14:solidFill>
          </w14:textFill>
        </w:rPr>
        <w:t>湾</w:t>
      </w:r>
      <w:r>
        <w:rPr>
          <w:rFonts w:hint="eastAsia" w:ascii="Times New Roman" w:hAnsi="Times New Roman" w:eastAsia="宋体" w:cs="Times New Roman"/>
          <w:color w:val="000000" w:themeColor="text1"/>
          <w:spacing w:val="-2"/>
          <w:sz w:val="24"/>
          <w:szCs w:val="20"/>
          <w14:textFill>
            <w14:solidFill>
              <w14:schemeClr w14:val="tx1"/>
            </w14:solidFill>
          </w14:textFill>
        </w:rPr>
        <w:t>径流受到潮汐通道的海水顶托并与之混合，所携悬沙大部分沉积在内湾，而不易向外湾及湾外海区扩散。</w:t>
      </w:r>
    </w:p>
    <w:p w14:paraId="1997FCC8">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浅海区域的泥沙以海相来沙为主。夏季盛行偏南风（向岸），波浪掀沙作用在浅海区域较为强烈，在风浪及潮流的共同作用下，形成含沙量较高的水体并使泥沙不断向近岸输移。冬季盛行偏北风（离岸），波浪掀沙作用较弱，水体含沙量明显小于夏季，其值相差一个量级。此外，以潮流脊（槽）体系为主的水下浅滩和近岸浅滩，其床面物质中的细颗粒成份在（风）浪、潮作用下，亦可被掀动并随潮流迁移。</w:t>
      </w:r>
    </w:p>
    <w:p w14:paraId="76C939DA">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在上述风浪、潮流和径流的动力背景下，钦州湾的水体悬移质含量在时空分布上有明显的特点。夏季，径流携沙量大，自茅尾海中部至潮汐通道汇合口，水体含沙量略减（由涨潮时0.090g/L、落潮时0.114g/L，减为涨潮时0.055g/L、落潮时0.078g/L）。据海岸带调查资料，最大含沙量由潮汐通道至外湾近湾顶处几乎不变甚至稍有增大（涨潮时0.058g/L、落潮时0.075g/L）；自外湾湾顶向外（以西水道附近为例）至5m水深处，含沙量又有所增加（底层涨潮时0.065g/L、落潮时0.095g/L）；再向海含沙量又下降且涨潮时比落潮时含沙量大（15m水深处，底层涨潮时0.056g/L、落潮时0.042g/L）。冬季，径流携沙量少，自茅尾海上部至潮汐通道汇合口，水流束窄，水体含沙量略增（由涨潮时0.0070g/L、落潮时0.013g/L，增为涨潮时0.0112g/L、落潮时0.0138g/L），含沙量自潮汐通道向外湾近湾顶处锐减，且涨、落潮含沙量接近（涨潮时0.0013g/L、落潮时0.0016g/L）；自外湾湾顶向外（以西水道附近为例）至5m水深处，含沙量有较大增幅（底层涨潮时0.0023g/L、落潮时0.0080g/L）；再向海含沙量又下降（15m水深处，底层涨潮时0.0009g/L、落潮时0.0044g/L）。</w:t>
      </w:r>
    </w:p>
    <w:p w14:paraId="20BD5F0D">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（4）地表水</w:t>
      </w:r>
    </w:p>
    <w:p w14:paraId="1BF43D22">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钦州境内河流众多，计有大小独流入海河流32条，河流总长2794 km，河网密度为0.6 km/km</w:t>
      </w:r>
      <w:r>
        <w:rPr>
          <w:rFonts w:hint="eastAsia" w:ascii="Times New Roman" w:hAnsi="Times New Roman" w:eastAsia="宋体" w:cs="Times New Roman"/>
          <w:color w:val="000000" w:themeColor="text1"/>
          <w:spacing w:val="-2"/>
          <w:sz w:val="24"/>
          <w:szCs w:val="20"/>
          <w:vertAlign w:val="superscript"/>
          <w14:textFill>
            <w14:solidFill>
              <w14:schemeClr w14:val="tx1"/>
            </w14:solidFill>
          </w14:textFill>
        </w:rPr>
        <w:t>2</w:t>
      </w:r>
      <w:r>
        <w:rPr>
          <w:rFonts w:hint="eastAsia" w:ascii="Times New Roman" w:hAnsi="Times New Roman" w:eastAsia="宋体" w:cs="Times New Roman"/>
          <w:color w:val="000000" w:themeColor="text1"/>
          <w:spacing w:val="-2"/>
          <w:sz w:val="24"/>
          <w:szCs w:val="20"/>
          <w14:textFill>
            <w14:solidFill>
              <w14:schemeClr w14:val="tx1"/>
            </w14:solidFill>
          </w14:textFill>
        </w:rPr>
        <w:t>。流域面积在1800km</w:t>
      </w:r>
      <w:r>
        <w:rPr>
          <w:rFonts w:hint="eastAsia" w:ascii="Times New Roman" w:hAnsi="Times New Roman" w:eastAsia="宋体" w:cs="Times New Roman"/>
          <w:color w:val="000000" w:themeColor="text1"/>
          <w:spacing w:val="-2"/>
          <w:sz w:val="24"/>
          <w:szCs w:val="20"/>
          <w:vertAlign w:val="superscript"/>
          <w14:textFill>
            <w14:solidFill>
              <w14:schemeClr w14:val="tx1"/>
            </w14:solidFill>
          </w14:textFill>
        </w:rPr>
        <w:t>2</w:t>
      </w:r>
      <w:r>
        <w:rPr>
          <w:rFonts w:hint="eastAsia" w:ascii="Times New Roman" w:hAnsi="Times New Roman" w:eastAsia="宋体" w:cs="Times New Roman"/>
          <w:color w:val="000000" w:themeColor="text1"/>
          <w:spacing w:val="-2"/>
          <w:sz w:val="24"/>
          <w:szCs w:val="20"/>
          <w14:textFill>
            <w14:solidFill>
              <w14:schemeClr w14:val="tx1"/>
            </w14:solidFill>
          </w14:textFill>
        </w:rPr>
        <w:t>以上的河流主要有钦江、茅岭江和大风江，均属桂南沿海独流入海水系。三条江在市境内干流总长307.4 km，市内流域面积4164km</w:t>
      </w:r>
      <w:r>
        <w:rPr>
          <w:rFonts w:hint="eastAsia" w:ascii="Times New Roman" w:hAnsi="Times New Roman" w:eastAsia="宋体" w:cs="Times New Roman"/>
          <w:color w:val="000000" w:themeColor="text1"/>
          <w:spacing w:val="-2"/>
          <w:sz w:val="24"/>
          <w:szCs w:val="20"/>
          <w:vertAlign w:val="superscript"/>
          <w14:textFill>
            <w14:solidFill>
              <w14:schemeClr w14:val="tx1"/>
            </w14:solidFill>
          </w14:textFill>
        </w:rPr>
        <w:t>2</w:t>
      </w:r>
      <w:r>
        <w:rPr>
          <w:rFonts w:hint="eastAsia" w:ascii="Times New Roman" w:hAnsi="Times New Roman" w:eastAsia="宋体" w:cs="Times New Roman"/>
          <w:color w:val="000000" w:themeColor="text1"/>
          <w:spacing w:val="-2"/>
          <w:sz w:val="24"/>
          <w:szCs w:val="20"/>
          <w14:textFill>
            <w14:solidFill>
              <w14:schemeClr w14:val="tx1"/>
            </w14:solidFill>
          </w14:textFill>
        </w:rPr>
        <w:t>，年总径流量64.8亿m</w:t>
      </w:r>
      <w:r>
        <w:rPr>
          <w:rFonts w:hint="eastAsia" w:ascii="Times New Roman" w:hAnsi="Times New Roman" w:eastAsia="宋体" w:cs="Times New Roman"/>
          <w:color w:val="000000" w:themeColor="text1"/>
          <w:spacing w:val="-2"/>
          <w:sz w:val="24"/>
          <w:szCs w:val="20"/>
          <w:vertAlign w:val="superscript"/>
          <w14:textFill>
            <w14:solidFill>
              <w14:schemeClr w14:val="tx1"/>
            </w14:solidFill>
          </w14:textFill>
        </w:rPr>
        <w:t>3</w:t>
      </w:r>
      <w:r>
        <w:rPr>
          <w:rFonts w:hint="eastAsia" w:ascii="Times New Roman" w:hAnsi="Times New Roman" w:eastAsia="宋体" w:cs="Times New Roman"/>
          <w:color w:val="000000" w:themeColor="text1"/>
          <w:spacing w:val="-2"/>
          <w:sz w:val="24"/>
          <w:szCs w:val="20"/>
          <w14:textFill>
            <w14:solidFill>
              <w14:schemeClr w14:val="tx1"/>
            </w14:solidFill>
          </w14:textFill>
        </w:rPr>
        <w:t>/年。</w:t>
      </w:r>
    </w:p>
    <w:p w14:paraId="03D9F8CD">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流入钦州湾的河流有钦江、茅岭江、金鼓江、鹿耳环江等。其中，钦江和茅岭江为流入钦州湾的主要河流，且为常年河流，它们分别从东北、西北向汇入钦州湾海域，对钦州湾及其邻近水域的泥沙来源、航道、污染和水文环境等都有重要的影响。金鼓江、鹿耳环江为海岔，其水文状况受海洋潮汐影响极大。项目位于大榄坪海岛内，大榄坪海岛属波状丘陵地貌区，四周均为地表水体环绕，鹿耳环江和金鼓江分别位于东西两侧，项目评价区东面800m为鹿耳环江，鹿耳环江流入钦州湾海域。鹿耳环江属感潮河段，河水明显受钦州湾潮汐影响。</w:t>
      </w:r>
    </w:p>
    <w:p w14:paraId="5C2A93D5">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（5）地下水</w:t>
      </w:r>
    </w:p>
    <w:p w14:paraId="68763788">
      <w:pPr>
        <w:widowControl w:val="0"/>
        <w:spacing w:after="0" w:line="360" w:lineRule="auto"/>
        <w:ind w:firstLine="472" w:firstLineChars="200"/>
        <w:jc w:val="both"/>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项目所在地的广西钦州保税港区用地原为海域，现状地形是经人工吹填砂形成，水文地质条件受吹填施工过程的影响较大，水文地质发展规律与自然地貌形成规律相关性很低，填海区亦无水文地质历史资料。区域的水文地质概况参考目前与填海成陆区相接壤的区域的水文地质资料，根据区域1/20万钦州幅水文地图分析，钦州市地下水类型主要为松散岩类孔隙水、碎屑岩类裂隙孔隙水、泥质粉砂岩类构造裂隙水和基岩裂隙水等四大类型。区域地下水主要为碎屑岩类裂隙孔隙水，地下水补给主要是降雨的垂直补给和地表水侧向补给，其径流排泄总体上是由北向南。</w:t>
      </w:r>
    </w:p>
    <w:p w14:paraId="1A3D3E7D">
      <w:pPr>
        <w:pStyle w:val="5"/>
        <w:widowControl w:val="0"/>
        <w:numPr>
          <w:ilvl w:val="2"/>
          <w:numId w:val="1"/>
        </w:numPr>
        <w:spacing w:before="0" w:line="360" w:lineRule="auto"/>
        <w:jc w:val="both"/>
        <w:rPr>
          <w:rFonts w:ascii="Times New Roman" w:hAnsi="Times New Roman" w:eastAsia="黑体" w:cs="Times New Roman"/>
          <w:b/>
          <w:bCs/>
          <w:caps w:val="0"/>
          <w:color w:val="000000" w:themeColor="text1"/>
          <w:kern w:val="2"/>
          <w:sz w:val="24"/>
          <w:szCs w:val="32"/>
          <w14:textFill>
            <w14:solidFill>
              <w14:schemeClr w14:val="tx1"/>
            </w14:solidFill>
          </w14:textFill>
        </w:rPr>
      </w:pPr>
      <w:bookmarkStart w:id="101" w:name="_Toc78822666"/>
      <w:r>
        <w:rPr>
          <w:rFonts w:ascii="Times New Roman" w:hAnsi="Times New Roman" w:eastAsia="黑体" w:cs="Times New Roman"/>
          <w:b/>
          <w:bCs/>
          <w:caps w:val="0"/>
          <w:color w:val="000000" w:themeColor="text1"/>
          <w:kern w:val="2"/>
          <w:sz w:val="24"/>
          <w:szCs w:val="32"/>
          <w14:textFill>
            <w14:solidFill>
              <w14:schemeClr w14:val="tx1"/>
            </w14:solidFill>
          </w14:textFill>
        </w:rPr>
        <w:t>人口和食谱</w:t>
      </w:r>
      <w:bookmarkEnd w:id="101"/>
    </w:p>
    <w:p w14:paraId="3A931255">
      <w:pPr>
        <w:spacing w:after="0" w:line="360" w:lineRule="auto"/>
        <w:ind w:firstLine="471"/>
        <w:rPr>
          <w:rFonts w:ascii="Times New Roman" w:hAnsi="Times New Roman" w:cs="Times New Roman"/>
          <w:color w:val="000000" w:themeColor="text1"/>
          <w:spacing w:val="-2"/>
          <w:sz w:val="24"/>
          <w:szCs w:val="24"/>
          <w14:textFill>
            <w14:solidFill>
              <w14:schemeClr w14:val="tx1"/>
            </w14:solidFill>
          </w14:textFill>
        </w:rPr>
      </w:pPr>
      <w:r>
        <w:rPr>
          <w:rFonts w:ascii="Times New Roman" w:hAnsi="Times New Roman" w:cs="Times New Roman"/>
          <w:color w:val="000000" w:themeColor="text1"/>
          <w:spacing w:val="-2"/>
          <w:sz w:val="24"/>
          <w:szCs w:val="24"/>
          <w14:textFill>
            <w14:solidFill>
              <w14:schemeClr w14:val="tx1"/>
            </w14:solidFill>
          </w14:textFill>
        </w:rPr>
        <w:t>根据2019年</w:t>
      </w:r>
      <w:r>
        <w:rPr>
          <w:rFonts w:hint="eastAsia" w:ascii="Times New Roman" w:hAnsi="Times New Roman" w:cs="Times New Roman"/>
          <w:color w:val="000000" w:themeColor="text1"/>
          <w:spacing w:val="-2"/>
          <w:sz w:val="24"/>
          <w:szCs w:val="24"/>
          <w:lang w:eastAsia="zh-CN"/>
          <w14:textFill>
            <w14:solidFill>
              <w14:schemeClr w14:val="tx1"/>
            </w14:solidFill>
          </w14:textFill>
        </w:rPr>
        <w:t>广西壮族自治区</w:t>
      </w:r>
      <w:r>
        <w:rPr>
          <w:rFonts w:ascii="Times New Roman" w:hAnsi="Times New Roman" w:cs="Times New Roman"/>
          <w:color w:val="000000" w:themeColor="text1"/>
          <w:spacing w:val="-2"/>
          <w:sz w:val="24"/>
          <w:szCs w:val="24"/>
          <w14:textFill>
            <w14:solidFill>
              <w14:schemeClr w14:val="tx1"/>
            </w14:solidFill>
          </w14:textFill>
        </w:rPr>
        <w:t>统计局数据，区域内人口的年龄结构为：婴儿（≤1岁）2.0%，幼儿（1</w:t>
      </w:r>
      <w:r>
        <w:rPr>
          <w:rFonts w:hint="eastAsia" w:ascii="Times New Roman" w:hAnsi="Times New Roman" w:cs="Times New Roman"/>
          <w:color w:val="000000" w:themeColor="text1"/>
          <w:spacing w:val="-2"/>
          <w:sz w:val="24"/>
          <w:szCs w:val="24"/>
          <w14:textFill>
            <w14:solidFill>
              <w14:schemeClr w14:val="tx1"/>
            </w14:solidFill>
          </w14:textFill>
        </w:rPr>
        <w:t>～</w:t>
      </w:r>
      <w:r>
        <w:rPr>
          <w:rFonts w:ascii="Times New Roman" w:hAnsi="Times New Roman" w:cs="Times New Roman"/>
          <w:color w:val="000000" w:themeColor="text1"/>
          <w:spacing w:val="-2"/>
          <w:sz w:val="24"/>
          <w:szCs w:val="24"/>
          <w14:textFill>
            <w14:solidFill>
              <w14:schemeClr w14:val="tx1"/>
            </w14:solidFill>
          </w14:textFill>
        </w:rPr>
        <w:t>7岁）8.29%，少年（7</w:t>
      </w:r>
      <w:r>
        <w:rPr>
          <w:rFonts w:hint="eastAsia" w:ascii="Times New Roman" w:hAnsi="Times New Roman" w:cs="Times New Roman"/>
          <w:color w:val="000000" w:themeColor="text1"/>
          <w:spacing w:val="-2"/>
          <w:sz w:val="24"/>
          <w:szCs w:val="24"/>
          <w14:textFill>
            <w14:solidFill>
              <w14:schemeClr w14:val="tx1"/>
            </w14:solidFill>
          </w14:textFill>
        </w:rPr>
        <w:t>～</w:t>
      </w:r>
      <w:r>
        <w:rPr>
          <w:rFonts w:ascii="Times New Roman" w:hAnsi="Times New Roman" w:cs="Times New Roman"/>
          <w:color w:val="000000" w:themeColor="text1"/>
          <w:spacing w:val="-2"/>
          <w:sz w:val="24"/>
          <w:szCs w:val="24"/>
          <w14:textFill>
            <w14:solidFill>
              <w14:schemeClr w14:val="tx1"/>
            </w14:solidFill>
          </w14:textFill>
        </w:rPr>
        <w:t>17岁）14.46%，成人（&gt;18岁）75.25%。</w:t>
      </w:r>
    </w:p>
    <w:p w14:paraId="37332750">
      <w:pPr>
        <w:spacing w:after="0" w:line="360" w:lineRule="auto"/>
        <w:ind w:firstLine="471"/>
        <w:rPr>
          <w:rFonts w:ascii="Times New Roman" w:hAnsi="Times New Roman" w:cs="Times New Roman"/>
          <w:color w:val="000000" w:themeColor="text1"/>
          <w:spacing w:val="-2"/>
          <w:sz w:val="24"/>
          <w:szCs w:val="24"/>
          <w14:textFill>
            <w14:solidFill>
              <w14:schemeClr w14:val="tx1"/>
            </w14:solidFill>
          </w14:textFill>
        </w:rPr>
      </w:pPr>
      <w:r>
        <w:rPr>
          <w:rFonts w:ascii="Times New Roman" w:hAnsi="Times New Roman" w:cs="Times New Roman"/>
          <w:color w:val="000000" w:themeColor="text1"/>
          <w:spacing w:val="-2"/>
          <w:sz w:val="24"/>
          <w:szCs w:val="24"/>
          <w14:textFill>
            <w14:solidFill>
              <w14:schemeClr w14:val="tx1"/>
            </w14:solidFill>
          </w14:textFill>
        </w:rPr>
        <w:t>本次评价选取以广西瑞腾贸易有限公司厂区中心为中心，半径1.0km的圆形区域作为评价区。从现场调查得出，本项目评价范围内主要为企业，其人口主要为企业职工，均为成年人，没有婴幼儿和儿童。</w:t>
      </w:r>
    </w:p>
    <w:p w14:paraId="4077F923">
      <w:pPr>
        <w:spacing w:after="0" w:line="360" w:lineRule="auto"/>
        <w:ind w:firstLine="471"/>
        <w:rPr>
          <w:rFonts w:ascii="Times New Roman" w:hAnsi="Times New Roman" w:cs="Times New Roman"/>
          <w:color w:val="000000" w:themeColor="text1"/>
          <w:spacing w:val="-2"/>
          <w:sz w:val="24"/>
          <w:szCs w:val="24"/>
          <w14:textFill>
            <w14:solidFill>
              <w14:schemeClr w14:val="tx1"/>
            </w14:solidFill>
          </w14:textFill>
        </w:rPr>
      </w:pPr>
      <w:r>
        <w:rPr>
          <w:rFonts w:ascii="Times New Roman" w:hAnsi="Times New Roman" w:cs="Times New Roman"/>
          <w:color w:val="000000" w:themeColor="text1"/>
          <w:spacing w:val="-2"/>
          <w:sz w:val="24"/>
          <w:szCs w:val="24"/>
          <w14:textFill>
            <w14:solidFill>
              <w14:schemeClr w14:val="tx1"/>
            </w14:solidFill>
          </w14:textFill>
        </w:rPr>
        <w:t>评价区域内居民主食以大米为主，副食有肉类、鸡蛋、鱼、海鲜及各种蔬菜等。根据环评单位对厂区周围居民点实地调查结果，参考《中国居民膳食指南》（2016年）等统计资料，确定评价区域内人群主要食谱及食物消费量见表4.1-1</w:t>
      </w:r>
      <w:r>
        <w:rPr>
          <w:rFonts w:hint="eastAsia" w:ascii="Times New Roman" w:hAnsi="Times New Roman" w:cs="Times New Roman"/>
          <w:color w:val="000000" w:themeColor="text1"/>
          <w:spacing w:val="-2"/>
          <w:sz w:val="24"/>
          <w:szCs w:val="24"/>
          <w14:textFill>
            <w14:solidFill>
              <w14:schemeClr w14:val="tx1"/>
            </w14:solidFill>
          </w14:textFill>
        </w:rPr>
        <w:t>，与动物产品有关的参数见表4.1-2</w:t>
      </w:r>
      <w:r>
        <w:rPr>
          <w:rFonts w:ascii="Times New Roman" w:hAnsi="Times New Roman" w:cs="Times New Roman"/>
          <w:color w:val="000000" w:themeColor="text1"/>
          <w:spacing w:val="-2"/>
          <w:sz w:val="24"/>
          <w:szCs w:val="24"/>
          <w14:textFill>
            <w14:solidFill>
              <w14:schemeClr w14:val="tx1"/>
            </w14:solidFill>
          </w14:textFill>
        </w:rPr>
        <w:t>。</w:t>
      </w:r>
    </w:p>
    <w:p w14:paraId="559D7BB8">
      <w:pPr>
        <w:widowControl w:val="0"/>
        <w:spacing w:after="0" w:line="360" w:lineRule="auto"/>
        <w:jc w:val="center"/>
        <w:rPr>
          <w:rFonts w:ascii="Times New Roman" w:hAnsi="Times New Roman" w:eastAsia="宋体" w:cs="Times New Roman"/>
          <w:b/>
          <w:bCs/>
          <w:color w:val="000000" w:themeColor="text1"/>
          <w:spacing w:val="-2"/>
          <w:sz w:val="24"/>
          <w:szCs w:val="20"/>
          <w14:textFill>
            <w14:solidFill>
              <w14:schemeClr w14:val="tx1"/>
            </w14:solidFill>
          </w14:textFill>
        </w:rPr>
      </w:pPr>
      <w:r>
        <w:rPr>
          <w:rFonts w:ascii="Times New Roman" w:hAnsi="Times New Roman" w:eastAsia="宋体" w:cs="Times New Roman"/>
          <w:b/>
          <w:bCs/>
          <w:color w:val="000000" w:themeColor="text1"/>
          <w:spacing w:val="-2"/>
          <w:sz w:val="24"/>
          <w:szCs w:val="20"/>
          <w14:textFill>
            <w14:solidFill>
              <w14:schemeClr w14:val="tx1"/>
            </w14:solidFill>
          </w14:textFill>
        </w:rPr>
        <w:t>表4.1-1  各年龄组对食物的消费量及自给份额</w:t>
      </w:r>
    </w:p>
    <w:tbl>
      <w:tblPr>
        <w:tblStyle w:val="46"/>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28"/>
        <w:gridCol w:w="1217"/>
        <w:gridCol w:w="772"/>
        <w:gridCol w:w="772"/>
        <w:gridCol w:w="772"/>
        <w:gridCol w:w="772"/>
        <w:gridCol w:w="772"/>
        <w:gridCol w:w="772"/>
        <w:gridCol w:w="772"/>
        <w:gridCol w:w="773"/>
      </w:tblGrid>
      <w:tr w14:paraId="243364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76" w:type="pct"/>
            <w:gridSpan w:val="2"/>
            <w:vAlign w:val="center"/>
          </w:tcPr>
          <w:p w14:paraId="15A0310A">
            <w:pPr>
              <w:pStyle w:val="242"/>
              <w:rPr>
                <w:rFonts w:ascii="Times New Roman" w:hAnsi="Times New Roman" w:eastAsia="宋体" w:cs="Times New Roman"/>
                <w:b/>
                <w:color w:val="000000" w:themeColor="text1"/>
                <w:szCs w:val="21"/>
                <w:lang w:val="zh-CN"/>
                <w14:textFill>
                  <w14:solidFill>
                    <w14:schemeClr w14:val="tx1"/>
                  </w14:solidFill>
                </w14:textFill>
              </w:rPr>
            </w:pPr>
            <w:r>
              <w:rPr>
                <w:rFonts w:ascii="Times New Roman" w:hAnsi="Times New Roman" w:eastAsia="宋体" w:cs="Times New Roman"/>
                <w:b/>
                <w:color w:val="000000" w:themeColor="text1"/>
                <w:szCs w:val="21"/>
                <w:lang w:val="zh-CN"/>
                <w14:textFill>
                  <w14:solidFill>
                    <w14:schemeClr w14:val="tx1"/>
                  </w14:solidFill>
                </w14:textFill>
              </w:rPr>
              <w:t>食物种类</w:t>
            </w:r>
          </w:p>
        </w:tc>
        <w:tc>
          <w:tcPr>
            <w:tcW w:w="453" w:type="pct"/>
            <w:vAlign w:val="center"/>
          </w:tcPr>
          <w:p w14:paraId="3D861563">
            <w:pPr>
              <w:pStyle w:val="242"/>
              <w:rPr>
                <w:rFonts w:ascii="Times New Roman" w:hAnsi="Times New Roman" w:eastAsia="宋体" w:cs="Times New Roman"/>
                <w:b/>
                <w:color w:val="000000" w:themeColor="text1"/>
                <w:szCs w:val="21"/>
                <w:lang w:val="zh-CN"/>
                <w14:textFill>
                  <w14:solidFill>
                    <w14:schemeClr w14:val="tx1"/>
                  </w14:solidFill>
                </w14:textFill>
              </w:rPr>
            </w:pPr>
            <w:r>
              <w:rPr>
                <w:rFonts w:ascii="Times New Roman" w:hAnsi="Times New Roman" w:eastAsia="宋体" w:cs="Times New Roman"/>
                <w:b/>
                <w:color w:val="000000" w:themeColor="text1"/>
                <w:szCs w:val="21"/>
                <w:lang w:val="zh-CN"/>
                <w14:textFill>
                  <w14:solidFill>
                    <w14:schemeClr w14:val="tx1"/>
                  </w14:solidFill>
                </w14:textFill>
              </w:rPr>
              <w:t>谷物</w:t>
            </w:r>
          </w:p>
        </w:tc>
        <w:tc>
          <w:tcPr>
            <w:tcW w:w="453" w:type="pct"/>
            <w:vAlign w:val="center"/>
          </w:tcPr>
          <w:p w14:paraId="5BEF5F1D">
            <w:pPr>
              <w:pStyle w:val="242"/>
              <w:rPr>
                <w:rFonts w:ascii="Times New Roman" w:hAnsi="Times New Roman" w:eastAsia="宋体" w:cs="Times New Roman"/>
                <w:b/>
                <w:color w:val="000000" w:themeColor="text1"/>
                <w:szCs w:val="21"/>
                <w:lang w:val="zh-CN"/>
                <w14:textFill>
                  <w14:solidFill>
                    <w14:schemeClr w14:val="tx1"/>
                  </w14:solidFill>
                </w14:textFill>
              </w:rPr>
            </w:pPr>
            <w:r>
              <w:rPr>
                <w:rFonts w:ascii="Times New Roman" w:hAnsi="Times New Roman" w:eastAsia="宋体" w:cs="Times New Roman"/>
                <w:b/>
                <w:color w:val="000000" w:themeColor="text1"/>
                <w:szCs w:val="21"/>
                <w:lang w:val="zh-CN"/>
                <w14:textFill>
                  <w14:solidFill>
                    <w14:schemeClr w14:val="tx1"/>
                  </w14:solidFill>
                </w14:textFill>
              </w:rPr>
              <w:t>蔬菜</w:t>
            </w:r>
          </w:p>
        </w:tc>
        <w:tc>
          <w:tcPr>
            <w:tcW w:w="453" w:type="pct"/>
            <w:vAlign w:val="center"/>
          </w:tcPr>
          <w:p w14:paraId="0920C7CF">
            <w:pPr>
              <w:pStyle w:val="242"/>
              <w:rPr>
                <w:rFonts w:ascii="Times New Roman" w:hAnsi="Times New Roman" w:eastAsia="宋体" w:cs="Times New Roman"/>
                <w:b/>
                <w:color w:val="000000" w:themeColor="text1"/>
                <w:szCs w:val="21"/>
                <w:lang w:val="zh-CN"/>
                <w14:textFill>
                  <w14:solidFill>
                    <w14:schemeClr w14:val="tx1"/>
                  </w14:solidFill>
                </w14:textFill>
              </w:rPr>
            </w:pPr>
            <w:r>
              <w:rPr>
                <w:rFonts w:ascii="Times New Roman" w:hAnsi="Times New Roman" w:eastAsia="宋体" w:cs="Times New Roman"/>
                <w:b/>
                <w:color w:val="000000" w:themeColor="text1"/>
                <w:szCs w:val="21"/>
                <w:lang w:val="zh-CN"/>
                <w14:textFill>
                  <w14:solidFill>
                    <w14:schemeClr w14:val="tx1"/>
                  </w14:solidFill>
                </w14:textFill>
              </w:rPr>
              <w:t>水果</w:t>
            </w:r>
          </w:p>
        </w:tc>
        <w:tc>
          <w:tcPr>
            <w:tcW w:w="453" w:type="pct"/>
            <w:vAlign w:val="center"/>
          </w:tcPr>
          <w:p w14:paraId="499E15BB">
            <w:pPr>
              <w:pStyle w:val="242"/>
              <w:rPr>
                <w:rFonts w:ascii="Times New Roman" w:hAnsi="Times New Roman" w:eastAsia="宋体" w:cs="Times New Roman"/>
                <w:b/>
                <w:color w:val="000000" w:themeColor="text1"/>
                <w:szCs w:val="21"/>
                <w:lang w:val="zh-CN"/>
                <w14:textFill>
                  <w14:solidFill>
                    <w14:schemeClr w14:val="tx1"/>
                  </w14:solidFill>
                </w14:textFill>
              </w:rPr>
            </w:pPr>
            <w:r>
              <w:rPr>
                <w:rFonts w:ascii="Times New Roman" w:hAnsi="Times New Roman" w:eastAsia="宋体" w:cs="Times New Roman"/>
                <w:b/>
                <w:color w:val="000000" w:themeColor="text1"/>
                <w:szCs w:val="21"/>
                <w:lang w:val="zh-CN"/>
                <w14:textFill>
                  <w14:solidFill>
                    <w14:schemeClr w14:val="tx1"/>
                  </w14:solidFill>
                </w14:textFill>
              </w:rPr>
              <w:t>肉类</w:t>
            </w:r>
          </w:p>
        </w:tc>
        <w:tc>
          <w:tcPr>
            <w:tcW w:w="453" w:type="pct"/>
            <w:vAlign w:val="center"/>
          </w:tcPr>
          <w:p w14:paraId="50B4965A">
            <w:pPr>
              <w:pStyle w:val="242"/>
              <w:rPr>
                <w:rFonts w:ascii="Times New Roman" w:hAnsi="Times New Roman" w:eastAsia="宋体" w:cs="Times New Roman"/>
                <w:b/>
                <w:color w:val="000000" w:themeColor="text1"/>
                <w:szCs w:val="21"/>
                <w:lang w:val="zh-CN"/>
                <w14:textFill>
                  <w14:solidFill>
                    <w14:schemeClr w14:val="tx1"/>
                  </w14:solidFill>
                </w14:textFill>
              </w:rPr>
            </w:pPr>
            <w:r>
              <w:rPr>
                <w:rFonts w:ascii="Times New Roman" w:hAnsi="Times New Roman" w:eastAsia="宋体" w:cs="Times New Roman"/>
                <w:b/>
                <w:color w:val="000000" w:themeColor="text1"/>
                <w:szCs w:val="21"/>
                <w:lang w:val="zh-CN"/>
                <w14:textFill>
                  <w14:solidFill>
                    <w14:schemeClr w14:val="tx1"/>
                  </w14:solidFill>
                </w14:textFill>
              </w:rPr>
              <w:t>海鲜</w:t>
            </w:r>
          </w:p>
        </w:tc>
        <w:tc>
          <w:tcPr>
            <w:tcW w:w="453" w:type="pct"/>
            <w:vAlign w:val="center"/>
          </w:tcPr>
          <w:p w14:paraId="3AF8D85B">
            <w:pPr>
              <w:pStyle w:val="242"/>
              <w:rPr>
                <w:rFonts w:ascii="Times New Roman" w:hAnsi="Times New Roman" w:eastAsia="宋体" w:cs="Times New Roman"/>
                <w:b/>
                <w:color w:val="000000" w:themeColor="text1"/>
                <w:szCs w:val="21"/>
                <w:lang w:val="zh-CN"/>
                <w14:textFill>
                  <w14:solidFill>
                    <w14:schemeClr w14:val="tx1"/>
                  </w14:solidFill>
                </w14:textFill>
              </w:rPr>
            </w:pPr>
            <w:r>
              <w:rPr>
                <w:rFonts w:ascii="Times New Roman" w:hAnsi="Times New Roman" w:eastAsia="宋体" w:cs="Times New Roman"/>
                <w:b/>
                <w:color w:val="000000" w:themeColor="text1"/>
                <w:szCs w:val="21"/>
                <w:lang w:val="zh-CN"/>
                <w14:textFill>
                  <w14:solidFill>
                    <w14:schemeClr w14:val="tx1"/>
                  </w14:solidFill>
                </w14:textFill>
              </w:rPr>
              <w:t>家禽</w:t>
            </w:r>
          </w:p>
        </w:tc>
        <w:tc>
          <w:tcPr>
            <w:tcW w:w="453" w:type="pct"/>
            <w:vAlign w:val="center"/>
          </w:tcPr>
          <w:p w14:paraId="7790F6D8">
            <w:pPr>
              <w:pStyle w:val="242"/>
              <w:rPr>
                <w:rFonts w:ascii="Times New Roman" w:hAnsi="Times New Roman" w:eastAsia="宋体" w:cs="Times New Roman"/>
                <w:b/>
                <w:color w:val="000000" w:themeColor="text1"/>
                <w:szCs w:val="21"/>
                <w:lang w:val="zh-CN"/>
                <w14:textFill>
                  <w14:solidFill>
                    <w14:schemeClr w14:val="tx1"/>
                  </w14:solidFill>
                </w14:textFill>
              </w:rPr>
            </w:pPr>
            <w:r>
              <w:rPr>
                <w:rFonts w:ascii="Times New Roman" w:hAnsi="Times New Roman" w:eastAsia="宋体" w:cs="Times New Roman"/>
                <w:b/>
                <w:color w:val="000000" w:themeColor="text1"/>
                <w:szCs w:val="21"/>
                <w:lang w:val="zh-CN"/>
                <w14:textFill>
                  <w14:solidFill>
                    <w14:schemeClr w14:val="tx1"/>
                  </w14:solidFill>
                </w14:textFill>
              </w:rPr>
              <w:t>蛋</w:t>
            </w:r>
          </w:p>
        </w:tc>
        <w:tc>
          <w:tcPr>
            <w:tcW w:w="453" w:type="pct"/>
            <w:vAlign w:val="center"/>
          </w:tcPr>
          <w:p w14:paraId="0F5AA9DE">
            <w:pPr>
              <w:pStyle w:val="242"/>
              <w:rPr>
                <w:rFonts w:ascii="Times New Roman" w:hAnsi="Times New Roman" w:eastAsia="宋体" w:cs="Times New Roman"/>
                <w:b/>
                <w:color w:val="000000" w:themeColor="text1"/>
                <w:szCs w:val="21"/>
                <w:lang w:val="zh-CN"/>
                <w14:textFill>
                  <w14:solidFill>
                    <w14:schemeClr w14:val="tx1"/>
                  </w14:solidFill>
                </w14:textFill>
              </w:rPr>
            </w:pPr>
            <w:r>
              <w:rPr>
                <w:rFonts w:ascii="Times New Roman" w:hAnsi="Times New Roman" w:eastAsia="宋体" w:cs="Times New Roman"/>
                <w:b/>
                <w:color w:val="000000" w:themeColor="text1"/>
                <w:szCs w:val="21"/>
                <w:lang w:val="zh-CN"/>
                <w14:textFill>
                  <w14:solidFill>
                    <w14:schemeClr w14:val="tx1"/>
                  </w14:solidFill>
                </w14:textFill>
              </w:rPr>
              <w:t>奶</w:t>
            </w:r>
          </w:p>
        </w:tc>
      </w:tr>
      <w:tr w14:paraId="1BCB6C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62" w:type="pct"/>
            <w:vMerge w:val="restart"/>
            <w:vAlign w:val="center"/>
          </w:tcPr>
          <w:p w14:paraId="62A7D95D">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消费量（kg/a）</w:t>
            </w:r>
          </w:p>
        </w:tc>
        <w:tc>
          <w:tcPr>
            <w:tcW w:w="714" w:type="pct"/>
            <w:vAlign w:val="center"/>
          </w:tcPr>
          <w:p w14:paraId="5C4AA810">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幼儿</w:t>
            </w:r>
          </w:p>
        </w:tc>
        <w:tc>
          <w:tcPr>
            <w:tcW w:w="453" w:type="pct"/>
            <w:vAlign w:val="center"/>
          </w:tcPr>
          <w:p w14:paraId="371E6181">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60</w:t>
            </w:r>
          </w:p>
        </w:tc>
        <w:tc>
          <w:tcPr>
            <w:tcW w:w="453" w:type="pct"/>
            <w:vAlign w:val="center"/>
          </w:tcPr>
          <w:p w14:paraId="238F56B9">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55</w:t>
            </w:r>
          </w:p>
        </w:tc>
        <w:tc>
          <w:tcPr>
            <w:tcW w:w="453" w:type="pct"/>
            <w:vAlign w:val="center"/>
          </w:tcPr>
          <w:p w14:paraId="4CFECE46">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15</w:t>
            </w:r>
          </w:p>
        </w:tc>
        <w:tc>
          <w:tcPr>
            <w:tcW w:w="453" w:type="pct"/>
            <w:vAlign w:val="center"/>
          </w:tcPr>
          <w:p w14:paraId="663C2FD0">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8</w:t>
            </w:r>
          </w:p>
        </w:tc>
        <w:tc>
          <w:tcPr>
            <w:tcW w:w="453" w:type="pct"/>
            <w:vAlign w:val="center"/>
          </w:tcPr>
          <w:p w14:paraId="2E033D58">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6</w:t>
            </w:r>
          </w:p>
        </w:tc>
        <w:tc>
          <w:tcPr>
            <w:tcW w:w="453" w:type="pct"/>
            <w:vAlign w:val="center"/>
          </w:tcPr>
          <w:p w14:paraId="4D551955">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5</w:t>
            </w:r>
          </w:p>
        </w:tc>
        <w:tc>
          <w:tcPr>
            <w:tcW w:w="453" w:type="pct"/>
            <w:vAlign w:val="center"/>
          </w:tcPr>
          <w:p w14:paraId="54B9ACD7">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10</w:t>
            </w:r>
          </w:p>
        </w:tc>
        <w:tc>
          <w:tcPr>
            <w:tcW w:w="453" w:type="pct"/>
            <w:vAlign w:val="center"/>
          </w:tcPr>
          <w:p w14:paraId="7228A193">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20</w:t>
            </w:r>
          </w:p>
        </w:tc>
      </w:tr>
      <w:tr w14:paraId="6F3067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62" w:type="pct"/>
            <w:vMerge w:val="continue"/>
            <w:vAlign w:val="center"/>
          </w:tcPr>
          <w:p w14:paraId="6616093C">
            <w:pPr>
              <w:pStyle w:val="242"/>
              <w:rPr>
                <w:rFonts w:ascii="Times New Roman" w:hAnsi="Times New Roman" w:eastAsia="宋体" w:cs="Times New Roman"/>
                <w:color w:val="000000" w:themeColor="text1"/>
                <w:szCs w:val="21"/>
                <w:lang w:val="zh-CN"/>
                <w14:textFill>
                  <w14:solidFill>
                    <w14:schemeClr w14:val="tx1"/>
                  </w14:solidFill>
                </w14:textFill>
              </w:rPr>
            </w:pPr>
          </w:p>
        </w:tc>
        <w:tc>
          <w:tcPr>
            <w:tcW w:w="714" w:type="pct"/>
            <w:vAlign w:val="center"/>
          </w:tcPr>
          <w:p w14:paraId="766D2673">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少年</w:t>
            </w:r>
          </w:p>
        </w:tc>
        <w:tc>
          <w:tcPr>
            <w:tcW w:w="453" w:type="pct"/>
            <w:vAlign w:val="center"/>
          </w:tcPr>
          <w:p w14:paraId="5468F9F2">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150</w:t>
            </w:r>
          </w:p>
        </w:tc>
        <w:tc>
          <w:tcPr>
            <w:tcW w:w="453" w:type="pct"/>
            <w:vAlign w:val="center"/>
          </w:tcPr>
          <w:p w14:paraId="5A498F9B">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90</w:t>
            </w:r>
          </w:p>
        </w:tc>
        <w:tc>
          <w:tcPr>
            <w:tcW w:w="453" w:type="pct"/>
            <w:vAlign w:val="center"/>
          </w:tcPr>
          <w:p w14:paraId="53170D37">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20</w:t>
            </w:r>
          </w:p>
        </w:tc>
        <w:tc>
          <w:tcPr>
            <w:tcW w:w="453" w:type="pct"/>
            <w:vAlign w:val="center"/>
          </w:tcPr>
          <w:p w14:paraId="3662E401">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12</w:t>
            </w:r>
          </w:p>
        </w:tc>
        <w:tc>
          <w:tcPr>
            <w:tcW w:w="453" w:type="pct"/>
            <w:vAlign w:val="center"/>
          </w:tcPr>
          <w:p w14:paraId="0AD1B8DB">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16</w:t>
            </w:r>
          </w:p>
        </w:tc>
        <w:tc>
          <w:tcPr>
            <w:tcW w:w="453" w:type="pct"/>
            <w:vAlign w:val="center"/>
          </w:tcPr>
          <w:p w14:paraId="2AAD6FC5">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8</w:t>
            </w:r>
          </w:p>
        </w:tc>
        <w:tc>
          <w:tcPr>
            <w:tcW w:w="453" w:type="pct"/>
            <w:vAlign w:val="center"/>
          </w:tcPr>
          <w:p w14:paraId="5AA5939C">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12</w:t>
            </w:r>
          </w:p>
        </w:tc>
        <w:tc>
          <w:tcPr>
            <w:tcW w:w="453" w:type="pct"/>
            <w:vAlign w:val="center"/>
          </w:tcPr>
          <w:p w14:paraId="1D1CA69C">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16</w:t>
            </w:r>
          </w:p>
        </w:tc>
      </w:tr>
      <w:tr w14:paraId="6A5A8E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62" w:type="pct"/>
            <w:vMerge w:val="continue"/>
            <w:vAlign w:val="center"/>
          </w:tcPr>
          <w:p w14:paraId="2EFE344C">
            <w:pPr>
              <w:pStyle w:val="242"/>
              <w:rPr>
                <w:rFonts w:ascii="Times New Roman" w:hAnsi="Times New Roman" w:eastAsia="宋体" w:cs="Times New Roman"/>
                <w:color w:val="000000" w:themeColor="text1"/>
                <w:szCs w:val="21"/>
                <w:lang w:val="zh-CN"/>
                <w14:textFill>
                  <w14:solidFill>
                    <w14:schemeClr w14:val="tx1"/>
                  </w14:solidFill>
                </w14:textFill>
              </w:rPr>
            </w:pPr>
          </w:p>
        </w:tc>
        <w:tc>
          <w:tcPr>
            <w:tcW w:w="714" w:type="pct"/>
            <w:vAlign w:val="center"/>
          </w:tcPr>
          <w:p w14:paraId="69290905">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成人</w:t>
            </w:r>
          </w:p>
        </w:tc>
        <w:tc>
          <w:tcPr>
            <w:tcW w:w="453" w:type="pct"/>
            <w:vAlign w:val="center"/>
          </w:tcPr>
          <w:p w14:paraId="664BF49B">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180</w:t>
            </w:r>
          </w:p>
        </w:tc>
        <w:tc>
          <w:tcPr>
            <w:tcW w:w="453" w:type="pct"/>
            <w:vAlign w:val="center"/>
          </w:tcPr>
          <w:p w14:paraId="0AF3DED0">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135</w:t>
            </w:r>
          </w:p>
        </w:tc>
        <w:tc>
          <w:tcPr>
            <w:tcW w:w="453" w:type="pct"/>
            <w:vAlign w:val="center"/>
          </w:tcPr>
          <w:p w14:paraId="48B798BF">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18</w:t>
            </w:r>
          </w:p>
        </w:tc>
        <w:tc>
          <w:tcPr>
            <w:tcW w:w="453" w:type="pct"/>
            <w:vAlign w:val="center"/>
          </w:tcPr>
          <w:p w14:paraId="466BA04B">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22</w:t>
            </w:r>
          </w:p>
        </w:tc>
        <w:tc>
          <w:tcPr>
            <w:tcW w:w="453" w:type="pct"/>
            <w:vAlign w:val="center"/>
          </w:tcPr>
          <w:p w14:paraId="29F12CF9">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20</w:t>
            </w:r>
          </w:p>
        </w:tc>
        <w:tc>
          <w:tcPr>
            <w:tcW w:w="453" w:type="pct"/>
            <w:vAlign w:val="center"/>
          </w:tcPr>
          <w:p w14:paraId="24570A20">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12</w:t>
            </w:r>
          </w:p>
        </w:tc>
        <w:tc>
          <w:tcPr>
            <w:tcW w:w="453" w:type="pct"/>
            <w:vAlign w:val="center"/>
          </w:tcPr>
          <w:p w14:paraId="3A2C33E9">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8</w:t>
            </w:r>
          </w:p>
        </w:tc>
        <w:tc>
          <w:tcPr>
            <w:tcW w:w="453" w:type="pct"/>
            <w:vAlign w:val="center"/>
          </w:tcPr>
          <w:p w14:paraId="4CD033A8">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12</w:t>
            </w:r>
          </w:p>
        </w:tc>
      </w:tr>
      <w:tr w14:paraId="0E8D4D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76" w:type="pct"/>
            <w:gridSpan w:val="2"/>
            <w:vAlign w:val="center"/>
          </w:tcPr>
          <w:p w14:paraId="2F26D401">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自给份额</w:t>
            </w:r>
          </w:p>
        </w:tc>
        <w:tc>
          <w:tcPr>
            <w:tcW w:w="453" w:type="pct"/>
            <w:vAlign w:val="center"/>
          </w:tcPr>
          <w:p w14:paraId="7F9FF48A">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0.85</w:t>
            </w:r>
          </w:p>
        </w:tc>
        <w:tc>
          <w:tcPr>
            <w:tcW w:w="453" w:type="pct"/>
            <w:vAlign w:val="center"/>
          </w:tcPr>
          <w:p w14:paraId="36754B98">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0.85</w:t>
            </w:r>
          </w:p>
        </w:tc>
        <w:tc>
          <w:tcPr>
            <w:tcW w:w="453" w:type="pct"/>
            <w:vAlign w:val="center"/>
          </w:tcPr>
          <w:p w14:paraId="4CE1CAA1">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0.7</w:t>
            </w:r>
          </w:p>
        </w:tc>
        <w:tc>
          <w:tcPr>
            <w:tcW w:w="453" w:type="pct"/>
            <w:vAlign w:val="center"/>
          </w:tcPr>
          <w:p w14:paraId="0D27561D">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0.8</w:t>
            </w:r>
          </w:p>
        </w:tc>
        <w:tc>
          <w:tcPr>
            <w:tcW w:w="453" w:type="pct"/>
            <w:vAlign w:val="center"/>
          </w:tcPr>
          <w:p w14:paraId="391F3EEC">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0.8</w:t>
            </w:r>
          </w:p>
        </w:tc>
        <w:tc>
          <w:tcPr>
            <w:tcW w:w="453" w:type="pct"/>
            <w:vAlign w:val="center"/>
          </w:tcPr>
          <w:p w14:paraId="7EBDB9E6">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0.9</w:t>
            </w:r>
          </w:p>
        </w:tc>
        <w:tc>
          <w:tcPr>
            <w:tcW w:w="453" w:type="pct"/>
            <w:vAlign w:val="center"/>
          </w:tcPr>
          <w:p w14:paraId="4F91A869">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0.9</w:t>
            </w:r>
          </w:p>
        </w:tc>
        <w:tc>
          <w:tcPr>
            <w:tcW w:w="453" w:type="pct"/>
            <w:vAlign w:val="center"/>
          </w:tcPr>
          <w:p w14:paraId="21F6A7BA">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0.8</w:t>
            </w:r>
          </w:p>
        </w:tc>
      </w:tr>
      <w:tr w14:paraId="0B644D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62" w:type="pct"/>
            <w:vMerge w:val="restart"/>
            <w:vAlign w:val="center"/>
          </w:tcPr>
          <w:p w14:paraId="5DDF6985">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贮存时间（d）</w:t>
            </w:r>
          </w:p>
        </w:tc>
        <w:tc>
          <w:tcPr>
            <w:tcW w:w="714" w:type="pct"/>
            <w:vAlign w:val="center"/>
          </w:tcPr>
          <w:p w14:paraId="5EDFEBE1">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最大个人</w:t>
            </w:r>
          </w:p>
        </w:tc>
        <w:tc>
          <w:tcPr>
            <w:tcW w:w="453" w:type="pct"/>
            <w:vAlign w:val="center"/>
          </w:tcPr>
          <w:p w14:paraId="4F690B67">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30</w:t>
            </w:r>
          </w:p>
        </w:tc>
        <w:tc>
          <w:tcPr>
            <w:tcW w:w="453" w:type="pct"/>
            <w:vAlign w:val="center"/>
          </w:tcPr>
          <w:p w14:paraId="0BE74124">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1</w:t>
            </w:r>
          </w:p>
        </w:tc>
        <w:tc>
          <w:tcPr>
            <w:tcW w:w="453" w:type="pct"/>
            <w:vAlign w:val="center"/>
          </w:tcPr>
          <w:p w14:paraId="41BAC9EF">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2</w:t>
            </w:r>
          </w:p>
        </w:tc>
        <w:tc>
          <w:tcPr>
            <w:tcW w:w="453" w:type="pct"/>
            <w:vAlign w:val="center"/>
          </w:tcPr>
          <w:p w14:paraId="35E1B715">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1</w:t>
            </w:r>
          </w:p>
        </w:tc>
        <w:tc>
          <w:tcPr>
            <w:tcW w:w="453" w:type="pct"/>
            <w:vAlign w:val="center"/>
          </w:tcPr>
          <w:p w14:paraId="2F3971A1">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1</w:t>
            </w:r>
          </w:p>
        </w:tc>
        <w:tc>
          <w:tcPr>
            <w:tcW w:w="453" w:type="pct"/>
            <w:vAlign w:val="center"/>
          </w:tcPr>
          <w:p w14:paraId="49C8EE87">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1</w:t>
            </w:r>
          </w:p>
        </w:tc>
        <w:tc>
          <w:tcPr>
            <w:tcW w:w="453" w:type="pct"/>
            <w:vAlign w:val="center"/>
          </w:tcPr>
          <w:p w14:paraId="3C737DFF">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1</w:t>
            </w:r>
          </w:p>
        </w:tc>
        <w:tc>
          <w:tcPr>
            <w:tcW w:w="453" w:type="pct"/>
            <w:vAlign w:val="center"/>
          </w:tcPr>
          <w:p w14:paraId="35B56805">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1</w:t>
            </w:r>
          </w:p>
        </w:tc>
      </w:tr>
      <w:tr w14:paraId="0E4D62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62" w:type="pct"/>
            <w:vMerge w:val="continue"/>
            <w:vAlign w:val="center"/>
          </w:tcPr>
          <w:p w14:paraId="21EF9F24">
            <w:pPr>
              <w:pStyle w:val="242"/>
              <w:rPr>
                <w:rFonts w:ascii="Times New Roman" w:hAnsi="Times New Roman" w:eastAsia="宋体" w:cs="Times New Roman"/>
                <w:color w:val="000000" w:themeColor="text1"/>
                <w:szCs w:val="21"/>
                <w:lang w:val="zh-CN"/>
                <w14:textFill>
                  <w14:solidFill>
                    <w14:schemeClr w14:val="tx1"/>
                  </w14:solidFill>
                </w14:textFill>
              </w:rPr>
            </w:pPr>
          </w:p>
        </w:tc>
        <w:tc>
          <w:tcPr>
            <w:tcW w:w="714" w:type="pct"/>
            <w:vAlign w:val="center"/>
          </w:tcPr>
          <w:p w14:paraId="00B8EBBE">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平均个人</w:t>
            </w:r>
          </w:p>
        </w:tc>
        <w:tc>
          <w:tcPr>
            <w:tcW w:w="453" w:type="pct"/>
            <w:vAlign w:val="center"/>
          </w:tcPr>
          <w:p w14:paraId="51388C53">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180</w:t>
            </w:r>
          </w:p>
        </w:tc>
        <w:tc>
          <w:tcPr>
            <w:tcW w:w="453" w:type="pct"/>
            <w:vAlign w:val="center"/>
          </w:tcPr>
          <w:p w14:paraId="016C1DC1">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5</w:t>
            </w:r>
          </w:p>
        </w:tc>
        <w:tc>
          <w:tcPr>
            <w:tcW w:w="453" w:type="pct"/>
            <w:vAlign w:val="center"/>
          </w:tcPr>
          <w:p w14:paraId="2BBE2CA3">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30</w:t>
            </w:r>
          </w:p>
        </w:tc>
        <w:tc>
          <w:tcPr>
            <w:tcW w:w="453" w:type="pct"/>
            <w:vAlign w:val="center"/>
          </w:tcPr>
          <w:p w14:paraId="39C3338C">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2</w:t>
            </w:r>
          </w:p>
        </w:tc>
        <w:tc>
          <w:tcPr>
            <w:tcW w:w="453" w:type="pct"/>
            <w:vAlign w:val="center"/>
          </w:tcPr>
          <w:p w14:paraId="109D4808">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2</w:t>
            </w:r>
          </w:p>
        </w:tc>
        <w:tc>
          <w:tcPr>
            <w:tcW w:w="453" w:type="pct"/>
            <w:vAlign w:val="center"/>
          </w:tcPr>
          <w:p w14:paraId="7CE125AE">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5</w:t>
            </w:r>
          </w:p>
        </w:tc>
        <w:tc>
          <w:tcPr>
            <w:tcW w:w="453" w:type="pct"/>
            <w:vAlign w:val="center"/>
          </w:tcPr>
          <w:p w14:paraId="646F8F0D">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10</w:t>
            </w:r>
          </w:p>
        </w:tc>
        <w:tc>
          <w:tcPr>
            <w:tcW w:w="453" w:type="pct"/>
            <w:vAlign w:val="center"/>
          </w:tcPr>
          <w:p w14:paraId="26CFD5E4">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7</w:t>
            </w:r>
          </w:p>
        </w:tc>
      </w:tr>
      <w:tr w14:paraId="36CB5B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76" w:type="pct"/>
            <w:gridSpan w:val="2"/>
            <w:vAlign w:val="center"/>
          </w:tcPr>
          <w:p w14:paraId="49C6885B">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生长期（d）</w:t>
            </w:r>
          </w:p>
        </w:tc>
        <w:tc>
          <w:tcPr>
            <w:tcW w:w="453" w:type="pct"/>
            <w:vAlign w:val="center"/>
          </w:tcPr>
          <w:p w14:paraId="6069D5D6">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120</w:t>
            </w:r>
          </w:p>
        </w:tc>
        <w:tc>
          <w:tcPr>
            <w:tcW w:w="453" w:type="pct"/>
            <w:vAlign w:val="center"/>
          </w:tcPr>
          <w:p w14:paraId="573D5738">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90</w:t>
            </w:r>
          </w:p>
        </w:tc>
        <w:tc>
          <w:tcPr>
            <w:tcW w:w="453" w:type="pct"/>
            <w:vAlign w:val="center"/>
          </w:tcPr>
          <w:p w14:paraId="6747EF6F">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180</w:t>
            </w:r>
          </w:p>
        </w:tc>
        <w:tc>
          <w:tcPr>
            <w:tcW w:w="453" w:type="pct"/>
            <w:vAlign w:val="center"/>
          </w:tcPr>
          <w:p w14:paraId="4DB96B56">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w:t>
            </w:r>
          </w:p>
        </w:tc>
        <w:tc>
          <w:tcPr>
            <w:tcW w:w="453" w:type="pct"/>
            <w:vAlign w:val="center"/>
          </w:tcPr>
          <w:p w14:paraId="5D579F4D">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w:t>
            </w:r>
          </w:p>
        </w:tc>
        <w:tc>
          <w:tcPr>
            <w:tcW w:w="453" w:type="pct"/>
            <w:vAlign w:val="center"/>
          </w:tcPr>
          <w:p w14:paraId="05873DBE">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w:t>
            </w:r>
          </w:p>
        </w:tc>
        <w:tc>
          <w:tcPr>
            <w:tcW w:w="453" w:type="pct"/>
            <w:vAlign w:val="center"/>
          </w:tcPr>
          <w:p w14:paraId="305863A9">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w:t>
            </w:r>
          </w:p>
        </w:tc>
        <w:tc>
          <w:tcPr>
            <w:tcW w:w="453" w:type="pct"/>
            <w:vAlign w:val="center"/>
          </w:tcPr>
          <w:p w14:paraId="49F428BB">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w:t>
            </w:r>
          </w:p>
        </w:tc>
      </w:tr>
    </w:tbl>
    <w:p w14:paraId="328A1D6D">
      <w:pPr>
        <w:spacing w:after="0" w:line="360" w:lineRule="auto"/>
        <w:ind w:firstLine="471"/>
        <w:rPr>
          <w:rFonts w:ascii="Times New Roman" w:hAnsi="Times New Roman" w:cs="Times New Roman"/>
          <w:color w:val="000000" w:themeColor="text1"/>
          <w:spacing w:val="-2"/>
          <w:sz w:val="24"/>
          <w:szCs w:val="24"/>
          <w14:textFill>
            <w14:solidFill>
              <w14:schemeClr w14:val="tx1"/>
            </w14:solidFill>
          </w14:textFill>
        </w:rPr>
      </w:pPr>
    </w:p>
    <w:p w14:paraId="77979CEF">
      <w:pPr>
        <w:widowControl w:val="0"/>
        <w:spacing w:after="0" w:line="360" w:lineRule="auto"/>
        <w:jc w:val="center"/>
        <w:rPr>
          <w:rFonts w:ascii="Times New Roman" w:hAnsi="Times New Roman" w:eastAsia="宋体" w:cs="Times New Roman"/>
          <w:b/>
          <w:bCs/>
          <w:color w:val="000000" w:themeColor="text1"/>
          <w:spacing w:val="-2"/>
          <w:sz w:val="24"/>
          <w:szCs w:val="20"/>
          <w14:textFill>
            <w14:solidFill>
              <w14:schemeClr w14:val="tx1"/>
            </w14:solidFill>
          </w14:textFill>
        </w:rPr>
      </w:pPr>
      <w:r>
        <w:rPr>
          <w:rFonts w:ascii="Times New Roman" w:hAnsi="Times New Roman" w:eastAsia="宋体" w:cs="Times New Roman"/>
          <w:b/>
          <w:bCs/>
          <w:color w:val="000000" w:themeColor="text1"/>
          <w:spacing w:val="-2"/>
          <w:sz w:val="24"/>
          <w:szCs w:val="20"/>
          <w14:textFill>
            <w14:solidFill>
              <w14:schemeClr w14:val="tx1"/>
            </w14:solidFill>
          </w14:textFill>
        </w:rPr>
        <w:t>表 4.1</w:t>
      </w:r>
      <w:r>
        <w:rPr>
          <w:rFonts w:ascii="Times New Roman" w:hAnsi="Times New Roman" w:eastAsia="宋体" w:cs="Times New Roman"/>
          <w:b/>
          <w:bCs/>
          <w:color w:val="000000" w:themeColor="text1"/>
          <w:spacing w:val="-2"/>
          <w:sz w:val="24"/>
          <w:szCs w:val="20"/>
          <w14:textFill>
            <w14:solidFill>
              <w14:schemeClr w14:val="tx1"/>
            </w14:solidFill>
          </w14:textFill>
        </w:rPr>
        <w:noBreakHyphen/>
      </w:r>
      <w:r>
        <w:rPr>
          <w:rFonts w:ascii="Times New Roman" w:hAnsi="Times New Roman" w:eastAsia="宋体" w:cs="Times New Roman"/>
          <w:b/>
          <w:bCs/>
          <w:color w:val="000000" w:themeColor="text1"/>
          <w:spacing w:val="-2"/>
          <w:sz w:val="24"/>
          <w:szCs w:val="20"/>
          <w14:textFill>
            <w14:solidFill>
              <w14:schemeClr w14:val="tx1"/>
            </w14:solidFill>
          </w14:textFill>
        </w:rPr>
        <w:t>2 与动物产品有关的参数</w:t>
      </w:r>
    </w:p>
    <w:tbl>
      <w:tblPr>
        <w:tblStyle w:val="46"/>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197"/>
        <w:gridCol w:w="1331"/>
        <w:gridCol w:w="1331"/>
        <w:gridCol w:w="1331"/>
        <w:gridCol w:w="1332"/>
      </w:tblGrid>
      <w:tr w14:paraId="221D3D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75" w:type="pct"/>
            <w:vAlign w:val="center"/>
          </w:tcPr>
          <w:p w14:paraId="0E6C81D3">
            <w:pPr>
              <w:pStyle w:val="242"/>
              <w:rPr>
                <w:rFonts w:ascii="Times New Roman" w:hAnsi="Times New Roman" w:eastAsia="宋体" w:cs="Times New Roman"/>
                <w:b/>
                <w:color w:val="000000" w:themeColor="text1"/>
                <w:lang w:val="zh-CN"/>
                <w14:textFill>
                  <w14:solidFill>
                    <w14:schemeClr w14:val="tx1"/>
                  </w14:solidFill>
                </w14:textFill>
              </w:rPr>
            </w:pPr>
            <w:r>
              <w:rPr>
                <w:rFonts w:ascii="Times New Roman" w:hAnsi="Times New Roman" w:eastAsia="宋体" w:cs="Times New Roman"/>
                <w:b/>
                <w:color w:val="000000" w:themeColor="text1"/>
                <w:lang w:val="zh-CN"/>
                <w14:textFill>
                  <w14:solidFill>
                    <w14:schemeClr w14:val="tx1"/>
                  </w14:solidFill>
                </w14:textFill>
              </w:rPr>
              <w:t>动物产品种类</w:t>
            </w:r>
          </w:p>
        </w:tc>
        <w:tc>
          <w:tcPr>
            <w:tcW w:w="781" w:type="pct"/>
            <w:vAlign w:val="center"/>
          </w:tcPr>
          <w:p w14:paraId="73BD3F03">
            <w:pPr>
              <w:pStyle w:val="242"/>
              <w:rPr>
                <w:rFonts w:ascii="Times New Roman" w:hAnsi="Times New Roman" w:eastAsia="宋体" w:cs="Times New Roman"/>
                <w:b/>
                <w:color w:val="000000" w:themeColor="text1"/>
                <w:lang w:val="zh-CN"/>
                <w14:textFill>
                  <w14:solidFill>
                    <w14:schemeClr w14:val="tx1"/>
                  </w14:solidFill>
                </w14:textFill>
              </w:rPr>
            </w:pPr>
            <w:r>
              <w:rPr>
                <w:rFonts w:ascii="Times New Roman" w:hAnsi="Times New Roman" w:eastAsia="宋体" w:cs="Times New Roman"/>
                <w:b/>
                <w:color w:val="000000" w:themeColor="text1"/>
                <w:lang w:val="zh-CN"/>
                <w14:textFill>
                  <w14:solidFill>
                    <w14:schemeClr w14:val="tx1"/>
                  </w14:solidFill>
                </w14:textFill>
              </w:rPr>
              <w:t>猪</w:t>
            </w:r>
          </w:p>
        </w:tc>
        <w:tc>
          <w:tcPr>
            <w:tcW w:w="781" w:type="pct"/>
            <w:vAlign w:val="center"/>
          </w:tcPr>
          <w:p w14:paraId="3E273B3E">
            <w:pPr>
              <w:pStyle w:val="242"/>
              <w:rPr>
                <w:rFonts w:ascii="Times New Roman" w:hAnsi="Times New Roman" w:eastAsia="宋体" w:cs="Times New Roman"/>
                <w:b/>
                <w:color w:val="000000" w:themeColor="text1"/>
                <w:lang w:val="zh-CN"/>
                <w14:textFill>
                  <w14:solidFill>
                    <w14:schemeClr w14:val="tx1"/>
                  </w14:solidFill>
                </w14:textFill>
              </w:rPr>
            </w:pPr>
            <w:r>
              <w:rPr>
                <w:rFonts w:ascii="Times New Roman" w:hAnsi="Times New Roman" w:eastAsia="宋体" w:cs="Times New Roman"/>
                <w:b/>
                <w:color w:val="000000" w:themeColor="text1"/>
                <w:lang w:val="zh-CN"/>
                <w14:textFill>
                  <w14:solidFill>
                    <w14:schemeClr w14:val="tx1"/>
                  </w14:solidFill>
                </w14:textFill>
              </w:rPr>
              <w:t>家禽</w:t>
            </w:r>
          </w:p>
        </w:tc>
        <w:tc>
          <w:tcPr>
            <w:tcW w:w="781" w:type="pct"/>
            <w:vAlign w:val="center"/>
          </w:tcPr>
          <w:p w14:paraId="02189BC2">
            <w:pPr>
              <w:pStyle w:val="242"/>
              <w:rPr>
                <w:rFonts w:ascii="Times New Roman" w:hAnsi="Times New Roman" w:eastAsia="宋体" w:cs="Times New Roman"/>
                <w:b/>
                <w:color w:val="000000" w:themeColor="text1"/>
                <w:lang w:val="zh-CN"/>
                <w14:textFill>
                  <w14:solidFill>
                    <w14:schemeClr w14:val="tx1"/>
                  </w14:solidFill>
                </w14:textFill>
              </w:rPr>
            </w:pPr>
            <w:r>
              <w:rPr>
                <w:rFonts w:ascii="Times New Roman" w:hAnsi="Times New Roman" w:eastAsia="宋体" w:cs="Times New Roman"/>
                <w:b/>
                <w:color w:val="000000" w:themeColor="text1"/>
                <w:lang w:val="zh-CN"/>
                <w14:textFill>
                  <w14:solidFill>
                    <w14:schemeClr w14:val="tx1"/>
                  </w14:solidFill>
                </w14:textFill>
              </w:rPr>
              <w:t>蛋</w:t>
            </w:r>
          </w:p>
        </w:tc>
        <w:tc>
          <w:tcPr>
            <w:tcW w:w="781" w:type="pct"/>
            <w:vAlign w:val="center"/>
          </w:tcPr>
          <w:p w14:paraId="051C19FA">
            <w:pPr>
              <w:pStyle w:val="242"/>
              <w:rPr>
                <w:rFonts w:ascii="Times New Roman" w:hAnsi="Times New Roman" w:eastAsia="宋体" w:cs="Times New Roman"/>
                <w:b/>
                <w:color w:val="000000" w:themeColor="text1"/>
                <w:lang w:val="zh-CN"/>
                <w14:textFill>
                  <w14:solidFill>
                    <w14:schemeClr w14:val="tx1"/>
                  </w14:solidFill>
                </w14:textFill>
              </w:rPr>
            </w:pPr>
            <w:r>
              <w:rPr>
                <w:rFonts w:ascii="Times New Roman" w:hAnsi="Times New Roman" w:eastAsia="宋体" w:cs="Times New Roman"/>
                <w:b/>
                <w:color w:val="000000" w:themeColor="text1"/>
                <w:lang w:val="zh-CN"/>
                <w14:textFill>
                  <w14:solidFill>
                    <w14:schemeClr w14:val="tx1"/>
                  </w14:solidFill>
                </w14:textFill>
              </w:rPr>
              <w:t>奶</w:t>
            </w:r>
          </w:p>
        </w:tc>
      </w:tr>
      <w:tr w14:paraId="6EE20A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75" w:type="pct"/>
            <w:vAlign w:val="center"/>
          </w:tcPr>
          <w:p w14:paraId="56D2F21E">
            <w:pPr>
              <w:pStyle w:val="242"/>
              <w:rPr>
                <w:rFonts w:ascii="Times New Roman" w:hAnsi="Times New Roman" w:eastAsia="宋体" w:cs="Times New Roman"/>
                <w:color w:val="000000" w:themeColor="text1"/>
                <w:lang w:val="zh-CN"/>
                <w14:textFill>
                  <w14:solidFill>
                    <w14:schemeClr w14:val="tx1"/>
                  </w14:solidFill>
                </w14:textFill>
              </w:rPr>
            </w:pPr>
            <w:r>
              <w:rPr>
                <w:rFonts w:ascii="Times New Roman" w:hAnsi="Times New Roman" w:eastAsia="宋体" w:cs="Times New Roman"/>
                <w:color w:val="000000" w:themeColor="text1"/>
                <w:lang w:val="zh-CN"/>
                <w14:textFill>
                  <w14:solidFill>
                    <w14:schemeClr w14:val="tx1"/>
                  </w14:solidFill>
                </w14:textFill>
              </w:rPr>
              <w:t>饲料消费量（kg/a）</w:t>
            </w:r>
          </w:p>
        </w:tc>
        <w:tc>
          <w:tcPr>
            <w:tcW w:w="781" w:type="pct"/>
            <w:vAlign w:val="center"/>
          </w:tcPr>
          <w:p w14:paraId="759F5E45">
            <w:pPr>
              <w:pStyle w:val="242"/>
              <w:rPr>
                <w:rFonts w:ascii="Times New Roman" w:hAnsi="Times New Roman" w:eastAsia="宋体" w:cs="Times New Roman"/>
                <w:color w:val="000000" w:themeColor="text1"/>
                <w:lang w:val="zh-CN"/>
                <w14:textFill>
                  <w14:solidFill>
                    <w14:schemeClr w14:val="tx1"/>
                  </w14:solidFill>
                </w14:textFill>
              </w:rPr>
            </w:pPr>
            <w:r>
              <w:rPr>
                <w:rFonts w:ascii="Times New Roman" w:hAnsi="Times New Roman" w:eastAsia="宋体" w:cs="Times New Roman"/>
                <w:color w:val="000000" w:themeColor="text1"/>
                <w:lang w:val="zh-CN"/>
                <w14:textFill>
                  <w14:solidFill>
                    <w14:schemeClr w14:val="tx1"/>
                  </w14:solidFill>
                </w14:textFill>
              </w:rPr>
              <w:t>3</w:t>
            </w:r>
          </w:p>
        </w:tc>
        <w:tc>
          <w:tcPr>
            <w:tcW w:w="781" w:type="pct"/>
            <w:vAlign w:val="center"/>
          </w:tcPr>
          <w:p w14:paraId="7DF07ED7">
            <w:pPr>
              <w:pStyle w:val="242"/>
              <w:rPr>
                <w:rFonts w:ascii="Times New Roman" w:hAnsi="Times New Roman" w:eastAsia="宋体" w:cs="Times New Roman"/>
                <w:color w:val="000000" w:themeColor="text1"/>
                <w:lang w:val="zh-CN"/>
                <w14:textFill>
                  <w14:solidFill>
                    <w14:schemeClr w14:val="tx1"/>
                  </w14:solidFill>
                </w14:textFill>
              </w:rPr>
            </w:pPr>
            <w:r>
              <w:rPr>
                <w:rFonts w:ascii="Times New Roman" w:hAnsi="Times New Roman" w:eastAsia="宋体" w:cs="Times New Roman"/>
                <w:color w:val="000000" w:themeColor="text1"/>
                <w:lang w:val="zh-CN"/>
                <w14:textFill>
                  <w14:solidFill>
                    <w14:schemeClr w14:val="tx1"/>
                  </w14:solidFill>
                </w14:textFill>
              </w:rPr>
              <w:t>0.25</w:t>
            </w:r>
          </w:p>
        </w:tc>
        <w:tc>
          <w:tcPr>
            <w:tcW w:w="781" w:type="pct"/>
            <w:vAlign w:val="center"/>
          </w:tcPr>
          <w:p w14:paraId="0E3EEF07">
            <w:pPr>
              <w:pStyle w:val="242"/>
              <w:rPr>
                <w:rFonts w:ascii="Times New Roman" w:hAnsi="Times New Roman" w:eastAsia="宋体" w:cs="Times New Roman"/>
                <w:color w:val="000000" w:themeColor="text1"/>
                <w:lang w:val="zh-CN"/>
                <w14:textFill>
                  <w14:solidFill>
                    <w14:schemeClr w14:val="tx1"/>
                  </w14:solidFill>
                </w14:textFill>
              </w:rPr>
            </w:pPr>
            <w:r>
              <w:rPr>
                <w:rFonts w:ascii="Times New Roman" w:hAnsi="Times New Roman" w:eastAsia="宋体" w:cs="Times New Roman"/>
                <w:color w:val="000000" w:themeColor="text1"/>
                <w:lang w:val="zh-CN"/>
                <w14:textFill>
                  <w14:solidFill>
                    <w14:schemeClr w14:val="tx1"/>
                  </w14:solidFill>
                </w14:textFill>
              </w:rPr>
              <w:t>0.25</w:t>
            </w:r>
          </w:p>
        </w:tc>
        <w:tc>
          <w:tcPr>
            <w:tcW w:w="781" w:type="pct"/>
            <w:vAlign w:val="center"/>
          </w:tcPr>
          <w:p w14:paraId="1F6488D5">
            <w:pPr>
              <w:pStyle w:val="242"/>
              <w:rPr>
                <w:rFonts w:ascii="Times New Roman" w:hAnsi="Times New Roman" w:eastAsia="宋体" w:cs="Times New Roman"/>
                <w:color w:val="000000" w:themeColor="text1"/>
                <w:lang w:val="zh-CN"/>
                <w14:textFill>
                  <w14:solidFill>
                    <w14:schemeClr w14:val="tx1"/>
                  </w14:solidFill>
                </w14:textFill>
              </w:rPr>
            </w:pPr>
            <w:r>
              <w:rPr>
                <w:rFonts w:ascii="Times New Roman" w:hAnsi="Times New Roman" w:eastAsia="宋体" w:cs="Times New Roman"/>
                <w:color w:val="000000" w:themeColor="text1"/>
                <w:lang w:val="zh-CN"/>
                <w14:textFill>
                  <w14:solidFill>
                    <w14:schemeClr w14:val="tx1"/>
                  </w14:solidFill>
                </w14:textFill>
              </w:rPr>
              <w:t>10</w:t>
            </w:r>
          </w:p>
        </w:tc>
      </w:tr>
      <w:tr w14:paraId="6FA811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75" w:type="pct"/>
            <w:vAlign w:val="center"/>
          </w:tcPr>
          <w:p w14:paraId="70A96BAB">
            <w:pPr>
              <w:pStyle w:val="242"/>
              <w:rPr>
                <w:rFonts w:ascii="Times New Roman" w:hAnsi="Times New Roman" w:eastAsia="宋体" w:cs="Times New Roman"/>
                <w:color w:val="000000" w:themeColor="text1"/>
                <w:lang w:val="zh-CN"/>
                <w14:textFill>
                  <w14:solidFill>
                    <w14:schemeClr w14:val="tx1"/>
                  </w14:solidFill>
                </w14:textFill>
              </w:rPr>
            </w:pPr>
            <w:r>
              <w:rPr>
                <w:rFonts w:ascii="Times New Roman" w:hAnsi="Times New Roman" w:eastAsia="宋体" w:cs="Times New Roman"/>
                <w:color w:val="000000" w:themeColor="text1"/>
                <w:lang w:val="zh-CN"/>
                <w14:textFill>
                  <w14:solidFill>
                    <w14:schemeClr w14:val="tx1"/>
                  </w14:solidFill>
                </w14:textFill>
              </w:rPr>
              <w:t>饲料贮存时间（d）</w:t>
            </w:r>
          </w:p>
        </w:tc>
        <w:tc>
          <w:tcPr>
            <w:tcW w:w="781" w:type="pct"/>
            <w:vAlign w:val="center"/>
          </w:tcPr>
          <w:p w14:paraId="2E946733">
            <w:pPr>
              <w:pStyle w:val="242"/>
              <w:rPr>
                <w:rFonts w:ascii="Times New Roman" w:hAnsi="Times New Roman" w:eastAsia="宋体" w:cs="Times New Roman"/>
                <w:color w:val="000000" w:themeColor="text1"/>
                <w:lang w:val="zh-CN"/>
                <w14:textFill>
                  <w14:solidFill>
                    <w14:schemeClr w14:val="tx1"/>
                  </w14:solidFill>
                </w14:textFill>
              </w:rPr>
            </w:pPr>
            <w:r>
              <w:rPr>
                <w:rFonts w:ascii="Times New Roman" w:hAnsi="Times New Roman" w:eastAsia="宋体" w:cs="Times New Roman"/>
                <w:color w:val="000000" w:themeColor="text1"/>
                <w:lang w:val="zh-CN"/>
                <w14:textFill>
                  <w14:solidFill>
                    <w14:schemeClr w14:val="tx1"/>
                  </w14:solidFill>
                </w14:textFill>
              </w:rPr>
              <w:t>90</w:t>
            </w:r>
          </w:p>
        </w:tc>
        <w:tc>
          <w:tcPr>
            <w:tcW w:w="781" w:type="pct"/>
            <w:vAlign w:val="center"/>
          </w:tcPr>
          <w:p w14:paraId="0E47CE8C">
            <w:pPr>
              <w:pStyle w:val="242"/>
              <w:rPr>
                <w:rFonts w:ascii="Times New Roman" w:hAnsi="Times New Roman" w:eastAsia="宋体" w:cs="Times New Roman"/>
                <w:color w:val="000000" w:themeColor="text1"/>
                <w:lang w:val="zh-CN"/>
                <w14:textFill>
                  <w14:solidFill>
                    <w14:schemeClr w14:val="tx1"/>
                  </w14:solidFill>
                </w14:textFill>
              </w:rPr>
            </w:pPr>
            <w:r>
              <w:rPr>
                <w:rFonts w:ascii="Times New Roman" w:hAnsi="Times New Roman" w:eastAsia="宋体" w:cs="Times New Roman"/>
                <w:color w:val="000000" w:themeColor="text1"/>
                <w:lang w:val="zh-CN"/>
                <w14:textFill>
                  <w14:solidFill>
                    <w14:schemeClr w14:val="tx1"/>
                  </w14:solidFill>
                </w14:textFill>
              </w:rPr>
              <w:t>60</w:t>
            </w:r>
          </w:p>
        </w:tc>
        <w:tc>
          <w:tcPr>
            <w:tcW w:w="781" w:type="pct"/>
            <w:vAlign w:val="center"/>
          </w:tcPr>
          <w:p w14:paraId="73CB7B1E">
            <w:pPr>
              <w:pStyle w:val="242"/>
              <w:rPr>
                <w:rFonts w:ascii="Times New Roman" w:hAnsi="Times New Roman" w:eastAsia="宋体" w:cs="Times New Roman"/>
                <w:color w:val="000000" w:themeColor="text1"/>
                <w:lang w:val="zh-CN"/>
                <w14:textFill>
                  <w14:solidFill>
                    <w14:schemeClr w14:val="tx1"/>
                  </w14:solidFill>
                </w14:textFill>
              </w:rPr>
            </w:pPr>
            <w:r>
              <w:rPr>
                <w:rFonts w:ascii="Times New Roman" w:hAnsi="Times New Roman" w:eastAsia="宋体" w:cs="Times New Roman"/>
                <w:color w:val="000000" w:themeColor="text1"/>
                <w:lang w:val="zh-CN"/>
                <w14:textFill>
                  <w14:solidFill>
                    <w14:schemeClr w14:val="tx1"/>
                  </w14:solidFill>
                </w14:textFill>
              </w:rPr>
              <w:t>60</w:t>
            </w:r>
          </w:p>
        </w:tc>
        <w:tc>
          <w:tcPr>
            <w:tcW w:w="781" w:type="pct"/>
            <w:vAlign w:val="center"/>
          </w:tcPr>
          <w:p w14:paraId="603F18D2">
            <w:pPr>
              <w:pStyle w:val="242"/>
              <w:rPr>
                <w:rFonts w:ascii="Times New Roman" w:hAnsi="Times New Roman" w:eastAsia="宋体" w:cs="Times New Roman"/>
                <w:color w:val="000000" w:themeColor="text1"/>
                <w:lang w:val="zh-CN"/>
                <w14:textFill>
                  <w14:solidFill>
                    <w14:schemeClr w14:val="tx1"/>
                  </w14:solidFill>
                </w14:textFill>
              </w:rPr>
            </w:pPr>
            <w:r>
              <w:rPr>
                <w:rFonts w:ascii="Times New Roman" w:hAnsi="Times New Roman" w:eastAsia="宋体" w:cs="Times New Roman"/>
                <w:color w:val="000000" w:themeColor="text1"/>
                <w:lang w:val="zh-CN"/>
                <w14:textFill>
                  <w14:solidFill>
                    <w14:schemeClr w14:val="tx1"/>
                  </w14:solidFill>
                </w14:textFill>
              </w:rPr>
              <w:t>60</w:t>
            </w:r>
          </w:p>
        </w:tc>
      </w:tr>
      <w:tr w14:paraId="384B94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75" w:type="pct"/>
            <w:vAlign w:val="center"/>
          </w:tcPr>
          <w:p w14:paraId="1DC45836">
            <w:pPr>
              <w:pStyle w:val="242"/>
              <w:rPr>
                <w:rFonts w:ascii="Times New Roman" w:hAnsi="Times New Roman" w:eastAsia="宋体" w:cs="Times New Roman"/>
                <w:color w:val="000000" w:themeColor="text1"/>
                <w:lang w:val="zh-CN"/>
                <w14:textFill>
                  <w14:solidFill>
                    <w14:schemeClr w14:val="tx1"/>
                  </w14:solidFill>
                </w14:textFill>
              </w:rPr>
            </w:pPr>
            <w:r>
              <w:rPr>
                <w:rFonts w:ascii="Times New Roman" w:hAnsi="Times New Roman" w:eastAsia="宋体" w:cs="Times New Roman"/>
                <w:color w:val="000000" w:themeColor="text1"/>
                <w:lang w:val="zh-CN"/>
                <w14:textFill>
                  <w14:solidFill>
                    <w14:schemeClr w14:val="tx1"/>
                  </w14:solidFill>
                </w14:textFill>
              </w:rPr>
              <w:t>放牧季节鲜草份额</w:t>
            </w:r>
          </w:p>
        </w:tc>
        <w:tc>
          <w:tcPr>
            <w:tcW w:w="781" w:type="pct"/>
            <w:vAlign w:val="center"/>
          </w:tcPr>
          <w:p w14:paraId="1078E291">
            <w:pPr>
              <w:pStyle w:val="242"/>
              <w:rPr>
                <w:rFonts w:ascii="Times New Roman" w:hAnsi="Times New Roman" w:eastAsia="宋体" w:cs="Times New Roman"/>
                <w:color w:val="000000" w:themeColor="text1"/>
                <w:lang w:val="zh-CN"/>
                <w14:textFill>
                  <w14:solidFill>
                    <w14:schemeClr w14:val="tx1"/>
                  </w14:solidFill>
                </w14:textFill>
              </w:rPr>
            </w:pPr>
            <w:r>
              <w:rPr>
                <w:rFonts w:ascii="Times New Roman" w:hAnsi="Times New Roman" w:eastAsia="宋体" w:cs="Times New Roman"/>
                <w:color w:val="000000" w:themeColor="text1"/>
                <w:lang w:val="zh-CN"/>
                <w14:textFill>
                  <w14:solidFill>
                    <w14:schemeClr w14:val="tx1"/>
                  </w14:solidFill>
                </w14:textFill>
              </w:rPr>
              <w:t>0.8</w:t>
            </w:r>
          </w:p>
        </w:tc>
        <w:tc>
          <w:tcPr>
            <w:tcW w:w="781" w:type="pct"/>
            <w:vAlign w:val="center"/>
          </w:tcPr>
          <w:p w14:paraId="08988B14">
            <w:pPr>
              <w:pStyle w:val="242"/>
              <w:rPr>
                <w:rFonts w:ascii="Times New Roman" w:hAnsi="Times New Roman" w:eastAsia="宋体" w:cs="Times New Roman"/>
                <w:color w:val="000000" w:themeColor="text1"/>
                <w:lang w:val="zh-CN"/>
                <w14:textFill>
                  <w14:solidFill>
                    <w14:schemeClr w14:val="tx1"/>
                  </w14:solidFill>
                </w14:textFill>
              </w:rPr>
            </w:pPr>
            <w:r>
              <w:rPr>
                <w:rFonts w:ascii="Times New Roman" w:hAnsi="Times New Roman" w:eastAsia="宋体" w:cs="Times New Roman"/>
                <w:color w:val="000000" w:themeColor="text1"/>
                <w:lang w:val="zh-CN"/>
                <w14:textFill>
                  <w14:solidFill>
                    <w14:schemeClr w14:val="tx1"/>
                  </w14:solidFill>
                </w14:textFill>
              </w:rPr>
              <w:t>0.8</w:t>
            </w:r>
          </w:p>
        </w:tc>
        <w:tc>
          <w:tcPr>
            <w:tcW w:w="781" w:type="pct"/>
            <w:vAlign w:val="center"/>
          </w:tcPr>
          <w:p w14:paraId="5F1C2CCB">
            <w:pPr>
              <w:pStyle w:val="242"/>
              <w:rPr>
                <w:rFonts w:ascii="Times New Roman" w:hAnsi="Times New Roman" w:eastAsia="宋体" w:cs="Times New Roman"/>
                <w:color w:val="000000" w:themeColor="text1"/>
                <w:lang w:val="zh-CN"/>
                <w14:textFill>
                  <w14:solidFill>
                    <w14:schemeClr w14:val="tx1"/>
                  </w14:solidFill>
                </w14:textFill>
              </w:rPr>
            </w:pPr>
            <w:r>
              <w:rPr>
                <w:rFonts w:ascii="Times New Roman" w:hAnsi="Times New Roman" w:eastAsia="宋体" w:cs="Times New Roman"/>
                <w:color w:val="000000" w:themeColor="text1"/>
                <w:lang w:val="zh-CN"/>
                <w14:textFill>
                  <w14:solidFill>
                    <w14:schemeClr w14:val="tx1"/>
                  </w14:solidFill>
                </w14:textFill>
              </w:rPr>
              <w:t>0.8</w:t>
            </w:r>
          </w:p>
        </w:tc>
        <w:tc>
          <w:tcPr>
            <w:tcW w:w="781" w:type="pct"/>
            <w:vAlign w:val="center"/>
          </w:tcPr>
          <w:p w14:paraId="56EF603B">
            <w:pPr>
              <w:pStyle w:val="242"/>
              <w:rPr>
                <w:rFonts w:ascii="Times New Roman" w:hAnsi="Times New Roman" w:eastAsia="宋体" w:cs="Times New Roman"/>
                <w:color w:val="000000" w:themeColor="text1"/>
                <w:lang w:val="zh-CN"/>
                <w14:textFill>
                  <w14:solidFill>
                    <w14:schemeClr w14:val="tx1"/>
                  </w14:solidFill>
                </w14:textFill>
              </w:rPr>
            </w:pPr>
            <w:r>
              <w:rPr>
                <w:rFonts w:ascii="Times New Roman" w:hAnsi="Times New Roman" w:eastAsia="宋体" w:cs="Times New Roman"/>
                <w:color w:val="000000" w:themeColor="text1"/>
                <w:lang w:val="zh-CN"/>
                <w14:textFill>
                  <w14:solidFill>
                    <w14:schemeClr w14:val="tx1"/>
                  </w14:solidFill>
                </w14:textFill>
              </w:rPr>
              <w:t>0.9</w:t>
            </w:r>
          </w:p>
        </w:tc>
      </w:tr>
      <w:tr w14:paraId="0DD935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75" w:type="pct"/>
            <w:vAlign w:val="center"/>
          </w:tcPr>
          <w:p w14:paraId="4683F6EE">
            <w:pPr>
              <w:pStyle w:val="242"/>
              <w:rPr>
                <w:rFonts w:ascii="Times New Roman" w:hAnsi="Times New Roman" w:eastAsia="宋体" w:cs="Times New Roman"/>
                <w:color w:val="000000" w:themeColor="text1"/>
                <w:lang w:val="zh-CN"/>
                <w14:textFill>
                  <w14:solidFill>
                    <w14:schemeClr w14:val="tx1"/>
                  </w14:solidFill>
                </w14:textFill>
              </w:rPr>
            </w:pPr>
            <w:r>
              <w:rPr>
                <w:rFonts w:ascii="Times New Roman" w:hAnsi="Times New Roman" w:eastAsia="宋体" w:cs="Times New Roman"/>
                <w:color w:val="000000" w:themeColor="text1"/>
                <w:lang w:val="zh-CN"/>
                <w14:textFill>
                  <w14:solidFill>
                    <w14:schemeClr w14:val="tx1"/>
                  </w14:solidFill>
                </w14:textFill>
              </w:rPr>
              <w:t>放牧季节时间份额</w:t>
            </w:r>
          </w:p>
        </w:tc>
        <w:tc>
          <w:tcPr>
            <w:tcW w:w="781" w:type="pct"/>
            <w:vAlign w:val="center"/>
          </w:tcPr>
          <w:p w14:paraId="4FA4D676">
            <w:pPr>
              <w:pStyle w:val="242"/>
              <w:rPr>
                <w:rFonts w:ascii="Times New Roman" w:hAnsi="Times New Roman" w:eastAsia="宋体" w:cs="Times New Roman"/>
                <w:color w:val="000000" w:themeColor="text1"/>
                <w:lang w:val="zh-CN"/>
                <w14:textFill>
                  <w14:solidFill>
                    <w14:schemeClr w14:val="tx1"/>
                  </w14:solidFill>
                </w14:textFill>
              </w:rPr>
            </w:pPr>
            <w:r>
              <w:rPr>
                <w:rFonts w:ascii="Times New Roman" w:hAnsi="Times New Roman" w:eastAsia="宋体" w:cs="Times New Roman"/>
                <w:color w:val="000000" w:themeColor="text1"/>
                <w:lang w:val="zh-CN"/>
                <w14:textFill>
                  <w14:solidFill>
                    <w14:schemeClr w14:val="tx1"/>
                  </w14:solidFill>
                </w14:textFill>
              </w:rPr>
              <w:t>0.8</w:t>
            </w:r>
          </w:p>
        </w:tc>
        <w:tc>
          <w:tcPr>
            <w:tcW w:w="781" w:type="pct"/>
            <w:vAlign w:val="center"/>
          </w:tcPr>
          <w:p w14:paraId="01C44A15">
            <w:pPr>
              <w:pStyle w:val="242"/>
              <w:rPr>
                <w:rFonts w:ascii="Times New Roman" w:hAnsi="Times New Roman" w:eastAsia="宋体" w:cs="Times New Roman"/>
                <w:color w:val="000000" w:themeColor="text1"/>
                <w:lang w:val="zh-CN"/>
                <w14:textFill>
                  <w14:solidFill>
                    <w14:schemeClr w14:val="tx1"/>
                  </w14:solidFill>
                </w14:textFill>
              </w:rPr>
            </w:pPr>
            <w:r>
              <w:rPr>
                <w:rFonts w:ascii="Times New Roman" w:hAnsi="Times New Roman" w:eastAsia="宋体" w:cs="Times New Roman"/>
                <w:color w:val="000000" w:themeColor="text1"/>
                <w:lang w:val="zh-CN"/>
                <w14:textFill>
                  <w14:solidFill>
                    <w14:schemeClr w14:val="tx1"/>
                  </w14:solidFill>
                </w14:textFill>
              </w:rPr>
              <w:t>0.8</w:t>
            </w:r>
          </w:p>
        </w:tc>
        <w:tc>
          <w:tcPr>
            <w:tcW w:w="781" w:type="pct"/>
            <w:vAlign w:val="center"/>
          </w:tcPr>
          <w:p w14:paraId="625AB99B">
            <w:pPr>
              <w:pStyle w:val="242"/>
              <w:rPr>
                <w:rFonts w:ascii="Times New Roman" w:hAnsi="Times New Roman" w:eastAsia="宋体" w:cs="Times New Roman"/>
                <w:color w:val="000000" w:themeColor="text1"/>
                <w:lang w:val="zh-CN"/>
                <w14:textFill>
                  <w14:solidFill>
                    <w14:schemeClr w14:val="tx1"/>
                  </w14:solidFill>
                </w14:textFill>
              </w:rPr>
            </w:pPr>
            <w:r>
              <w:rPr>
                <w:rFonts w:ascii="Times New Roman" w:hAnsi="Times New Roman" w:eastAsia="宋体" w:cs="Times New Roman"/>
                <w:color w:val="000000" w:themeColor="text1"/>
                <w:lang w:val="zh-CN"/>
                <w14:textFill>
                  <w14:solidFill>
                    <w14:schemeClr w14:val="tx1"/>
                  </w14:solidFill>
                </w14:textFill>
              </w:rPr>
              <w:t>0.8</w:t>
            </w:r>
          </w:p>
        </w:tc>
        <w:tc>
          <w:tcPr>
            <w:tcW w:w="781" w:type="pct"/>
            <w:vAlign w:val="center"/>
          </w:tcPr>
          <w:p w14:paraId="4D8F4F12">
            <w:pPr>
              <w:pStyle w:val="242"/>
              <w:rPr>
                <w:rFonts w:ascii="Times New Roman" w:hAnsi="Times New Roman" w:eastAsia="宋体" w:cs="Times New Roman"/>
                <w:color w:val="000000" w:themeColor="text1"/>
                <w:lang w:val="zh-CN"/>
                <w14:textFill>
                  <w14:solidFill>
                    <w14:schemeClr w14:val="tx1"/>
                  </w14:solidFill>
                </w14:textFill>
              </w:rPr>
            </w:pPr>
            <w:r>
              <w:rPr>
                <w:rFonts w:ascii="Times New Roman" w:hAnsi="Times New Roman" w:eastAsia="宋体" w:cs="Times New Roman"/>
                <w:color w:val="000000" w:themeColor="text1"/>
                <w:lang w:val="zh-CN"/>
                <w14:textFill>
                  <w14:solidFill>
                    <w14:schemeClr w14:val="tx1"/>
                  </w14:solidFill>
                </w14:textFill>
              </w:rPr>
              <w:t>0.8</w:t>
            </w:r>
          </w:p>
        </w:tc>
      </w:tr>
      <w:tr w14:paraId="5AFCB3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75" w:type="pct"/>
            <w:vAlign w:val="center"/>
          </w:tcPr>
          <w:p w14:paraId="60DD2F5E">
            <w:pPr>
              <w:pStyle w:val="242"/>
              <w:rPr>
                <w:rFonts w:ascii="Times New Roman" w:hAnsi="Times New Roman" w:eastAsia="宋体" w:cs="Times New Roman"/>
                <w:color w:val="000000" w:themeColor="text1"/>
                <w:lang w:val="zh-CN"/>
                <w14:textFill>
                  <w14:solidFill>
                    <w14:schemeClr w14:val="tx1"/>
                  </w14:solidFill>
                </w14:textFill>
              </w:rPr>
            </w:pPr>
            <w:r>
              <w:rPr>
                <w:rFonts w:ascii="Times New Roman" w:hAnsi="Times New Roman" w:eastAsia="宋体" w:cs="Times New Roman"/>
                <w:color w:val="000000" w:themeColor="text1"/>
                <w:lang w:val="zh-CN"/>
                <w14:textFill>
                  <w14:solidFill>
                    <w14:schemeClr w14:val="tx1"/>
                  </w14:solidFill>
                </w14:textFill>
              </w:rPr>
              <w:t>牧草生长期（d）</w:t>
            </w:r>
          </w:p>
        </w:tc>
        <w:tc>
          <w:tcPr>
            <w:tcW w:w="781" w:type="pct"/>
            <w:vAlign w:val="center"/>
          </w:tcPr>
          <w:p w14:paraId="206F15CC">
            <w:pPr>
              <w:pStyle w:val="242"/>
              <w:rPr>
                <w:rFonts w:ascii="Times New Roman" w:hAnsi="Times New Roman" w:eastAsia="宋体" w:cs="Times New Roman"/>
                <w:color w:val="000000" w:themeColor="text1"/>
                <w:lang w:val="zh-CN"/>
                <w14:textFill>
                  <w14:solidFill>
                    <w14:schemeClr w14:val="tx1"/>
                  </w14:solidFill>
                </w14:textFill>
              </w:rPr>
            </w:pPr>
            <w:r>
              <w:rPr>
                <w:rFonts w:ascii="Times New Roman" w:hAnsi="Times New Roman" w:eastAsia="宋体" w:cs="Times New Roman"/>
                <w:color w:val="000000" w:themeColor="text1"/>
                <w:lang w:val="zh-CN"/>
                <w14:textFill>
                  <w14:solidFill>
                    <w14:schemeClr w14:val="tx1"/>
                  </w14:solidFill>
                </w14:textFill>
              </w:rPr>
              <w:t>30</w:t>
            </w:r>
          </w:p>
        </w:tc>
        <w:tc>
          <w:tcPr>
            <w:tcW w:w="781" w:type="pct"/>
            <w:vAlign w:val="center"/>
          </w:tcPr>
          <w:p w14:paraId="60A3F51F">
            <w:pPr>
              <w:pStyle w:val="242"/>
              <w:rPr>
                <w:rFonts w:ascii="Times New Roman" w:hAnsi="Times New Roman" w:eastAsia="宋体" w:cs="Times New Roman"/>
                <w:color w:val="000000" w:themeColor="text1"/>
                <w:lang w:val="zh-CN"/>
                <w14:textFill>
                  <w14:solidFill>
                    <w14:schemeClr w14:val="tx1"/>
                  </w14:solidFill>
                </w14:textFill>
              </w:rPr>
            </w:pPr>
            <w:r>
              <w:rPr>
                <w:rFonts w:ascii="Times New Roman" w:hAnsi="Times New Roman" w:eastAsia="宋体" w:cs="Times New Roman"/>
                <w:color w:val="000000" w:themeColor="text1"/>
                <w:lang w:val="zh-CN"/>
                <w14:textFill>
                  <w14:solidFill>
                    <w14:schemeClr w14:val="tx1"/>
                  </w14:solidFill>
                </w14:textFill>
              </w:rPr>
              <w:t>30</w:t>
            </w:r>
          </w:p>
        </w:tc>
        <w:tc>
          <w:tcPr>
            <w:tcW w:w="781" w:type="pct"/>
            <w:vAlign w:val="center"/>
          </w:tcPr>
          <w:p w14:paraId="0CFF8114">
            <w:pPr>
              <w:pStyle w:val="242"/>
              <w:rPr>
                <w:rFonts w:ascii="Times New Roman" w:hAnsi="Times New Roman" w:eastAsia="宋体" w:cs="Times New Roman"/>
                <w:color w:val="000000" w:themeColor="text1"/>
                <w:lang w:val="zh-CN"/>
                <w14:textFill>
                  <w14:solidFill>
                    <w14:schemeClr w14:val="tx1"/>
                  </w14:solidFill>
                </w14:textFill>
              </w:rPr>
            </w:pPr>
            <w:r>
              <w:rPr>
                <w:rFonts w:ascii="Times New Roman" w:hAnsi="Times New Roman" w:eastAsia="宋体" w:cs="Times New Roman"/>
                <w:color w:val="000000" w:themeColor="text1"/>
                <w:lang w:val="zh-CN"/>
                <w14:textFill>
                  <w14:solidFill>
                    <w14:schemeClr w14:val="tx1"/>
                  </w14:solidFill>
                </w14:textFill>
              </w:rPr>
              <w:t>30</w:t>
            </w:r>
          </w:p>
        </w:tc>
        <w:tc>
          <w:tcPr>
            <w:tcW w:w="781" w:type="pct"/>
            <w:vAlign w:val="center"/>
          </w:tcPr>
          <w:p w14:paraId="41079570">
            <w:pPr>
              <w:pStyle w:val="242"/>
              <w:rPr>
                <w:rFonts w:ascii="Times New Roman" w:hAnsi="Times New Roman" w:eastAsia="宋体" w:cs="Times New Roman"/>
                <w:color w:val="000000" w:themeColor="text1"/>
                <w:lang w:val="zh-CN"/>
                <w14:textFill>
                  <w14:solidFill>
                    <w14:schemeClr w14:val="tx1"/>
                  </w14:solidFill>
                </w14:textFill>
              </w:rPr>
            </w:pPr>
            <w:r>
              <w:rPr>
                <w:rFonts w:ascii="Times New Roman" w:hAnsi="Times New Roman" w:eastAsia="宋体" w:cs="Times New Roman"/>
                <w:color w:val="000000" w:themeColor="text1"/>
                <w:lang w:val="zh-CN"/>
                <w14:textFill>
                  <w14:solidFill>
                    <w14:schemeClr w14:val="tx1"/>
                  </w14:solidFill>
                </w14:textFill>
              </w:rPr>
              <w:t>30</w:t>
            </w:r>
          </w:p>
        </w:tc>
      </w:tr>
      <w:tr w14:paraId="1A91F0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75" w:type="pct"/>
            <w:vAlign w:val="center"/>
          </w:tcPr>
          <w:p w14:paraId="2B8D1EBF">
            <w:pPr>
              <w:pStyle w:val="242"/>
              <w:rPr>
                <w:rFonts w:ascii="Times New Roman" w:hAnsi="Times New Roman" w:eastAsia="宋体" w:cs="Times New Roman"/>
                <w:color w:val="000000" w:themeColor="text1"/>
                <w:lang w:val="zh-CN"/>
                <w14:textFill>
                  <w14:solidFill>
                    <w14:schemeClr w14:val="tx1"/>
                  </w14:solidFill>
                </w14:textFill>
              </w:rPr>
            </w:pPr>
            <w:r>
              <w:rPr>
                <w:rFonts w:ascii="Times New Roman" w:hAnsi="Times New Roman" w:eastAsia="宋体" w:cs="Times New Roman"/>
                <w:color w:val="000000" w:themeColor="text1"/>
                <w:lang w:val="zh-CN"/>
                <w14:textFill>
                  <w14:solidFill>
                    <w14:schemeClr w14:val="tx1"/>
                  </w14:solidFill>
                </w14:textFill>
              </w:rPr>
              <w:t>饲料生长期（d）</w:t>
            </w:r>
          </w:p>
        </w:tc>
        <w:tc>
          <w:tcPr>
            <w:tcW w:w="781" w:type="pct"/>
            <w:vAlign w:val="center"/>
          </w:tcPr>
          <w:p w14:paraId="5FE149B8">
            <w:pPr>
              <w:pStyle w:val="242"/>
              <w:rPr>
                <w:rFonts w:ascii="Times New Roman" w:hAnsi="Times New Roman" w:eastAsia="宋体" w:cs="Times New Roman"/>
                <w:color w:val="000000" w:themeColor="text1"/>
                <w:lang w:val="zh-CN"/>
                <w14:textFill>
                  <w14:solidFill>
                    <w14:schemeClr w14:val="tx1"/>
                  </w14:solidFill>
                </w14:textFill>
              </w:rPr>
            </w:pPr>
            <w:r>
              <w:rPr>
                <w:rFonts w:ascii="Times New Roman" w:hAnsi="Times New Roman" w:eastAsia="宋体" w:cs="Times New Roman"/>
                <w:color w:val="000000" w:themeColor="text1"/>
                <w:lang w:val="zh-CN"/>
                <w14:textFill>
                  <w14:solidFill>
                    <w14:schemeClr w14:val="tx1"/>
                  </w14:solidFill>
                </w14:textFill>
              </w:rPr>
              <w:t>100</w:t>
            </w:r>
          </w:p>
        </w:tc>
        <w:tc>
          <w:tcPr>
            <w:tcW w:w="781" w:type="pct"/>
            <w:vAlign w:val="center"/>
          </w:tcPr>
          <w:p w14:paraId="60D60ADB">
            <w:pPr>
              <w:pStyle w:val="242"/>
              <w:rPr>
                <w:rFonts w:ascii="Times New Roman" w:hAnsi="Times New Roman" w:eastAsia="宋体" w:cs="Times New Roman"/>
                <w:color w:val="000000" w:themeColor="text1"/>
                <w:lang w:val="zh-CN"/>
                <w14:textFill>
                  <w14:solidFill>
                    <w14:schemeClr w14:val="tx1"/>
                  </w14:solidFill>
                </w14:textFill>
              </w:rPr>
            </w:pPr>
            <w:r>
              <w:rPr>
                <w:rFonts w:ascii="Times New Roman" w:hAnsi="Times New Roman" w:eastAsia="宋体" w:cs="Times New Roman"/>
                <w:color w:val="000000" w:themeColor="text1"/>
                <w:lang w:val="zh-CN"/>
                <w14:textFill>
                  <w14:solidFill>
                    <w14:schemeClr w14:val="tx1"/>
                  </w14:solidFill>
                </w14:textFill>
              </w:rPr>
              <w:t>100</w:t>
            </w:r>
          </w:p>
        </w:tc>
        <w:tc>
          <w:tcPr>
            <w:tcW w:w="781" w:type="pct"/>
            <w:vAlign w:val="center"/>
          </w:tcPr>
          <w:p w14:paraId="0E6B6CCC">
            <w:pPr>
              <w:pStyle w:val="242"/>
              <w:rPr>
                <w:rFonts w:ascii="Times New Roman" w:hAnsi="Times New Roman" w:eastAsia="宋体" w:cs="Times New Roman"/>
                <w:color w:val="000000" w:themeColor="text1"/>
                <w:lang w:val="zh-CN"/>
                <w14:textFill>
                  <w14:solidFill>
                    <w14:schemeClr w14:val="tx1"/>
                  </w14:solidFill>
                </w14:textFill>
              </w:rPr>
            </w:pPr>
            <w:r>
              <w:rPr>
                <w:rFonts w:ascii="Times New Roman" w:hAnsi="Times New Roman" w:eastAsia="宋体" w:cs="Times New Roman"/>
                <w:color w:val="000000" w:themeColor="text1"/>
                <w:lang w:val="zh-CN"/>
                <w14:textFill>
                  <w14:solidFill>
                    <w14:schemeClr w14:val="tx1"/>
                  </w14:solidFill>
                </w14:textFill>
              </w:rPr>
              <w:t>100</w:t>
            </w:r>
          </w:p>
        </w:tc>
        <w:tc>
          <w:tcPr>
            <w:tcW w:w="781" w:type="pct"/>
            <w:vAlign w:val="center"/>
          </w:tcPr>
          <w:p w14:paraId="4A397D8A">
            <w:pPr>
              <w:pStyle w:val="242"/>
              <w:rPr>
                <w:rFonts w:ascii="Times New Roman" w:hAnsi="Times New Roman" w:eastAsia="宋体" w:cs="Times New Roman"/>
                <w:color w:val="000000" w:themeColor="text1"/>
                <w:lang w:val="zh-CN"/>
                <w14:textFill>
                  <w14:solidFill>
                    <w14:schemeClr w14:val="tx1"/>
                  </w14:solidFill>
                </w14:textFill>
              </w:rPr>
            </w:pPr>
            <w:r>
              <w:rPr>
                <w:rFonts w:ascii="Times New Roman" w:hAnsi="Times New Roman" w:eastAsia="宋体" w:cs="Times New Roman"/>
                <w:color w:val="000000" w:themeColor="text1"/>
                <w:lang w:val="zh-CN"/>
                <w14:textFill>
                  <w14:solidFill>
                    <w14:schemeClr w14:val="tx1"/>
                  </w14:solidFill>
                </w14:textFill>
              </w:rPr>
              <w:t>100</w:t>
            </w:r>
          </w:p>
        </w:tc>
      </w:tr>
    </w:tbl>
    <w:p w14:paraId="6BB6B38D">
      <w:pPr>
        <w:spacing w:after="0" w:line="360" w:lineRule="auto"/>
        <w:ind w:firstLine="471"/>
        <w:rPr>
          <w:rFonts w:ascii="Times New Roman" w:hAnsi="Times New Roman" w:cs="Times New Roman"/>
          <w:b/>
          <w:color w:val="000000" w:themeColor="text1"/>
          <w:sz w:val="28"/>
          <w:szCs w:val="28"/>
          <w14:textFill>
            <w14:solidFill>
              <w14:schemeClr w14:val="tx1"/>
            </w14:solidFill>
          </w14:textFill>
        </w:rPr>
      </w:pPr>
      <w:bookmarkStart w:id="102" w:name="_Toc78822667"/>
    </w:p>
    <w:p w14:paraId="5B130894">
      <w:pPr>
        <w:pStyle w:val="4"/>
        <w:widowControl w:val="0"/>
        <w:numPr>
          <w:ilvl w:val="1"/>
          <w:numId w:val="1"/>
        </w:numPr>
        <w:spacing w:before="0" w:line="360" w:lineRule="auto"/>
        <w:ind w:left="0" w:firstLine="0"/>
        <w:jc w:val="both"/>
        <w:rPr>
          <w:rFonts w:ascii="Times New Roman" w:hAnsi="Times New Roman" w:eastAsia="黑体" w:cs="Times New Roman"/>
          <w:b/>
          <w:bCs/>
          <w:color w:val="000000" w:themeColor="text1"/>
          <w:kern w:val="2"/>
          <w:sz w:val="28"/>
          <w:szCs w:val="32"/>
          <w14:textFill>
            <w14:solidFill>
              <w14:schemeClr w14:val="tx1"/>
            </w14:solidFill>
          </w14:textFill>
        </w:rPr>
      </w:pPr>
      <w:bookmarkStart w:id="103" w:name="_Toc187653471"/>
      <w:r>
        <w:rPr>
          <w:rFonts w:ascii="Times New Roman" w:hAnsi="Times New Roman" w:eastAsia="黑体" w:cs="Times New Roman"/>
          <w:b/>
          <w:bCs/>
          <w:color w:val="000000" w:themeColor="text1"/>
          <w:kern w:val="2"/>
          <w:sz w:val="28"/>
          <w:szCs w:val="32"/>
          <w14:textFill>
            <w14:solidFill>
              <w14:schemeClr w14:val="tx1"/>
            </w14:solidFill>
          </w14:textFill>
        </w:rPr>
        <w:t>正常工况气载流出物辐射环境影响分析</w:t>
      </w:r>
      <w:bookmarkEnd w:id="102"/>
      <w:bookmarkEnd w:id="103"/>
    </w:p>
    <w:p w14:paraId="043D0663">
      <w:pPr>
        <w:autoSpaceDE w:val="0"/>
        <w:autoSpaceDN w:val="0"/>
        <w:adjustRightInd w:val="0"/>
        <w:spacing w:after="0" w:line="360" w:lineRule="auto"/>
        <w:ind w:firstLine="48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本次辐射环境影响评价的基本评价指标是以拟建厂区中心为中心点的公众最大个人有效剂量当量。评价方法以模式计算为主，选择放射性核素在环境中迁移和剂量估算模式以及相应计算参数，并对设施所致最大个人剂量进行分析。基于偏保守原则，所有源项按源强最大时考虑。</w:t>
      </w:r>
    </w:p>
    <w:p w14:paraId="342AB7AB">
      <w:pPr>
        <w:pStyle w:val="5"/>
        <w:widowControl w:val="0"/>
        <w:numPr>
          <w:ilvl w:val="2"/>
          <w:numId w:val="1"/>
        </w:numPr>
        <w:spacing w:before="0" w:line="360" w:lineRule="auto"/>
        <w:jc w:val="both"/>
        <w:rPr>
          <w:rFonts w:ascii="Times New Roman" w:hAnsi="Times New Roman" w:eastAsia="黑体" w:cs="Times New Roman"/>
          <w:b/>
          <w:bCs/>
          <w:caps w:val="0"/>
          <w:color w:val="000000" w:themeColor="text1"/>
          <w:kern w:val="2"/>
          <w:sz w:val="24"/>
          <w:szCs w:val="32"/>
          <w14:textFill>
            <w14:solidFill>
              <w14:schemeClr w14:val="tx1"/>
            </w14:solidFill>
          </w14:textFill>
        </w:rPr>
      </w:pPr>
      <w:bookmarkStart w:id="104" w:name="_Toc78822668"/>
      <w:r>
        <w:rPr>
          <w:rFonts w:ascii="Times New Roman" w:hAnsi="Times New Roman" w:eastAsia="黑体" w:cs="Times New Roman"/>
          <w:b/>
          <w:bCs/>
          <w:caps w:val="0"/>
          <w:color w:val="000000" w:themeColor="text1"/>
          <w:kern w:val="2"/>
          <w:sz w:val="24"/>
          <w:szCs w:val="32"/>
          <w14:textFill>
            <w14:solidFill>
              <w14:schemeClr w14:val="tx1"/>
            </w14:solidFill>
          </w14:textFill>
        </w:rPr>
        <w:t>气载流出物对公众的辐射影响估算</w:t>
      </w:r>
      <w:bookmarkEnd w:id="104"/>
    </w:p>
    <w:p w14:paraId="65D4DB55">
      <w:pPr>
        <w:pStyle w:val="6"/>
        <w:widowControl w:val="0"/>
        <w:numPr>
          <w:ilvl w:val="3"/>
          <w:numId w:val="1"/>
        </w:numPr>
        <w:spacing w:before="0" w:line="360" w:lineRule="auto"/>
        <w:ind w:left="0" w:firstLine="0"/>
        <w:jc w:val="both"/>
        <w:rPr>
          <w:rFonts w:ascii="Times New Roman" w:hAnsi="Times New Roman" w:eastAsia="黑体" w:cs="Times New Roman"/>
          <w:bCs/>
          <w:i w:val="0"/>
          <w:iCs w:val="0"/>
          <w:color w:val="000000" w:themeColor="text1"/>
          <w:kern w:val="2"/>
          <w:sz w:val="24"/>
          <w14:textFill>
            <w14:solidFill>
              <w14:schemeClr w14:val="tx1"/>
            </w14:solidFill>
          </w14:textFill>
        </w:rPr>
      </w:pPr>
      <w:r>
        <w:rPr>
          <w:rFonts w:ascii="Times New Roman" w:hAnsi="Times New Roman" w:eastAsia="黑体" w:cs="Times New Roman"/>
          <w:bCs/>
          <w:i w:val="0"/>
          <w:iCs w:val="0"/>
          <w:color w:val="000000" w:themeColor="text1"/>
          <w:kern w:val="2"/>
          <w:sz w:val="24"/>
          <w14:textFill>
            <w14:solidFill>
              <w14:schemeClr w14:val="tx1"/>
            </w14:solidFill>
          </w14:textFill>
        </w:rPr>
        <w:t>剂量估算公式</w:t>
      </w:r>
    </w:p>
    <w:p w14:paraId="31EF3F45">
      <w:pPr>
        <w:autoSpaceDE w:val="0"/>
        <w:autoSpaceDN w:val="0"/>
        <w:adjustRightInd w:val="0"/>
        <w:spacing w:after="0" w:line="360" w:lineRule="auto"/>
        <w:ind w:firstLine="48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根据公众所接受的放射性照射途径，本次公众个人有效剂量估算公式可以简化为：</w:t>
      </w:r>
    </w:p>
    <w:p w14:paraId="425B096A">
      <w:pPr>
        <w:spacing w:after="0" w:line="360" w:lineRule="auto"/>
        <w:jc w:val="center"/>
        <w:rPr>
          <w:rFonts w:ascii="Times New Roman" w:hAnsi="Times New Roman" w:cs="Times New Roman"/>
          <w:i/>
          <w:iCs/>
          <w:color w:val="000000" w:themeColor="text1"/>
          <w:sz w:val="24"/>
          <w:szCs w:val="24"/>
          <w:vertAlign w:val="subscript"/>
          <w14:textFill>
            <w14:solidFill>
              <w14:schemeClr w14:val="tx1"/>
            </w14:solidFill>
          </w14:textFill>
        </w:rPr>
      </w:pPr>
      <w:r>
        <w:rPr>
          <w:rFonts w:hint="eastAsia" w:ascii="Times New Roman" w:hAnsi="Times New Roman" w:cs="Times New Roman"/>
          <w:i/>
          <w:iCs/>
          <w:color w:val="000000" w:themeColor="text1"/>
          <w:sz w:val="24"/>
          <w:szCs w:val="24"/>
          <w14:textFill>
            <w14:solidFill>
              <w14:schemeClr w14:val="tx1"/>
            </w14:solidFill>
          </w14:textFill>
        </w:rPr>
        <w:t xml:space="preserve">                   </w:t>
      </w:r>
      <w:r>
        <w:rPr>
          <w:rFonts w:ascii="Times New Roman" w:hAnsi="Times New Roman" w:cs="Times New Roman"/>
          <w:i/>
          <w:iCs/>
          <w:color w:val="000000" w:themeColor="text1"/>
          <w:sz w:val="24"/>
          <w:szCs w:val="24"/>
          <w14:textFill>
            <w14:solidFill>
              <w14:schemeClr w14:val="tx1"/>
            </w14:solidFill>
          </w14:textFill>
        </w:rPr>
        <w:t>D=D</w:t>
      </w:r>
      <w:r>
        <w:rPr>
          <w:rFonts w:ascii="Times New Roman" w:hAnsi="Times New Roman" w:cs="Times New Roman"/>
          <w:i/>
          <w:iCs/>
          <w:color w:val="000000" w:themeColor="text1"/>
          <w:sz w:val="24"/>
          <w:szCs w:val="24"/>
          <w:vertAlign w:val="subscript"/>
          <w14:textFill>
            <w14:solidFill>
              <w14:schemeClr w14:val="tx1"/>
            </w14:solidFill>
          </w14:textFill>
        </w:rPr>
        <w:t>r</w:t>
      </w:r>
      <w:r>
        <w:rPr>
          <w:rFonts w:ascii="Times New Roman" w:hAnsi="Times New Roman" w:cs="Times New Roman"/>
          <w:i/>
          <w:iCs/>
          <w:color w:val="000000" w:themeColor="text1"/>
          <w:sz w:val="24"/>
          <w:szCs w:val="24"/>
          <w14:textFill>
            <w14:solidFill>
              <w14:schemeClr w14:val="tx1"/>
            </w14:solidFill>
          </w14:textFill>
        </w:rPr>
        <w:t>+D</w:t>
      </w:r>
      <w:r>
        <w:rPr>
          <w:rFonts w:ascii="Times New Roman" w:hAnsi="Times New Roman" w:cs="Times New Roman"/>
          <w:i/>
          <w:iCs/>
          <w:color w:val="000000" w:themeColor="text1"/>
          <w:sz w:val="24"/>
          <w:szCs w:val="24"/>
          <w:vertAlign w:val="subscript"/>
          <w14:textFill>
            <w14:solidFill>
              <w14:schemeClr w14:val="tx1"/>
            </w14:solidFill>
          </w14:textFill>
        </w:rPr>
        <w:t>Rn</w:t>
      </w:r>
      <w:r>
        <w:rPr>
          <w:rFonts w:ascii="Times New Roman" w:hAnsi="Times New Roman" w:cs="Times New Roman"/>
          <w:i/>
          <w:iCs/>
          <w:color w:val="000000" w:themeColor="text1"/>
          <w:sz w:val="24"/>
          <w:szCs w:val="24"/>
          <w14:textFill>
            <w14:solidFill>
              <w14:schemeClr w14:val="tx1"/>
            </w14:solidFill>
          </w14:textFill>
        </w:rPr>
        <w:t>+D</w:t>
      </w:r>
      <w:r>
        <w:rPr>
          <w:rFonts w:ascii="Times New Roman" w:hAnsi="Times New Roman" w:cs="Times New Roman"/>
          <w:i/>
          <w:iCs/>
          <w:color w:val="000000" w:themeColor="text1"/>
          <w:sz w:val="24"/>
          <w:szCs w:val="24"/>
          <w:vertAlign w:val="subscript"/>
          <w14:textFill>
            <w14:solidFill>
              <w14:schemeClr w14:val="tx1"/>
            </w14:solidFill>
          </w14:textFill>
        </w:rPr>
        <w:t>h</w:t>
      </w:r>
      <w:r>
        <w:rPr>
          <w:rFonts w:ascii="Times New Roman" w:hAnsi="Times New Roman" w:cs="Times New Roman"/>
          <w:color w:val="000000" w:themeColor="text1"/>
          <w:sz w:val="24"/>
          <w:szCs w:val="24"/>
          <w14:textFill>
            <w14:solidFill>
              <w14:schemeClr w14:val="tx1"/>
            </w14:solidFill>
          </w14:textFill>
        </w:rPr>
        <w:t>………………………（4.2-1）</w:t>
      </w:r>
    </w:p>
    <w:p w14:paraId="39850F0F">
      <w:pPr>
        <w:spacing w:after="0" w:line="360" w:lineRule="auto"/>
        <w:ind w:firstLine="48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式中：</w:t>
      </w:r>
      <w:r>
        <w:rPr>
          <w:rFonts w:ascii="Times New Roman" w:hAnsi="Times New Roman" w:cs="Times New Roman"/>
          <w:i/>
          <w:iCs/>
          <w:color w:val="000000" w:themeColor="text1"/>
          <w:sz w:val="24"/>
          <w:szCs w:val="24"/>
          <w14:textFill>
            <w14:solidFill>
              <w14:schemeClr w14:val="tx1"/>
            </w14:solidFill>
          </w14:textFill>
        </w:rPr>
        <w:t>D</w:t>
      </w:r>
      <w:r>
        <w:rPr>
          <w:rFonts w:ascii="Times New Roman" w:hAnsi="Times New Roman" w:cs="Times New Roman"/>
          <w:color w:val="000000" w:themeColor="text1"/>
          <w:sz w:val="24"/>
          <w:szCs w:val="24"/>
          <w14:textFill>
            <w14:solidFill>
              <w14:schemeClr w14:val="tx1"/>
            </w14:solidFill>
          </w14:textFill>
        </w:rPr>
        <w:t>——公众照射有效剂量，mSv/a；</w:t>
      </w:r>
    </w:p>
    <w:p w14:paraId="409F8D56">
      <w:pPr>
        <w:spacing w:after="0" w:line="360" w:lineRule="auto"/>
        <w:ind w:firstLine="1200" w:firstLineChars="5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i/>
          <w:iCs/>
          <w:color w:val="000000" w:themeColor="text1"/>
          <w:sz w:val="24"/>
          <w:szCs w:val="24"/>
          <w14:textFill>
            <w14:solidFill>
              <w14:schemeClr w14:val="tx1"/>
            </w14:solidFill>
          </w14:textFill>
        </w:rPr>
        <w:t>D</w:t>
      </w:r>
      <w:r>
        <w:rPr>
          <w:rFonts w:ascii="Times New Roman" w:hAnsi="Times New Roman" w:cs="Times New Roman"/>
          <w:i/>
          <w:iCs/>
          <w:color w:val="000000" w:themeColor="text1"/>
          <w:sz w:val="24"/>
          <w:szCs w:val="24"/>
          <w:vertAlign w:val="subscript"/>
          <w14:textFill>
            <w14:solidFill>
              <w14:schemeClr w14:val="tx1"/>
            </w14:solidFill>
          </w14:textFill>
        </w:rPr>
        <w:t>r</w:t>
      </w:r>
      <w:r>
        <w:rPr>
          <w:rFonts w:ascii="Times New Roman" w:hAnsi="Times New Roman" w:cs="Times New Roman"/>
          <w:color w:val="000000" w:themeColor="text1"/>
          <w:sz w:val="24"/>
          <w:szCs w:val="24"/>
          <w14:textFill>
            <w14:solidFill>
              <w14:schemeClr w14:val="tx1"/>
            </w14:solidFill>
          </w14:textFill>
        </w:rPr>
        <w:t>——外照射有效剂量，mSv/a；</w:t>
      </w:r>
    </w:p>
    <w:p w14:paraId="43FE02BF">
      <w:pPr>
        <w:spacing w:after="0" w:line="360" w:lineRule="auto"/>
        <w:ind w:firstLine="1200" w:firstLineChars="5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i/>
          <w:iCs/>
          <w:color w:val="000000" w:themeColor="text1"/>
          <w:sz w:val="24"/>
          <w:szCs w:val="24"/>
          <w14:textFill>
            <w14:solidFill>
              <w14:schemeClr w14:val="tx1"/>
            </w14:solidFill>
          </w14:textFill>
        </w:rPr>
        <w:t>D</w:t>
      </w:r>
      <w:r>
        <w:rPr>
          <w:rFonts w:ascii="Times New Roman" w:hAnsi="Times New Roman" w:cs="Times New Roman"/>
          <w:i/>
          <w:iCs/>
          <w:color w:val="000000" w:themeColor="text1"/>
          <w:sz w:val="24"/>
          <w:szCs w:val="24"/>
          <w:vertAlign w:val="subscript"/>
          <w14:textFill>
            <w14:solidFill>
              <w14:schemeClr w14:val="tx1"/>
            </w14:solidFill>
          </w14:textFill>
        </w:rPr>
        <w:t>Rn</w:t>
      </w:r>
      <w:r>
        <w:rPr>
          <w:rFonts w:ascii="Times New Roman" w:hAnsi="Times New Roman" w:cs="Times New Roman"/>
          <w:color w:val="000000" w:themeColor="text1"/>
          <w:sz w:val="24"/>
          <w:szCs w:val="24"/>
          <w14:textFill>
            <w14:solidFill>
              <w14:schemeClr w14:val="tx1"/>
            </w14:solidFill>
          </w14:textFill>
        </w:rPr>
        <w:t>——氡吸入所致内照射有效剂量，mSv/a。</w:t>
      </w:r>
    </w:p>
    <w:p w14:paraId="02BC1F73">
      <w:pPr>
        <w:spacing w:after="0" w:line="360" w:lineRule="auto"/>
        <w:ind w:firstLine="1200" w:firstLineChars="5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i/>
          <w:iCs/>
          <w:color w:val="000000" w:themeColor="text1"/>
          <w:sz w:val="24"/>
          <w:szCs w:val="24"/>
          <w14:textFill>
            <w14:solidFill>
              <w14:schemeClr w14:val="tx1"/>
            </w14:solidFill>
          </w14:textFill>
        </w:rPr>
        <w:t>D</w:t>
      </w:r>
      <w:r>
        <w:rPr>
          <w:rFonts w:ascii="Times New Roman" w:hAnsi="Times New Roman" w:cs="Times New Roman"/>
          <w:i/>
          <w:iCs/>
          <w:color w:val="000000" w:themeColor="text1"/>
          <w:sz w:val="24"/>
          <w:szCs w:val="24"/>
          <w:vertAlign w:val="subscript"/>
          <w14:textFill>
            <w14:solidFill>
              <w14:schemeClr w14:val="tx1"/>
            </w14:solidFill>
          </w14:textFill>
        </w:rPr>
        <w:t>h</w:t>
      </w:r>
      <w:r>
        <w:rPr>
          <w:rFonts w:ascii="Times New Roman" w:hAnsi="Times New Roman" w:cs="Times New Roman"/>
          <w:color w:val="000000" w:themeColor="text1"/>
          <w:sz w:val="24"/>
          <w:szCs w:val="24"/>
          <w14:textFill>
            <w14:solidFill>
              <w14:schemeClr w14:val="tx1"/>
            </w14:solidFill>
          </w14:textFill>
        </w:rPr>
        <w:t>——第i种</w:t>
      </w:r>
      <w:bookmarkStart w:id="105" w:name="OLE_LINK33"/>
      <w:r>
        <w:rPr>
          <w:rFonts w:ascii="Times New Roman" w:hAnsi="Times New Roman" w:cs="Times New Roman"/>
          <w:color w:val="000000" w:themeColor="text1"/>
          <w:sz w:val="24"/>
          <w:szCs w:val="24"/>
          <w14:textFill>
            <w14:solidFill>
              <w14:schemeClr w14:val="tx1"/>
            </w14:solidFill>
          </w14:textFill>
        </w:rPr>
        <w:t>核素吸入所致内照射有效剂量</w:t>
      </w:r>
      <w:bookmarkEnd w:id="105"/>
      <w:r>
        <w:rPr>
          <w:rFonts w:ascii="Times New Roman" w:hAnsi="Times New Roman" w:cs="Times New Roman"/>
          <w:color w:val="000000" w:themeColor="text1"/>
          <w:sz w:val="24"/>
          <w:szCs w:val="24"/>
          <w14:textFill>
            <w14:solidFill>
              <w14:schemeClr w14:val="tx1"/>
            </w14:solidFill>
          </w14:textFill>
        </w:rPr>
        <w:t>，mSv/a。</w:t>
      </w:r>
    </w:p>
    <w:p w14:paraId="060F2BE3">
      <w:pPr>
        <w:autoSpaceDE w:val="0"/>
        <w:autoSpaceDN w:val="0"/>
        <w:adjustRightInd w:val="0"/>
        <w:spacing w:after="0" w:line="360" w:lineRule="auto"/>
        <w:ind w:firstLine="48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本次项目辐射环境评价中，公众所受到的放射性外照射主要表现为矿尘的浸没照射以及沉积在地表的矿尘所致的外照射。由于其量微乎其微，外照射剂量转换因子很小（对于</w:t>
      </w:r>
      <w:r>
        <w:rPr>
          <w:rFonts w:ascii="Times New Roman" w:hAnsi="Times New Roman" w:cs="Times New Roman"/>
          <w:color w:val="000000" w:themeColor="text1"/>
          <w:sz w:val="24"/>
          <w:szCs w:val="24"/>
          <w:vertAlign w:val="superscript"/>
          <w14:textFill>
            <w14:solidFill>
              <w14:schemeClr w14:val="tx1"/>
            </w14:solidFill>
          </w14:textFill>
        </w:rPr>
        <w:t>238</w:t>
      </w:r>
      <w:r>
        <w:rPr>
          <w:rFonts w:ascii="Times New Roman" w:hAnsi="Times New Roman" w:cs="Times New Roman"/>
          <w:color w:val="000000" w:themeColor="text1"/>
          <w:sz w:val="24"/>
          <w:szCs w:val="24"/>
          <w14:textFill>
            <w14:solidFill>
              <w14:schemeClr w14:val="tx1"/>
            </w14:solidFill>
          </w14:textFill>
        </w:rPr>
        <w:t>U地表沉积为 5.5×10</w:t>
      </w:r>
      <w:r>
        <w:rPr>
          <w:rFonts w:ascii="Times New Roman" w:hAnsi="Times New Roman" w:cs="Times New Roman"/>
          <w:color w:val="000000" w:themeColor="text1"/>
          <w:sz w:val="24"/>
          <w:szCs w:val="24"/>
          <w:vertAlign w:val="superscript"/>
          <w14:textFill>
            <w14:solidFill>
              <w14:schemeClr w14:val="tx1"/>
            </w14:solidFill>
          </w14:textFill>
        </w:rPr>
        <w:t>-19</w:t>
      </w:r>
      <w:r>
        <w:rPr>
          <w:rFonts w:ascii="Times New Roman" w:hAnsi="Times New Roman" w:cs="Times New Roman"/>
          <w:color w:val="000000" w:themeColor="text1"/>
          <w:sz w:val="24"/>
          <w:szCs w:val="24"/>
          <w14:textFill>
            <w14:solidFill>
              <w14:schemeClr w14:val="tx1"/>
            </w14:solidFill>
          </w14:textFill>
        </w:rPr>
        <w:t>Sv/(S·Bq/m</w:t>
      </w:r>
      <w:r>
        <w:rPr>
          <w:rFonts w:ascii="Times New Roman" w:hAnsi="Times New Roman" w:cs="Times New Roman"/>
          <w:color w:val="000000" w:themeColor="text1"/>
          <w:sz w:val="24"/>
          <w:szCs w:val="24"/>
          <w:vertAlign w:val="superscript"/>
          <w14:textFill>
            <w14:solidFill>
              <w14:schemeClr w14:val="tx1"/>
            </w14:solidFill>
          </w14:textFill>
        </w:rPr>
        <w:t>2</w:t>
      </w:r>
      <w:r>
        <w:rPr>
          <w:rFonts w:ascii="Times New Roman" w:hAnsi="Times New Roman" w:cs="Times New Roman"/>
          <w:color w:val="000000" w:themeColor="text1"/>
          <w:sz w:val="24"/>
          <w:szCs w:val="24"/>
          <w14:textFill>
            <w14:solidFill>
              <w14:schemeClr w14:val="tx1"/>
            </w14:solidFill>
          </w14:textFill>
        </w:rPr>
        <w:t>)，空气浸没照射4.4×10</w:t>
      </w:r>
      <w:r>
        <w:rPr>
          <w:rFonts w:ascii="Times New Roman" w:hAnsi="Times New Roman" w:cs="Times New Roman"/>
          <w:color w:val="000000" w:themeColor="text1"/>
          <w:sz w:val="24"/>
          <w:szCs w:val="24"/>
          <w:vertAlign w:val="superscript"/>
          <w14:textFill>
            <w14:solidFill>
              <w14:schemeClr w14:val="tx1"/>
            </w14:solidFill>
          </w14:textFill>
        </w:rPr>
        <w:t>-18</w:t>
      </w:r>
      <w:r>
        <w:rPr>
          <w:rFonts w:ascii="Times New Roman" w:hAnsi="Times New Roman" w:cs="Times New Roman"/>
          <w:color w:val="000000" w:themeColor="text1"/>
          <w:sz w:val="24"/>
          <w:szCs w:val="24"/>
          <w14:textFill>
            <w14:solidFill>
              <w14:schemeClr w14:val="tx1"/>
            </w14:solidFill>
          </w14:textFill>
        </w:rPr>
        <w:t>Sv/</w:t>
      </w: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S·Bq/m</w:t>
      </w:r>
      <w:r>
        <w:rPr>
          <w:rFonts w:ascii="Times New Roman" w:hAnsi="Times New Roman" w:cs="Times New Roman"/>
          <w:color w:val="000000" w:themeColor="text1"/>
          <w:sz w:val="24"/>
          <w:szCs w:val="24"/>
          <w:vertAlign w:val="superscript"/>
          <w14:textFill>
            <w14:solidFill>
              <w14:schemeClr w14:val="tx1"/>
            </w14:solidFill>
          </w14:textFill>
        </w:rPr>
        <w:t>2</w:t>
      </w:r>
      <w:r>
        <w:rPr>
          <w:rFonts w:ascii="Times New Roman" w:hAnsi="Times New Roman" w:cs="Times New Roman"/>
          <w:color w:val="000000" w:themeColor="text1"/>
          <w:sz w:val="24"/>
          <w:szCs w:val="24"/>
          <w14:textFill>
            <w14:solidFill>
              <w14:schemeClr w14:val="tx1"/>
            </w14:solidFill>
          </w14:textFill>
        </w:rPr>
        <w:t>)），难以获得重矿砂微尘沉积的相关参数。在评价中，考虑到矿尘浸没与沉积所致公众的有效剂量相对于吸入放射性核素途径所致有效剂量小很多，因此，评价中忽略其外照射有效剂量贡献。</w:t>
      </w:r>
    </w:p>
    <w:p w14:paraId="0F136449">
      <w:pPr>
        <w:pStyle w:val="6"/>
        <w:widowControl w:val="0"/>
        <w:numPr>
          <w:ilvl w:val="3"/>
          <w:numId w:val="1"/>
        </w:numPr>
        <w:spacing w:before="0" w:line="360" w:lineRule="auto"/>
        <w:ind w:left="0" w:firstLine="0"/>
        <w:jc w:val="both"/>
        <w:rPr>
          <w:rFonts w:ascii="Times New Roman" w:hAnsi="Times New Roman" w:eastAsia="黑体" w:cs="Times New Roman"/>
          <w:bCs/>
          <w:i w:val="0"/>
          <w:iCs w:val="0"/>
          <w:color w:val="000000" w:themeColor="text1"/>
          <w:kern w:val="2"/>
          <w:sz w:val="24"/>
          <w14:textFill>
            <w14:solidFill>
              <w14:schemeClr w14:val="tx1"/>
            </w14:solidFill>
          </w14:textFill>
        </w:rPr>
      </w:pPr>
      <w:r>
        <w:rPr>
          <w:rFonts w:ascii="Times New Roman" w:hAnsi="Times New Roman" w:eastAsia="黑体" w:cs="Times New Roman"/>
          <w:bCs/>
          <w:i w:val="0"/>
          <w:iCs w:val="0"/>
          <w:color w:val="000000" w:themeColor="text1"/>
          <w:kern w:val="2"/>
          <w:sz w:val="24"/>
          <w:vertAlign w:val="superscript"/>
          <w14:textFill>
            <w14:solidFill>
              <w14:schemeClr w14:val="tx1"/>
            </w14:solidFill>
          </w14:textFill>
        </w:rPr>
        <w:t>222</w:t>
      </w:r>
      <w:r>
        <w:rPr>
          <w:rFonts w:ascii="Times New Roman" w:hAnsi="Times New Roman" w:eastAsia="黑体" w:cs="Times New Roman"/>
          <w:bCs/>
          <w:i w:val="0"/>
          <w:iCs w:val="0"/>
          <w:color w:val="000000" w:themeColor="text1"/>
          <w:kern w:val="2"/>
          <w:sz w:val="24"/>
          <w14:textFill>
            <w14:solidFill>
              <w14:schemeClr w14:val="tx1"/>
            </w14:solidFill>
          </w14:textFill>
        </w:rPr>
        <w:t>Rn所致个人有效剂量当量</w:t>
      </w:r>
    </w:p>
    <w:p w14:paraId="75FAED31">
      <w:pPr>
        <w:autoSpaceDE w:val="0"/>
        <w:autoSpaceDN w:val="0"/>
        <w:adjustRightInd w:val="0"/>
        <w:spacing w:after="0" w:line="360" w:lineRule="auto"/>
        <w:ind w:firstLine="480"/>
        <w:jc w:val="both"/>
        <w:rPr>
          <w:rFonts w:ascii="Times New Roman" w:hAnsi="Times New Roman" w:cs="Times New Roman"/>
          <w:color w:val="000000" w:themeColor="text1"/>
          <w:sz w:val="24"/>
          <w:szCs w:val="24"/>
          <w14:textFill>
            <w14:solidFill>
              <w14:schemeClr w14:val="tx1"/>
            </w14:solidFill>
          </w14:textFill>
        </w:rPr>
      </w:pPr>
      <w:bookmarkStart w:id="106" w:name="_Hlk15289313"/>
      <w:r>
        <w:rPr>
          <w:rFonts w:ascii="Times New Roman" w:hAnsi="Times New Roman" w:cs="Times New Roman"/>
          <w:color w:val="000000" w:themeColor="text1"/>
          <w:sz w:val="24"/>
          <w:szCs w:val="24"/>
          <w14:textFill>
            <w14:solidFill>
              <w14:schemeClr w14:val="tx1"/>
            </w14:solidFill>
          </w14:textFill>
        </w:rPr>
        <w:t>由于箱式模型适用于排出源分布较为均匀或系统内部扩散信息难以得到的场合，从广度上讲是一种广域的污染状态模型，因此本项目采用简单箱体模型计算场所氡析出率，再根据IAEA和ICRP剂量计算模式，计算氡吸入所致内照射有效剂量，箱体模型假设析出的氡在箱内均匀混合。</w:t>
      </w:r>
      <w:bookmarkEnd w:id="106"/>
      <w:r>
        <w:rPr>
          <w:rFonts w:ascii="Times New Roman" w:hAnsi="Times New Roman" w:cs="Times New Roman"/>
          <w:color w:val="000000" w:themeColor="text1"/>
          <w:sz w:val="24"/>
          <w:szCs w:val="24"/>
          <w14:textFill>
            <w14:solidFill>
              <w14:schemeClr w14:val="tx1"/>
            </w14:solidFill>
          </w14:textFill>
        </w:rPr>
        <w:t>箱式模型计算公式为：</w:t>
      </w:r>
    </w:p>
    <w:p w14:paraId="366A79F5">
      <w:pPr>
        <w:spacing w:after="0" w:line="360" w:lineRule="auto"/>
        <w:ind w:firstLine="960" w:firstLineChars="400"/>
        <w:jc w:val="center"/>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i/>
          <w:color w:val="000000" w:themeColor="text1"/>
          <w:sz w:val="24"/>
          <w:szCs w:val="24"/>
          <w14:textFill>
            <w14:solidFill>
              <w14:schemeClr w14:val="tx1"/>
            </w14:solidFill>
          </w14:textFill>
        </w:rPr>
        <w:t xml:space="preserve">           </w:t>
      </w:r>
      <w:r>
        <w:rPr>
          <w:rFonts w:ascii="Times New Roman" w:hAnsi="Times New Roman" w:cs="Times New Roman"/>
          <w:i/>
          <w:color w:val="000000" w:themeColor="text1"/>
          <w:sz w:val="24"/>
          <w:szCs w:val="24"/>
          <w14:textFill>
            <w14:solidFill>
              <w14:schemeClr w14:val="tx1"/>
            </w14:solidFill>
          </w14:textFill>
        </w:rPr>
        <w:t>R=C</w:t>
      </w:r>
      <w:r>
        <w:rPr>
          <w:rFonts w:ascii="Times New Roman" w:hAnsi="Times New Roman" w:cs="Times New Roman"/>
          <w:i/>
          <w:color w:val="000000" w:themeColor="text1"/>
          <w:sz w:val="24"/>
          <w:szCs w:val="24"/>
          <w:vertAlign w:val="subscript"/>
          <w14:textFill>
            <w14:solidFill>
              <w14:schemeClr w14:val="tx1"/>
            </w14:solidFill>
          </w14:textFill>
        </w:rPr>
        <w:t>Rn</w:t>
      </w:r>
      <w:r>
        <w:rPr>
          <w:rFonts w:ascii="Times New Roman" w:hAnsi="Times New Roman" w:cs="Times New Roman"/>
          <w:i/>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i/>
          <w:color w:val="000000" w:themeColor="text1"/>
          <w:sz w:val="24"/>
          <w:szCs w:val="24"/>
          <w14:textFill>
            <w14:solidFill>
              <w14:schemeClr w14:val="tx1"/>
            </w14:solidFill>
          </w14:textFill>
        </w:rPr>
        <w:t>U*B*H</w:t>
      </w:r>
      <w:r>
        <w:rPr>
          <w:rFonts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i/>
          <w:color w:val="000000" w:themeColor="text1"/>
          <w:sz w:val="24"/>
          <w:szCs w:val="24"/>
          <w14:textFill>
            <w14:solidFill>
              <w14:schemeClr w14:val="tx1"/>
            </w14:solidFill>
          </w14:textFill>
        </w:rPr>
        <w:t>/S</w:t>
      </w:r>
      <w:r>
        <w:rPr>
          <w:rFonts w:ascii="Times New Roman" w:hAnsi="Times New Roman" w:cs="Times New Roman"/>
          <w:color w:val="000000" w:themeColor="text1"/>
          <w:sz w:val="24"/>
          <w:szCs w:val="24"/>
          <w14:textFill>
            <w14:solidFill>
              <w14:schemeClr w14:val="tx1"/>
            </w14:solidFill>
          </w14:textFill>
        </w:rPr>
        <w:t>……………………（4.2-2）</w:t>
      </w:r>
    </w:p>
    <w:p w14:paraId="2DD585B2">
      <w:pPr>
        <w:spacing w:after="0" w:line="360" w:lineRule="auto"/>
        <w:ind w:left="900" w:leftChars="200" w:hanging="480" w:hanging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式中：</w:t>
      </w:r>
      <w:r>
        <w:rPr>
          <w:rFonts w:ascii="Times New Roman" w:hAnsi="Times New Roman" w:cs="Times New Roman"/>
          <w:i/>
          <w:color w:val="000000" w:themeColor="text1"/>
          <w:sz w:val="24"/>
          <w:szCs w:val="24"/>
          <w14:textFill>
            <w14:solidFill>
              <w14:schemeClr w14:val="tx1"/>
            </w14:solidFill>
          </w14:textFill>
        </w:rPr>
        <w:t>R</w:t>
      </w:r>
      <w:r>
        <w:rPr>
          <w:rFonts w:ascii="Times New Roman" w:hAnsi="Times New Roman" w:cs="Times New Roman"/>
          <w:color w:val="000000" w:themeColor="text1"/>
          <w:sz w:val="24"/>
          <w:szCs w:val="24"/>
          <w14:textFill>
            <w14:solidFill>
              <w14:schemeClr w14:val="tx1"/>
            </w14:solidFill>
          </w14:textFill>
        </w:rPr>
        <w:t>：场地中氡析出率，Bq/(m</w:t>
      </w:r>
      <w:r>
        <w:rPr>
          <w:rFonts w:ascii="Times New Roman" w:hAnsi="Times New Roman" w:cs="Times New Roman"/>
          <w:color w:val="000000" w:themeColor="text1"/>
          <w:sz w:val="24"/>
          <w:szCs w:val="24"/>
          <w:vertAlign w:val="superscript"/>
          <w14:textFill>
            <w14:solidFill>
              <w14:schemeClr w14:val="tx1"/>
            </w14:solidFill>
          </w14:textFill>
        </w:rPr>
        <w:t>2</w:t>
      </w:r>
      <w:r>
        <w:rPr>
          <w:rFonts w:ascii="Times New Roman" w:hAnsi="Times New Roman" w:cs="Times New Roman"/>
          <w:color w:val="000000" w:themeColor="text1"/>
          <w:sz w:val="24"/>
          <w:szCs w:val="24"/>
          <w14:textFill>
            <w14:solidFill>
              <w14:schemeClr w14:val="tx1"/>
            </w14:solidFill>
          </w14:textFill>
        </w:rPr>
        <w:t>·s)；</w:t>
      </w:r>
    </w:p>
    <w:p w14:paraId="7376C165">
      <w:pPr>
        <w:spacing w:after="0" w:line="360" w:lineRule="auto"/>
        <w:ind w:left="840" w:leftChars="4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i/>
          <w:color w:val="000000" w:themeColor="text1"/>
          <w:sz w:val="24"/>
          <w:szCs w:val="24"/>
          <w14:textFill>
            <w14:solidFill>
              <w14:schemeClr w14:val="tx1"/>
            </w14:solidFill>
          </w14:textFill>
        </w:rPr>
        <w:t>C</w:t>
      </w:r>
      <w:r>
        <w:rPr>
          <w:rFonts w:ascii="Times New Roman" w:hAnsi="Times New Roman" w:cs="Times New Roman"/>
          <w:i/>
          <w:color w:val="000000" w:themeColor="text1"/>
          <w:sz w:val="24"/>
          <w:szCs w:val="24"/>
          <w:vertAlign w:val="subscript"/>
          <w14:textFill>
            <w14:solidFill>
              <w14:schemeClr w14:val="tx1"/>
            </w14:solidFill>
          </w14:textFill>
        </w:rPr>
        <w:t>Rn</w:t>
      </w:r>
      <w:r>
        <w:rPr>
          <w:rFonts w:ascii="Times New Roman" w:hAnsi="Times New Roman" w:cs="Times New Roman"/>
          <w:color w:val="000000" w:themeColor="text1"/>
          <w:sz w:val="24"/>
          <w:szCs w:val="24"/>
          <w14:textFill>
            <w14:solidFill>
              <w14:schemeClr w14:val="tx1"/>
            </w14:solidFill>
          </w14:textFill>
        </w:rPr>
        <w:t>：场地中氡浓度，11.4Bq/m</w:t>
      </w:r>
      <w:r>
        <w:rPr>
          <w:rFonts w:ascii="Times New Roman" w:hAnsi="Times New Roman" w:cs="Times New Roman"/>
          <w:color w:val="000000" w:themeColor="text1"/>
          <w:sz w:val="24"/>
          <w:szCs w:val="24"/>
          <w:vertAlign w:val="superscript"/>
          <w14:textFill>
            <w14:solidFill>
              <w14:schemeClr w14:val="tx1"/>
            </w14:solidFill>
          </w14:textFill>
        </w:rPr>
        <w:t>3</w:t>
      </w:r>
      <w:r>
        <w:rPr>
          <w:rFonts w:ascii="Times New Roman" w:hAnsi="Times New Roman" w:cs="Times New Roman"/>
          <w:color w:val="000000" w:themeColor="text1"/>
          <w:sz w:val="24"/>
          <w:szCs w:val="24"/>
          <w14:textFill>
            <w14:solidFill>
              <w14:schemeClr w14:val="tx1"/>
            </w14:solidFill>
          </w14:textFill>
        </w:rPr>
        <w:t>（厂区生产车间平均计）；</w:t>
      </w:r>
    </w:p>
    <w:p w14:paraId="2DE647B0">
      <w:pPr>
        <w:spacing w:after="0" w:line="360" w:lineRule="auto"/>
        <w:ind w:left="840" w:leftChars="4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i/>
          <w:color w:val="000000" w:themeColor="text1"/>
          <w:sz w:val="24"/>
          <w:szCs w:val="24"/>
          <w14:textFill>
            <w14:solidFill>
              <w14:schemeClr w14:val="tx1"/>
            </w14:solidFill>
          </w14:textFill>
        </w:rPr>
        <w:t>S</w:t>
      </w:r>
      <w:r>
        <w:rPr>
          <w:rFonts w:ascii="Times New Roman" w:hAnsi="Times New Roman" w:cs="Times New Roman"/>
          <w:color w:val="000000" w:themeColor="text1"/>
          <w:sz w:val="24"/>
          <w:szCs w:val="24"/>
          <w14:textFill>
            <w14:solidFill>
              <w14:schemeClr w14:val="tx1"/>
            </w14:solidFill>
          </w14:textFill>
        </w:rPr>
        <w:t>：场地面积工作场所，</w:t>
      </w:r>
      <w:r>
        <w:rPr>
          <w:rFonts w:hint="eastAsia" w:ascii="Times New Roman" w:hAnsi="Times New Roman" w:cs="Times New Roman"/>
          <w:color w:val="000000" w:themeColor="text1"/>
          <w:sz w:val="24"/>
          <w:szCs w:val="24"/>
          <w14:textFill>
            <w14:solidFill>
              <w14:schemeClr w14:val="tx1"/>
            </w14:solidFill>
          </w14:textFill>
        </w:rPr>
        <w:t>1#车间</w:t>
      </w:r>
      <w:r>
        <w:rPr>
          <w:rFonts w:ascii="Times New Roman" w:hAnsi="Times New Roman" w:cs="Times New Roman"/>
          <w:color w:val="000000" w:themeColor="text1"/>
          <w:sz w:val="24"/>
          <w:szCs w:val="24"/>
          <w14:textFill>
            <w14:solidFill>
              <w14:schemeClr w14:val="tx1"/>
            </w14:solidFill>
          </w14:textFill>
        </w:rPr>
        <w:t>1179.58m</w:t>
      </w:r>
      <w:r>
        <w:rPr>
          <w:rFonts w:ascii="Times New Roman" w:hAnsi="Times New Roman" w:cs="Times New Roman"/>
          <w:color w:val="000000" w:themeColor="text1"/>
          <w:sz w:val="24"/>
          <w:szCs w:val="24"/>
          <w:vertAlign w:val="superscript"/>
          <w14:textFill>
            <w14:solidFill>
              <w14:schemeClr w14:val="tx1"/>
            </w14:solidFill>
          </w14:textFill>
        </w:rPr>
        <w:t>2</w:t>
      </w:r>
      <w:r>
        <w:rPr>
          <w:rFonts w:hint="eastAsia" w:ascii="Times New Roman" w:hAnsi="Times New Roman" w:cs="Times New Roman"/>
          <w:color w:val="000000" w:themeColor="text1"/>
          <w:sz w:val="24"/>
          <w:szCs w:val="24"/>
          <w14:textFill>
            <w14:solidFill>
              <w14:schemeClr w14:val="tx1"/>
            </w14:solidFill>
          </w14:textFill>
        </w:rPr>
        <w:t>，2#车间</w:t>
      </w:r>
      <w:r>
        <w:rPr>
          <w:rFonts w:ascii="Times New Roman" w:hAnsi="Times New Roman" w:cs="Times New Roman"/>
          <w:color w:val="000000" w:themeColor="text1"/>
          <w:sz w:val="24"/>
          <w:szCs w:val="24"/>
          <w14:textFill>
            <w14:solidFill>
              <w14:schemeClr w14:val="tx1"/>
            </w14:solidFill>
          </w14:textFill>
        </w:rPr>
        <w:t>1179.</w:t>
      </w:r>
      <w:r>
        <w:rPr>
          <w:rFonts w:hint="eastAsia" w:ascii="Times New Roman" w:hAnsi="Times New Roman" w:cs="Times New Roman"/>
          <w:color w:val="000000" w:themeColor="text1"/>
          <w:sz w:val="24"/>
          <w:szCs w:val="24"/>
          <w14:textFill>
            <w14:solidFill>
              <w14:schemeClr w14:val="tx1"/>
            </w14:solidFill>
          </w14:textFill>
        </w:rPr>
        <w:t>36</w:t>
      </w:r>
      <w:r>
        <w:rPr>
          <w:rFonts w:ascii="Times New Roman" w:hAnsi="Times New Roman" w:cs="Times New Roman"/>
          <w:color w:val="000000" w:themeColor="text1"/>
          <w:sz w:val="24"/>
          <w:szCs w:val="24"/>
          <w14:textFill>
            <w14:solidFill>
              <w14:schemeClr w14:val="tx1"/>
            </w14:solidFill>
          </w14:textFill>
        </w:rPr>
        <w:t>m</w:t>
      </w:r>
      <w:r>
        <w:rPr>
          <w:rFonts w:ascii="Times New Roman" w:hAnsi="Times New Roman" w:cs="Times New Roman"/>
          <w:color w:val="000000" w:themeColor="text1"/>
          <w:sz w:val="24"/>
          <w:szCs w:val="24"/>
          <w:vertAlign w:val="superscript"/>
          <w14:textFill>
            <w14:solidFill>
              <w14:schemeClr w14:val="tx1"/>
            </w14:solidFill>
          </w14:textFill>
        </w:rPr>
        <w:t>2</w:t>
      </w:r>
      <w:r>
        <w:rPr>
          <w:rFonts w:ascii="Times New Roman" w:hAnsi="Times New Roman" w:cs="Times New Roman"/>
          <w:color w:val="000000" w:themeColor="text1"/>
          <w:sz w:val="24"/>
          <w:szCs w:val="24"/>
          <w14:textFill>
            <w14:solidFill>
              <w14:schemeClr w14:val="tx1"/>
            </w14:solidFill>
          </w14:textFill>
        </w:rPr>
        <w:t>；</w:t>
      </w:r>
    </w:p>
    <w:p w14:paraId="7658F87C">
      <w:pPr>
        <w:spacing w:after="0" w:line="360" w:lineRule="auto"/>
        <w:ind w:left="840" w:leftChars="4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i/>
          <w:color w:val="000000" w:themeColor="text1"/>
          <w:sz w:val="24"/>
          <w:szCs w:val="24"/>
          <w14:textFill>
            <w14:solidFill>
              <w14:schemeClr w14:val="tx1"/>
            </w14:solidFill>
          </w14:textFill>
        </w:rPr>
        <w:t>U</w:t>
      </w:r>
      <w:r>
        <w:rPr>
          <w:rFonts w:ascii="Times New Roman" w:hAnsi="Times New Roman" w:cs="Times New Roman"/>
          <w:color w:val="000000" w:themeColor="text1"/>
          <w:sz w:val="24"/>
          <w:szCs w:val="24"/>
          <w14:textFill>
            <w14:solidFill>
              <w14:schemeClr w14:val="tx1"/>
            </w14:solidFill>
          </w14:textFill>
        </w:rPr>
        <w:t>：各风向年均风速，根据常规环评取2.6m/s；</w:t>
      </w:r>
    </w:p>
    <w:p w14:paraId="4E41AD2C">
      <w:pPr>
        <w:spacing w:after="0" w:line="360" w:lineRule="auto"/>
        <w:ind w:left="840" w:leftChars="4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i/>
          <w:color w:val="000000" w:themeColor="text1"/>
          <w:sz w:val="24"/>
          <w:szCs w:val="24"/>
          <w14:textFill>
            <w14:solidFill>
              <w14:schemeClr w14:val="tx1"/>
            </w14:solidFill>
          </w14:textFill>
        </w:rPr>
        <w:t>B</w:t>
      </w:r>
      <w:r>
        <w:rPr>
          <w:rFonts w:ascii="Times New Roman" w:hAnsi="Times New Roman" w:cs="Times New Roman"/>
          <w:color w:val="000000" w:themeColor="text1"/>
          <w:sz w:val="24"/>
          <w:szCs w:val="24"/>
          <w14:textFill>
            <w14:solidFill>
              <w14:schemeClr w14:val="tx1"/>
            </w14:solidFill>
          </w14:textFill>
        </w:rPr>
        <w:t>：垂直最高概率风向的场地宽度，主导风向为北风，垂直于主导风向即东西向为220m；</w:t>
      </w:r>
    </w:p>
    <w:p w14:paraId="489D6233">
      <w:pPr>
        <w:spacing w:after="0" w:line="360" w:lineRule="auto"/>
        <w:ind w:left="840" w:leftChars="4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i/>
          <w:color w:val="000000" w:themeColor="text1"/>
          <w:sz w:val="24"/>
          <w:szCs w:val="24"/>
          <w14:textFill>
            <w14:solidFill>
              <w14:schemeClr w14:val="tx1"/>
            </w14:solidFill>
          </w14:textFill>
        </w:rPr>
        <w:t>H</w:t>
      </w:r>
      <w:r>
        <w:rPr>
          <w:rFonts w:ascii="Times New Roman" w:hAnsi="Times New Roman" w:cs="Times New Roman"/>
          <w:color w:val="000000" w:themeColor="text1"/>
          <w:sz w:val="24"/>
          <w:szCs w:val="24"/>
          <w14:textFill>
            <w14:solidFill>
              <w14:schemeClr w14:val="tx1"/>
            </w14:solidFill>
          </w14:textFill>
        </w:rPr>
        <w:t xml:space="preserve">：箱体高度，取10m（建筑物顶面高度）。 </w:t>
      </w:r>
    </w:p>
    <w:p w14:paraId="58CD29F9">
      <w:pPr>
        <w:autoSpaceDE w:val="0"/>
        <w:autoSpaceDN w:val="0"/>
        <w:adjustRightInd w:val="0"/>
        <w:spacing w:after="0" w:line="360" w:lineRule="auto"/>
        <w:ind w:firstLine="48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氡浓度公众的剂量公式：</w:t>
      </w:r>
    </w:p>
    <w:p w14:paraId="51D0216E">
      <w:pPr>
        <w:spacing w:after="0" w:line="360" w:lineRule="auto"/>
        <w:ind w:firstLine="480"/>
        <w:jc w:val="center"/>
        <w:rPr>
          <w:rFonts w:ascii="Times New Roman" w:hAnsi="Times New Roman" w:cs="Times New Roman"/>
          <w:color w:val="000000" w:themeColor="text1"/>
          <w:sz w:val="24"/>
          <w:szCs w:val="24"/>
          <w:lang w:val="de-DE"/>
          <w14:textFill>
            <w14:solidFill>
              <w14:schemeClr w14:val="tx1"/>
            </w14:solidFill>
          </w14:textFill>
        </w:rPr>
      </w:pPr>
      <w:r>
        <w:rPr>
          <w:rFonts w:hint="eastAsia" w:ascii="Times New Roman" w:hAnsi="Times New Roman" w:cs="Times New Roman"/>
          <w:i/>
          <w:color w:val="000000" w:themeColor="text1"/>
          <w:sz w:val="24"/>
          <w:szCs w:val="24"/>
          <w:lang w:val="de-DE"/>
          <w14:textFill>
            <w14:solidFill>
              <w14:schemeClr w14:val="tx1"/>
            </w14:solidFill>
          </w14:textFill>
        </w:rPr>
        <w:t xml:space="preserve">                 </w:t>
      </w:r>
      <w:r>
        <w:rPr>
          <w:rFonts w:ascii="Times New Roman" w:hAnsi="Times New Roman" w:cs="Times New Roman"/>
          <w:i/>
          <w:color w:val="000000" w:themeColor="text1"/>
          <w:sz w:val="24"/>
          <w:szCs w:val="24"/>
          <w:lang w:val="de-DE"/>
          <w14:textFill>
            <w14:solidFill>
              <w14:schemeClr w14:val="tx1"/>
            </w14:solidFill>
          </w14:textFill>
        </w:rPr>
        <w:t>D</w:t>
      </w:r>
      <w:r>
        <w:rPr>
          <w:rFonts w:ascii="Times New Roman" w:hAnsi="Times New Roman" w:cs="Times New Roman"/>
          <w:i/>
          <w:color w:val="000000" w:themeColor="text1"/>
          <w:sz w:val="24"/>
          <w:szCs w:val="24"/>
          <w:vertAlign w:val="subscript"/>
          <w:lang w:val="de-DE"/>
          <w14:textFill>
            <w14:solidFill>
              <w14:schemeClr w14:val="tx1"/>
            </w14:solidFill>
          </w14:textFill>
        </w:rPr>
        <w:t>Rn</w:t>
      </w:r>
      <w:r>
        <w:rPr>
          <w:rFonts w:ascii="Times New Roman" w:hAnsi="Times New Roman" w:cs="Times New Roman"/>
          <w:i/>
          <w:color w:val="000000" w:themeColor="text1"/>
          <w:sz w:val="24"/>
          <w:szCs w:val="24"/>
          <w:lang w:val="de-DE"/>
          <w14:textFill>
            <w14:solidFill>
              <w14:schemeClr w14:val="tx1"/>
            </w14:solidFill>
          </w14:textFill>
        </w:rPr>
        <w:t>=g</w:t>
      </w:r>
      <w:r>
        <w:rPr>
          <w:rFonts w:ascii="Times New Roman" w:hAnsi="Times New Roman" w:cs="Times New Roman"/>
          <w:i/>
          <w:color w:val="000000" w:themeColor="text1"/>
          <w:sz w:val="24"/>
          <w:szCs w:val="24"/>
          <w:vertAlign w:val="subscript"/>
          <w:lang w:val="de-DE"/>
          <w14:textFill>
            <w14:solidFill>
              <w14:schemeClr w14:val="tx1"/>
            </w14:solidFill>
          </w14:textFill>
        </w:rPr>
        <w:t>Rn</w:t>
      </w:r>
      <w:r>
        <w:rPr>
          <w:rFonts w:ascii="Times New Roman" w:hAnsi="Times New Roman" w:cs="Times New Roman"/>
          <w:i/>
          <w:color w:val="000000" w:themeColor="text1"/>
          <w:sz w:val="24"/>
          <w:szCs w:val="24"/>
          <w:lang w:val="de-DE"/>
          <w14:textFill>
            <w14:solidFill>
              <w14:schemeClr w14:val="tx1"/>
            </w14:solidFill>
          </w14:textFill>
        </w:rPr>
        <w:t>·t·C</w:t>
      </w:r>
      <w:r>
        <w:rPr>
          <w:rFonts w:ascii="Times New Roman" w:hAnsi="Times New Roman" w:cs="Times New Roman"/>
          <w:i/>
          <w:color w:val="000000" w:themeColor="text1"/>
          <w:sz w:val="24"/>
          <w:szCs w:val="24"/>
          <w:vertAlign w:val="subscript"/>
          <w:lang w:val="de-DE"/>
          <w14:textFill>
            <w14:solidFill>
              <w14:schemeClr w14:val="tx1"/>
            </w14:solidFill>
          </w14:textFill>
        </w:rPr>
        <w:t>R</w:t>
      </w:r>
      <w:r>
        <w:rPr>
          <w:rFonts w:ascii="Times New Roman" w:hAnsi="Times New Roman" w:cs="Times New Roman"/>
          <w:color w:val="000000" w:themeColor="text1"/>
          <w:sz w:val="24"/>
          <w:szCs w:val="24"/>
          <w14:textFill>
            <w14:solidFill>
              <w14:schemeClr w14:val="tx1"/>
            </w14:solidFill>
          </w14:textFill>
        </w:rPr>
        <w:t>……………………………（4.2-3）</w:t>
      </w:r>
    </w:p>
    <w:p w14:paraId="389F48FC">
      <w:pPr>
        <w:spacing w:after="0" w:line="360" w:lineRule="auto"/>
        <w:ind w:firstLine="480"/>
        <w:rPr>
          <w:rFonts w:ascii="Times New Roman" w:hAnsi="Times New Roman" w:cs="Times New Roman"/>
          <w:color w:val="000000" w:themeColor="text1"/>
          <w:sz w:val="24"/>
          <w:szCs w:val="24"/>
          <w:lang w:val="de-DE"/>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式中</w:t>
      </w:r>
      <w:r>
        <w:rPr>
          <w:rFonts w:ascii="Times New Roman" w:hAnsi="Times New Roman" w:cs="Times New Roman"/>
          <w:color w:val="000000" w:themeColor="text1"/>
          <w:sz w:val="24"/>
          <w:szCs w:val="24"/>
          <w:lang w:val="de-DE"/>
          <w14:textFill>
            <w14:solidFill>
              <w14:schemeClr w14:val="tx1"/>
            </w14:solidFill>
          </w14:textFill>
        </w:rPr>
        <w:t>：</w:t>
      </w:r>
      <w:r>
        <w:rPr>
          <w:rFonts w:ascii="Times New Roman" w:hAnsi="Times New Roman" w:cs="Times New Roman"/>
          <w:i/>
          <w:color w:val="000000" w:themeColor="text1"/>
          <w:sz w:val="24"/>
          <w:szCs w:val="24"/>
          <w:lang w:val="de-DE"/>
          <w14:textFill>
            <w14:solidFill>
              <w14:schemeClr w14:val="tx1"/>
            </w14:solidFill>
          </w14:textFill>
        </w:rPr>
        <w:t>D</w:t>
      </w:r>
      <w:r>
        <w:rPr>
          <w:rFonts w:ascii="Times New Roman" w:hAnsi="Times New Roman" w:cs="Times New Roman"/>
          <w:i/>
          <w:color w:val="000000" w:themeColor="text1"/>
          <w:sz w:val="24"/>
          <w:szCs w:val="24"/>
          <w:vertAlign w:val="subscript"/>
          <w:lang w:val="de-DE"/>
          <w14:textFill>
            <w14:solidFill>
              <w14:schemeClr w14:val="tx1"/>
            </w14:solidFill>
          </w14:textFill>
        </w:rPr>
        <w:t>Rn</w:t>
      </w:r>
      <w:r>
        <w:rPr>
          <w:rFonts w:ascii="Times New Roman" w:hAnsi="Times New Roman" w:cs="Times New Roman"/>
          <w:color w:val="000000" w:themeColor="text1"/>
          <w:sz w:val="24"/>
          <w:szCs w:val="24"/>
          <w:lang w:val="de-DE"/>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吸入</w:t>
      </w:r>
      <w:r>
        <w:rPr>
          <w:rFonts w:ascii="Times New Roman" w:hAnsi="Times New Roman" w:cs="Times New Roman"/>
          <w:color w:val="000000" w:themeColor="text1"/>
          <w:sz w:val="24"/>
          <w:szCs w:val="24"/>
          <w:vertAlign w:val="superscript"/>
          <w:lang w:val="de-DE"/>
          <w14:textFill>
            <w14:solidFill>
              <w14:schemeClr w14:val="tx1"/>
            </w14:solidFill>
          </w14:textFill>
        </w:rPr>
        <w:t>222</w:t>
      </w:r>
      <w:r>
        <w:rPr>
          <w:rFonts w:ascii="Times New Roman" w:hAnsi="Times New Roman" w:cs="Times New Roman"/>
          <w:color w:val="000000" w:themeColor="text1"/>
          <w:sz w:val="24"/>
          <w:szCs w:val="24"/>
          <w:lang w:val="de-DE"/>
          <w14:textFill>
            <w14:solidFill>
              <w14:schemeClr w14:val="tx1"/>
            </w14:solidFill>
          </w14:textFill>
        </w:rPr>
        <w:t>Rn</w:t>
      </w:r>
      <w:r>
        <w:rPr>
          <w:rFonts w:ascii="Times New Roman" w:hAnsi="Times New Roman" w:cs="Times New Roman"/>
          <w:color w:val="000000" w:themeColor="text1"/>
          <w:sz w:val="24"/>
          <w:szCs w:val="24"/>
          <w14:textFill>
            <w14:solidFill>
              <w14:schemeClr w14:val="tx1"/>
            </w14:solidFill>
          </w14:textFill>
        </w:rPr>
        <w:t>内照射剂量</w:t>
      </w:r>
      <w:r>
        <w:rPr>
          <w:rFonts w:ascii="Times New Roman" w:hAnsi="Times New Roman" w:cs="Times New Roman"/>
          <w:color w:val="000000" w:themeColor="text1"/>
          <w:sz w:val="24"/>
          <w:szCs w:val="24"/>
          <w:lang w:val="de-DE"/>
          <w14:textFill>
            <w14:solidFill>
              <w14:schemeClr w14:val="tx1"/>
            </w14:solidFill>
          </w14:textFill>
        </w:rPr>
        <w:t>，Sv/a；</w:t>
      </w:r>
    </w:p>
    <w:p w14:paraId="51BFC516">
      <w:pPr>
        <w:spacing w:after="0" w:line="360" w:lineRule="auto"/>
        <w:ind w:firstLine="480"/>
        <w:rPr>
          <w:rFonts w:ascii="Times New Roman" w:hAnsi="Times New Roman" w:cs="Times New Roman"/>
          <w:color w:val="000000" w:themeColor="text1"/>
          <w:sz w:val="24"/>
          <w:szCs w:val="24"/>
          <w:lang w:val="de-DE"/>
          <w14:textFill>
            <w14:solidFill>
              <w14:schemeClr w14:val="tx1"/>
            </w14:solidFill>
          </w14:textFill>
        </w:rPr>
      </w:pPr>
      <w:r>
        <w:rPr>
          <w:rFonts w:ascii="Times New Roman" w:hAnsi="Times New Roman" w:cs="Times New Roman"/>
          <w:color w:val="000000" w:themeColor="text1"/>
          <w:sz w:val="24"/>
          <w:szCs w:val="24"/>
          <w:lang w:val="de-DE"/>
          <w14:textFill>
            <w14:solidFill>
              <w14:schemeClr w14:val="tx1"/>
            </w14:solidFill>
          </w14:textFill>
        </w:rPr>
        <w:t xml:space="preserve">      </w:t>
      </w:r>
      <w:r>
        <w:rPr>
          <w:rFonts w:ascii="Times New Roman" w:hAnsi="Times New Roman" w:cs="Times New Roman"/>
          <w:i/>
          <w:color w:val="000000" w:themeColor="text1"/>
          <w:sz w:val="24"/>
          <w:szCs w:val="24"/>
          <w:lang w:val="de-DE"/>
          <w14:textFill>
            <w14:solidFill>
              <w14:schemeClr w14:val="tx1"/>
            </w14:solidFill>
          </w14:textFill>
        </w:rPr>
        <w:t>g</w:t>
      </w:r>
      <w:r>
        <w:rPr>
          <w:rFonts w:ascii="Times New Roman" w:hAnsi="Times New Roman" w:cs="Times New Roman"/>
          <w:i/>
          <w:color w:val="000000" w:themeColor="text1"/>
          <w:sz w:val="24"/>
          <w:szCs w:val="24"/>
          <w:vertAlign w:val="subscript"/>
          <w:lang w:val="de-DE"/>
          <w14:textFill>
            <w14:solidFill>
              <w14:schemeClr w14:val="tx1"/>
            </w14:solidFill>
          </w14:textFill>
        </w:rPr>
        <w:t>Rn</w:t>
      </w:r>
      <w:r>
        <w:rPr>
          <w:rFonts w:ascii="Times New Roman" w:hAnsi="Times New Roman" w:cs="Times New Roman"/>
          <w:color w:val="000000" w:themeColor="text1"/>
          <w:sz w:val="24"/>
          <w:szCs w:val="24"/>
          <w:lang w:val="de-DE"/>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吸入</w:t>
      </w:r>
      <w:r>
        <w:rPr>
          <w:rFonts w:ascii="Times New Roman" w:hAnsi="Times New Roman" w:cs="Times New Roman"/>
          <w:color w:val="000000" w:themeColor="text1"/>
          <w:sz w:val="24"/>
          <w:szCs w:val="24"/>
          <w:vertAlign w:val="superscript"/>
          <w:lang w:val="de-DE"/>
          <w14:textFill>
            <w14:solidFill>
              <w14:schemeClr w14:val="tx1"/>
            </w14:solidFill>
          </w14:textFill>
        </w:rPr>
        <w:t>222</w:t>
      </w:r>
      <w:r>
        <w:rPr>
          <w:rFonts w:ascii="Times New Roman" w:hAnsi="Times New Roman" w:cs="Times New Roman"/>
          <w:color w:val="000000" w:themeColor="text1"/>
          <w:sz w:val="24"/>
          <w:szCs w:val="24"/>
          <w:lang w:val="de-DE"/>
          <w14:textFill>
            <w14:solidFill>
              <w14:schemeClr w14:val="tx1"/>
            </w14:solidFill>
          </w14:textFill>
        </w:rPr>
        <w:t>Rn</w:t>
      </w:r>
      <w:r>
        <w:rPr>
          <w:rFonts w:ascii="Times New Roman" w:hAnsi="Times New Roman" w:cs="Times New Roman"/>
          <w:color w:val="000000" w:themeColor="text1"/>
          <w:sz w:val="24"/>
          <w:szCs w:val="24"/>
          <w14:textFill>
            <w14:solidFill>
              <w14:schemeClr w14:val="tx1"/>
            </w14:solidFill>
          </w14:textFill>
        </w:rPr>
        <w:t>剂量转换因子</w:t>
      </w:r>
      <w:r>
        <w:rPr>
          <w:rFonts w:ascii="Times New Roman" w:hAnsi="Times New Roman" w:cs="Times New Roman"/>
          <w:color w:val="000000" w:themeColor="text1"/>
          <w:sz w:val="24"/>
          <w:szCs w:val="24"/>
          <w:lang w:val="de-DE"/>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根据</w:t>
      </w:r>
      <w:r>
        <w:rPr>
          <w:rFonts w:hint="eastAsia" w:ascii="Times New Roman" w:hAnsi="Times New Roman" w:cs="Times New Roman"/>
          <w:color w:val="000000" w:themeColor="text1"/>
          <w:sz w:val="24"/>
          <w:szCs w:val="24"/>
          <w14:textFill>
            <w14:solidFill>
              <w14:schemeClr w14:val="tx1"/>
            </w14:solidFill>
          </w14:textFill>
        </w:rPr>
        <w:t>《室内氡及其子体控制要求》</w:t>
      </w:r>
      <w:r>
        <w:rPr>
          <w:rFonts w:hint="eastAsia" w:ascii="Times New Roman" w:hAnsi="Times New Roman" w:cs="Times New Roman"/>
          <w:color w:val="000000" w:themeColor="text1"/>
          <w:sz w:val="24"/>
          <w:szCs w:val="24"/>
          <w:lang w:val="de-DE"/>
          <w14:textFill>
            <w14:solidFill>
              <w14:schemeClr w14:val="tx1"/>
            </w14:solidFill>
          </w14:textFill>
        </w:rPr>
        <w:t>（GBT 16146-2015）</w:t>
      </w:r>
      <w:r>
        <w:rPr>
          <w:rFonts w:ascii="Times New Roman" w:hAnsi="Times New Roman" w:cs="Times New Roman"/>
          <w:color w:val="000000" w:themeColor="text1"/>
          <w:sz w:val="24"/>
          <w:szCs w:val="24"/>
          <w14:textFill>
            <w14:solidFill>
              <w14:schemeClr w14:val="tx1"/>
            </w14:solidFill>
          </w14:textFill>
        </w:rPr>
        <w:t>取</w:t>
      </w:r>
      <w:r>
        <w:rPr>
          <w:rFonts w:hint="eastAsia" w:ascii="Times New Roman" w:hAnsi="Times New Roman" w:cs="Times New Roman"/>
          <w:color w:val="000000" w:themeColor="text1"/>
          <w:sz w:val="24"/>
          <w:szCs w:val="24"/>
          <w:lang w:val="de-DE"/>
          <w14:textFill>
            <w14:solidFill>
              <w14:schemeClr w14:val="tx1"/>
            </w14:solidFill>
          </w14:textFill>
        </w:rPr>
        <w:t>0</w:t>
      </w:r>
      <w:r>
        <w:rPr>
          <w:rFonts w:ascii="Times New Roman" w:hAnsi="Times New Roman" w:cs="Times New Roman"/>
          <w:color w:val="000000" w:themeColor="text1"/>
          <w:sz w:val="24"/>
          <w:szCs w:val="24"/>
          <w:lang w:val="de-DE"/>
          <w14:textFill>
            <w14:solidFill>
              <w14:schemeClr w14:val="tx1"/>
            </w14:solidFill>
          </w14:textFill>
        </w:rPr>
        <w:t>.17×10</w:t>
      </w:r>
      <w:r>
        <w:rPr>
          <w:rFonts w:ascii="Times New Roman" w:hAnsi="Times New Roman" w:cs="Times New Roman"/>
          <w:color w:val="000000" w:themeColor="text1"/>
          <w:sz w:val="24"/>
          <w:szCs w:val="24"/>
          <w:vertAlign w:val="superscript"/>
          <w:lang w:val="de-DE"/>
          <w14:textFill>
            <w14:solidFill>
              <w14:schemeClr w14:val="tx1"/>
            </w14:solidFill>
          </w14:textFill>
        </w:rPr>
        <w:t>-6</w:t>
      </w:r>
      <w:r>
        <w:rPr>
          <w:rFonts w:ascii="Times New Roman" w:hAnsi="Times New Roman" w:cs="Times New Roman"/>
          <w:color w:val="000000" w:themeColor="text1"/>
          <w:sz w:val="24"/>
          <w:szCs w:val="24"/>
          <w:lang w:val="de-DE"/>
          <w14:textFill>
            <w14:solidFill>
              <w14:schemeClr w14:val="tx1"/>
            </w14:solidFill>
          </w14:textFill>
        </w:rPr>
        <w:t>mSv/Bq·h·m</w:t>
      </w:r>
      <w:r>
        <w:rPr>
          <w:rFonts w:ascii="Times New Roman" w:hAnsi="Times New Roman" w:cs="Times New Roman"/>
          <w:color w:val="000000" w:themeColor="text1"/>
          <w:sz w:val="24"/>
          <w:szCs w:val="24"/>
          <w:vertAlign w:val="superscript"/>
          <w:lang w:val="de-DE"/>
          <w14:textFill>
            <w14:solidFill>
              <w14:schemeClr w14:val="tx1"/>
            </w14:solidFill>
          </w14:textFill>
        </w:rPr>
        <w:t>-3</w:t>
      </w:r>
      <w:r>
        <w:rPr>
          <w:rFonts w:hint="eastAsia" w:ascii="Times New Roman" w:hAnsi="Times New Roman" w:cs="Times New Roman"/>
          <w:color w:val="000000" w:themeColor="text1"/>
          <w:sz w:val="24"/>
          <w:szCs w:val="24"/>
          <w:lang w:val="de-DE"/>
          <w14:textFill>
            <w14:solidFill>
              <w14:schemeClr w14:val="tx1"/>
            </w14:solidFill>
          </w14:textFill>
        </w:rPr>
        <w:t>；</w:t>
      </w:r>
    </w:p>
    <w:p w14:paraId="44F8B927">
      <w:pPr>
        <w:spacing w:after="0" w:line="360" w:lineRule="auto"/>
        <w:ind w:firstLine="48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de-DE"/>
          <w14:textFill>
            <w14:solidFill>
              <w14:schemeClr w14:val="tx1"/>
            </w14:solidFill>
          </w14:textFill>
        </w:rPr>
        <w:t xml:space="preserve">     </w:t>
      </w:r>
      <w:r>
        <w:rPr>
          <w:rFonts w:ascii="Times New Roman" w:hAnsi="Times New Roman" w:cs="Times New Roman"/>
          <w:i/>
          <w:color w:val="000000" w:themeColor="text1"/>
          <w:sz w:val="24"/>
          <w:szCs w:val="24"/>
          <w:lang w:val="de-DE"/>
          <w14:textFill>
            <w14:solidFill>
              <w14:schemeClr w14:val="tx1"/>
            </w14:solidFill>
          </w14:textFill>
        </w:rPr>
        <w:t xml:space="preserve"> </w:t>
      </w:r>
      <w:r>
        <w:rPr>
          <w:rFonts w:ascii="Times New Roman" w:hAnsi="Times New Roman" w:cs="Times New Roman"/>
          <w:i/>
          <w:color w:val="000000" w:themeColor="text1"/>
          <w:sz w:val="24"/>
          <w:szCs w:val="24"/>
          <w14:textFill>
            <w14:solidFill>
              <w14:schemeClr w14:val="tx1"/>
            </w14:solidFill>
          </w14:textFill>
        </w:rPr>
        <w:t>t</w:t>
      </w:r>
      <w:r>
        <w:rPr>
          <w:rFonts w:ascii="Times New Roman" w:hAnsi="Times New Roman" w:cs="Times New Roman"/>
          <w:color w:val="000000" w:themeColor="text1"/>
          <w:sz w:val="24"/>
          <w:szCs w:val="24"/>
          <w14:textFill>
            <w14:solidFill>
              <w14:schemeClr w14:val="tx1"/>
            </w14:solidFill>
          </w14:textFill>
        </w:rPr>
        <w:t>——时间，取7920h（330*24h）；</w:t>
      </w:r>
    </w:p>
    <w:p w14:paraId="14E3F70B">
      <w:pPr>
        <w:spacing w:after="0" w:line="360" w:lineRule="auto"/>
        <w:ind w:firstLine="48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i/>
          <w:color w:val="000000" w:themeColor="text1"/>
          <w:sz w:val="24"/>
          <w:szCs w:val="24"/>
          <w14:textFill>
            <w14:solidFill>
              <w14:schemeClr w14:val="tx1"/>
            </w14:solidFill>
          </w14:textFill>
        </w:rPr>
        <w:t>C</w:t>
      </w:r>
      <w:r>
        <w:rPr>
          <w:rFonts w:ascii="Times New Roman" w:hAnsi="Times New Roman" w:cs="Times New Roman"/>
          <w:i/>
          <w:color w:val="000000" w:themeColor="text1"/>
          <w:sz w:val="24"/>
          <w:szCs w:val="24"/>
          <w:vertAlign w:val="subscript"/>
          <w14:textFill>
            <w14:solidFill>
              <w14:schemeClr w14:val="tx1"/>
            </w14:solidFill>
          </w14:textFill>
        </w:rPr>
        <w:t>Rn</w:t>
      </w:r>
      <w:r>
        <w:rPr>
          <w:rFonts w:ascii="Times New Roman" w:hAnsi="Times New Roman" w:cs="Times New Roman"/>
          <w:color w:val="000000" w:themeColor="text1"/>
          <w:sz w:val="24"/>
          <w:szCs w:val="24"/>
          <w14:textFill>
            <w14:solidFill>
              <w14:schemeClr w14:val="tx1"/>
            </w14:solidFill>
          </w14:textFill>
        </w:rPr>
        <w:t>——环境中空气中</w:t>
      </w:r>
      <w:r>
        <w:rPr>
          <w:rFonts w:ascii="Times New Roman" w:hAnsi="Times New Roman" w:cs="Times New Roman"/>
          <w:color w:val="000000" w:themeColor="text1"/>
          <w:sz w:val="24"/>
          <w:szCs w:val="24"/>
          <w:vertAlign w:val="superscript"/>
          <w14:textFill>
            <w14:solidFill>
              <w14:schemeClr w14:val="tx1"/>
            </w14:solidFill>
          </w14:textFill>
        </w:rPr>
        <w:t>222</w:t>
      </w:r>
      <w:r>
        <w:rPr>
          <w:rFonts w:ascii="Times New Roman" w:hAnsi="Times New Roman" w:cs="Times New Roman"/>
          <w:color w:val="000000" w:themeColor="text1"/>
          <w:sz w:val="24"/>
          <w:szCs w:val="24"/>
          <w14:textFill>
            <w14:solidFill>
              <w14:schemeClr w14:val="tx1"/>
            </w14:solidFill>
          </w14:textFill>
        </w:rPr>
        <w:t>Rn浓度，Bq/m</w:t>
      </w:r>
      <w:r>
        <w:rPr>
          <w:rFonts w:ascii="Times New Roman" w:hAnsi="Times New Roman" w:cs="Times New Roman"/>
          <w:color w:val="000000" w:themeColor="text1"/>
          <w:sz w:val="24"/>
          <w:szCs w:val="24"/>
          <w:vertAlign w:val="superscript"/>
          <w14:textFill>
            <w14:solidFill>
              <w14:schemeClr w14:val="tx1"/>
            </w14:solidFill>
          </w14:textFill>
        </w:rPr>
        <w:t>3</w:t>
      </w:r>
      <w:r>
        <w:rPr>
          <w:rFonts w:ascii="Times New Roman" w:hAnsi="Times New Roman" w:cs="Times New Roman"/>
          <w:color w:val="000000" w:themeColor="text1"/>
          <w:sz w:val="24"/>
          <w:szCs w:val="24"/>
          <w14:textFill>
            <w14:solidFill>
              <w14:schemeClr w14:val="tx1"/>
            </w14:solidFill>
          </w14:textFill>
        </w:rPr>
        <w:t>；</w:t>
      </w:r>
    </w:p>
    <w:p w14:paraId="08892DBA">
      <w:pPr>
        <w:autoSpaceDE w:val="0"/>
        <w:autoSpaceDN w:val="0"/>
        <w:adjustRightInd w:val="0"/>
        <w:spacing w:after="0" w:line="360" w:lineRule="auto"/>
        <w:ind w:firstLine="48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根据上述公式，计算出</w:t>
      </w:r>
      <w:r>
        <w:rPr>
          <w:rFonts w:ascii="Times New Roman" w:hAnsi="Times New Roman" w:cs="Times New Roman"/>
          <w:color w:val="000000" w:themeColor="text1"/>
          <w:sz w:val="24"/>
          <w:szCs w:val="24"/>
          <w:vertAlign w:val="superscript"/>
          <w14:textFill>
            <w14:solidFill>
              <w14:schemeClr w14:val="tx1"/>
            </w14:solidFill>
          </w14:textFill>
        </w:rPr>
        <w:t>222</w:t>
      </w:r>
      <w:r>
        <w:rPr>
          <w:rFonts w:ascii="Times New Roman" w:hAnsi="Times New Roman" w:cs="Times New Roman"/>
          <w:color w:val="000000" w:themeColor="text1"/>
          <w:sz w:val="24"/>
          <w:szCs w:val="24"/>
          <w14:textFill>
            <w14:solidFill>
              <w14:schemeClr w14:val="tx1"/>
            </w14:solidFill>
          </w14:textFill>
        </w:rPr>
        <w:t>Rn析出率，根据</w:t>
      </w:r>
      <w:r>
        <w:rPr>
          <w:rFonts w:ascii="Times New Roman" w:hAnsi="Times New Roman" w:cs="Times New Roman"/>
          <w:color w:val="000000" w:themeColor="text1"/>
          <w:sz w:val="24"/>
          <w:szCs w:val="24"/>
          <w:vertAlign w:val="superscript"/>
          <w14:textFill>
            <w14:solidFill>
              <w14:schemeClr w14:val="tx1"/>
            </w14:solidFill>
          </w14:textFill>
        </w:rPr>
        <w:t>222</w:t>
      </w:r>
      <w:r>
        <w:rPr>
          <w:rFonts w:ascii="Times New Roman" w:hAnsi="Times New Roman" w:cs="Times New Roman"/>
          <w:color w:val="000000" w:themeColor="text1"/>
          <w:sz w:val="24"/>
          <w:szCs w:val="24"/>
          <w14:textFill>
            <w14:solidFill>
              <w14:schemeClr w14:val="tx1"/>
            </w14:solidFill>
          </w14:textFill>
        </w:rPr>
        <w:t>Rn析出率计算得出工作场所氡气释放率。</w:t>
      </w:r>
    </w:p>
    <w:p w14:paraId="11ABEC0D">
      <w:pPr>
        <w:autoSpaceDE w:val="0"/>
        <w:autoSpaceDN w:val="0"/>
        <w:adjustRightInd w:val="0"/>
        <w:spacing w:after="0" w:line="360" w:lineRule="auto"/>
        <w:ind w:firstLine="48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根据工程特点，将工作场所作为地面连续释放源项且作为面源计算，剂量估算将面源划分为小点源做浓度叠加计算。根据高斯烟羽浓度公式，大气扩散中地面连续点源浓度公式为：</w:t>
      </w:r>
    </w:p>
    <w:p w14:paraId="0B8B5A09">
      <w:pPr>
        <w:spacing w:after="0" w:line="360" w:lineRule="auto"/>
        <w:ind w:firstLine="480"/>
        <w:jc w:val="center"/>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position w:val="-34"/>
          <w:sz w:val="24"/>
          <w:szCs w:val="24"/>
          <w14:textFill>
            <w14:solidFill>
              <w14:schemeClr w14:val="tx1"/>
            </w14:solidFill>
          </w14:textFill>
        </w:rPr>
        <w:object>
          <v:shape id="_x0000_i1025" o:spt="75" type="#_x0000_t75" style="height:36pt;width:149.25pt;" o:ole="t" filled="f" o:preferrelative="t" stroked="f" coordsize="21600,21600">
            <v:path/>
            <v:fill on="f" focussize="0,0"/>
            <v:stroke on="f" joinstyle="miter"/>
            <v:imagedata r:id="rId23" o:title=""/>
            <o:lock v:ext="edit" aspectratio="t"/>
            <w10:wrap type="none"/>
            <w10:anchorlock/>
          </v:shape>
          <o:OLEObject Type="Embed" ProgID="Equation.DSMT4" ShapeID="_x0000_i1025" DrawAspect="Content" ObjectID="_1468075725" r:id="rId22">
            <o:LockedField>false</o:LockedField>
          </o:OLEObject>
        </w:object>
      </w:r>
      <w:r>
        <w:rPr>
          <w:rFonts w:ascii="Times New Roman" w:hAnsi="Times New Roman" w:cs="Times New Roman"/>
          <w:color w:val="000000" w:themeColor="text1"/>
          <w:sz w:val="24"/>
          <w:szCs w:val="24"/>
          <w14:textFill>
            <w14:solidFill>
              <w14:schemeClr w14:val="tx1"/>
            </w14:solidFill>
          </w14:textFill>
        </w:rPr>
        <w:t>……………………（4.2-4）</w:t>
      </w:r>
    </w:p>
    <w:p w14:paraId="7C09BE4B">
      <w:pPr>
        <w:spacing w:after="0" w:line="360" w:lineRule="auto"/>
        <w:ind w:firstLine="48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式中：X（x,y,o）——点（x,y,o）处空气浓度，Bq/m</w:t>
      </w:r>
      <w:r>
        <w:rPr>
          <w:rFonts w:ascii="Times New Roman" w:hAnsi="Times New Roman" w:cs="Times New Roman"/>
          <w:color w:val="000000" w:themeColor="text1"/>
          <w:sz w:val="24"/>
          <w:szCs w:val="24"/>
          <w:vertAlign w:val="superscript"/>
          <w14:textFill>
            <w14:solidFill>
              <w14:schemeClr w14:val="tx1"/>
            </w14:solidFill>
          </w14:textFill>
        </w:rPr>
        <w:t>3</w:t>
      </w:r>
      <w:r>
        <w:rPr>
          <w:rFonts w:ascii="Times New Roman" w:hAnsi="Times New Roman" w:cs="Times New Roman"/>
          <w:color w:val="000000" w:themeColor="text1"/>
          <w:sz w:val="24"/>
          <w:szCs w:val="24"/>
          <w14:textFill>
            <w14:solidFill>
              <w14:schemeClr w14:val="tx1"/>
            </w14:solidFill>
          </w14:textFill>
        </w:rPr>
        <w:t>；</w:t>
      </w:r>
    </w:p>
    <w:p w14:paraId="1CD637D6">
      <w:pPr>
        <w:spacing w:after="0" w:line="360" w:lineRule="auto"/>
        <w:ind w:firstLine="1200" w:firstLineChars="5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x</w:t>
      </w:r>
      <w:r>
        <w:rPr>
          <w:rFonts w:ascii="Times New Roman" w:hAnsi="Times New Roman" w:cs="Times New Roman"/>
          <w:color w:val="000000" w:themeColor="text1"/>
          <w:sz w:val="24"/>
          <w:szCs w:val="24"/>
          <w14:textFill>
            <w14:solidFill>
              <w14:schemeClr w14:val="tx1"/>
            </w14:solidFill>
          </w14:textFill>
        </w:rPr>
        <w:t>——下风向离源的距离，m；</w:t>
      </w:r>
    </w:p>
    <w:p w14:paraId="6128D87E">
      <w:pPr>
        <w:spacing w:after="0" w:line="360" w:lineRule="auto"/>
        <w:ind w:firstLine="1200" w:firstLineChars="5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y</w:t>
      </w:r>
      <w:r>
        <w:rPr>
          <w:rFonts w:ascii="Times New Roman" w:hAnsi="Times New Roman" w:cs="Times New Roman"/>
          <w:color w:val="000000" w:themeColor="text1"/>
          <w:sz w:val="24"/>
          <w:szCs w:val="24"/>
          <w14:textFill>
            <w14:solidFill>
              <w14:schemeClr w14:val="tx1"/>
            </w14:solidFill>
          </w14:textFill>
        </w:rPr>
        <w:t>——横截风向的距离，m；</w:t>
      </w:r>
    </w:p>
    <w:p w14:paraId="77064C1C">
      <w:pPr>
        <w:spacing w:after="0" w:line="360" w:lineRule="auto"/>
        <w:ind w:firstLine="1200" w:firstLineChars="5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Q——释放率，Bq/s；</w:t>
      </w:r>
    </w:p>
    <w:p w14:paraId="47A2D56B">
      <w:pPr>
        <w:spacing w:after="0" w:line="360" w:lineRule="auto"/>
        <w:ind w:firstLine="1200" w:firstLineChars="5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i/>
          <w:iCs/>
          <w:color w:val="000000" w:themeColor="text1"/>
          <w:sz w:val="24"/>
          <w:szCs w:val="24"/>
          <w14:textFill>
            <w14:solidFill>
              <w14:schemeClr w14:val="tx1"/>
            </w14:solidFill>
          </w14:textFill>
        </w:rPr>
        <w:t>σ</w:t>
      </w:r>
      <w:r>
        <w:rPr>
          <w:rFonts w:ascii="Times New Roman" w:hAnsi="Times New Roman" w:cs="Times New Roman"/>
          <w:i/>
          <w:iCs/>
          <w:color w:val="000000" w:themeColor="text1"/>
          <w:sz w:val="24"/>
          <w:szCs w:val="24"/>
          <w:vertAlign w:val="subscript"/>
          <w14:textFill>
            <w14:solidFill>
              <w14:schemeClr w14:val="tx1"/>
            </w14:solidFill>
          </w14:textFill>
        </w:rPr>
        <w:t xml:space="preserve">y </w:t>
      </w:r>
      <w:r>
        <w:rPr>
          <w:rFonts w:ascii="Times New Roman" w:hAnsi="Times New Roman" w:cs="Times New Roman"/>
          <w:i/>
          <w:iCs/>
          <w:color w:val="000000" w:themeColor="text1"/>
          <w:sz w:val="24"/>
          <w:szCs w:val="24"/>
          <w14:textFill>
            <w14:solidFill>
              <w14:schemeClr w14:val="tx1"/>
            </w14:solidFill>
          </w14:textFill>
        </w:rPr>
        <w:t>、σ</w:t>
      </w:r>
      <w:r>
        <w:rPr>
          <w:rFonts w:ascii="Times New Roman" w:hAnsi="Times New Roman" w:cs="Times New Roman"/>
          <w:i/>
          <w:iCs/>
          <w:color w:val="000000" w:themeColor="text1"/>
          <w:sz w:val="24"/>
          <w:szCs w:val="24"/>
          <w:vertAlign w:val="subscript"/>
          <w14:textFill>
            <w14:solidFill>
              <w14:schemeClr w14:val="tx1"/>
            </w14:solidFill>
          </w14:textFill>
        </w:rPr>
        <w:t>z</w:t>
      </w:r>
      <w:r>
        <w:rPr>
          <w:rFonts w:ascii="Times New Roman" w:hAnsi="Times New Roman" w:cs="Times New Roman"/>
          <w:color w:val="000000" w:themeColor="text1"/>
          <w:sz w:val="24"/>
          <w:szCs w:val="24"/>
          <w14:textFill>
            <w14:solidFill>
              <w14:schemeClr w14:val="tx1"/>
            </w14:solidFill>
          </w14:textFill>
        </w:rPr>
        <w:t>——分别为侧向和垂直向的扩散系数，m；</w:t>
      </w:r>
    </w:p>
    <w:p w14:paraId="4CE23E77">
      <w:pPr>
        <w:spacing w:after="0" w:line="360" w:lineRule="auto"/>
        <w:ind w:firstLine="1200" w:firstLineChars="5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u——有效排放高度的风速，m/s。</w:t>
      </w:r>
    </w:p>
    <w:p w14:paraId="41B2CD8D">
      <w:pPr>
        <w:autoSpaceDE w:val="0"/>
        <w:autoSpaceDN w:val="0"/>
        <w:adjustRightInd w:val="0"/>
        <w:spacing w:after="0" w:line="360" w:lineRule="auto"/>
        <w:ind w:firstLine="480"/>
        <w:rPr>
          <w:rFonts w:ascii="Times New Roman" w:hAnsi="Times New Roman"/>
          <w:color w:val="000000" w:themeColor="text1"/>
          <w:spacing w:val="-2"/>
          <w:sz w:val="24"/>
          <w:szCs w:val="24"/>
          <w:u w:val="single"/>
          <w14:textFill>
            <w14:solidFill>
              <w14:schemeClr w14:val="tx1"/>
            </w14:solidFill>
          </w14:textFill>
        </w:rPr>
      </w:pPr>
      <w:r>
        <w:rPr>
          <w:rFonts w:hint="eastAsia" w:ascii="Times New Roman" w:hAnsi="Times New Roman" w:cs="Times New Roman"/>
          <w:color w:val="000000" w:themeColor="text1"/>
          <w:sz w:val="24"/>
          <w:szCs w:val="24"/>
          <w:u w:val="single"/>
          <w14:textFill>
            <w14:solidFill>
              <w14:schemeClr w14:val="tx1"/>
            </w14:solidFill>
          </w14:textFill>
        </w:rPr>
        <w:t>根据前文项目氡排放量的估算，</w:t>
      </w:r>
      <w:r>
        <w:rPr>
          <w:rFonts w:hint="eastAsia" w:ascii="Times New Roman" w:hAnsi="Times New Roman"/>
          <w:color w:val="000000" w:themeColor="text1"/>
          <w:spacing w:val="-2"/>
          <w:sz w:val="24"/>
          <w:szCs w:val="24"/>
          <w:u w:val="single"/>
          <w14:textFill>
            <w14:solidFill>
              <w14:schemeClr w14:val="tx1"/>
            </w14:solidFill>
          </w14:textFill>
        </w:rPr>
        <w:t>项目氡排放总量为4.83×10</w:t>
      </w:r>
      <w:r>
        <w:rPr>
          <w:rFonts w:hint="eastAsia" w:ascii="Times New Roman" w:hAnsi="Times New Roman"/>
          <w:color w:val="000000" w:themeColor="text1"/>
          <w:spacing w:val="-2"/>
          <w:sz w:val="24"/>
          <w:szCs w:val="24"/>
          <w:u w:val="single"/>
          <w:vertAlign w:val="superscript"/>
          <w14:textFill>
            <w14:solidFill>
              <w14:schemeClr w14:val="tx1"/>
            </w14:solidFill>
          </w14:textFill>
        </w:rPr>
        <w:t>10</w:t>
      </w:r>
      <w:r>
        <w:rPr>
          <w:rFonts w:hint="eastAsia" w:ascii="Times New Roman" w:hAnsi="Times New Roman"/>
          <w:color w:val="000000" w:themeColor="text1"/>
          <w:spacing w:val="-2"/>
          <w:sz w:val="24"/>
          <w:szCs w:val="24"/>
          <w:u w:val="single"/>
          <w14:textFill>
            <w14:solidFill>
              <w14:schemeClr w14:val="tx1"/>
            </w14:solidFill>
          </w14:textFill>
        </w:rPr>
        <w:t>Bq/a，即5588.15 Bq/s。由大气扩散模式计算的各评价子区地面氡浓度见表4.2-1。</w:t>
      </w:r>
    </w:p>
    <w:p w14:paraId="0AD881D3">
      <w:pPr>
        <w:widowControl w:val="0"/>
        <w:spacing w:after="0" w:line="360" w:lineRule="auto"/>
        <w:jc w:val="center"/>
        <w:rPr>
          <w:rFonts w:ascii="Times New Roman" w:hAnsi="Times New Roman" w:eastAsia="宋体" w:cs="Times New Roman"/>
          <w:b/>
          <w:bCs/>
          <w:color w:val="000000" w:themeColor="text1"/>
          <w:spacing w:val="-2"/>
          <w:sz w:val="24"/>
          <w:szCs w:val="20"/>
          <w14:textFill>
            <w14:solidFill>
              <w14:schemeClr w14:val="tx1"/>
            </w14:solidFill>
          </w14:textFill>
        </w:rPr>
      </w:pPr>
      <w:r>
        <w:rPr>
          <w:rFonts w:hint="eastAsia" w:ascii="Times New Roman" w:hAnsi="Times New Roman" w:eastAsia="宋体" w:cs="Times New Roman"/>
          <w:b/>
          <w:bCs/>
          <w:color w:val="000000" w:themeColor="text1"/>
          <w:spacing w:val="-2"/>
          <w:sz w:val="24"/>
          <w:szCs w:val="20"/>
          <w14:textFill>
            <w14:solidFill>
              <w14:schemeClr w14:val="tx1"/>
            </w14:solidFill>
          </w14:textFill>
        </w:rPr>
        <w:t>表4.2-1  气载流出物所致各子区空气中氡浓度贡献值</w:t>
      </w:r>
    </w:p>
    <w:tbl>
      <w:tblPr>
        <w:tblStyle w:val="46"/>
        <w:tblW w:w="8519"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523"/>
        <w:gridCol w:w="3424"/>
        <w:gridCol w:w="2572"/>
      </w:tblGrid>
      <w:tr w14:paraId="2F41EF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2523" w:type="dxa"/>
            <w:vAlign w:val="center"/>
          </w:tcPr>
          <w:p w14:paraId="00ED252F">
            <w:pPr>
              <w:spacing w:after="0" w:line="240" w:lineRule="auto"/>
              <w:jc w:val="center"/>
              <w:rPr>
                <w:rFonts w:ascii="Times New Roman" w:hAnsi="Times New Roman" w:eastAsia="宋体" w:cs="Times New Roman"/>
                <w:b/>
                <w:bCs/>
                <w:color w:val="000000" w:themeColor="text1"/>
                <w:u w:val="single"/>
                <w14:textFill>
                  <w14:solidFill>
                    <w14:schemeClr w14:val="tx1"/>
                  </w14:solidFill>
                </w14:textFill>
              </w:rPr>
            </w:pPr>
            <w:r>
              <w:rPr>
                <w:rFonts w:ascii="Times New Roman" w:hAnsi="Times New Roman" w:eastAsia="宋体" w:cs="Times New Roman"/>
                <w:b/>
                <w:bCs/>
                <w:color w:val="000000" w:themeColor="text1"/>
                <w:u w:val="single"/>
                <w14:textFill>
                  <w14:solidFill>
                    <w14:schemeClr w14:val="tx1"/>
                  </w14:solidFill>
                </w14:textFill>
              </w:rPr>
              <w:t>方位</w:t>
            </w:r>
          </w:p>
        </w:tc>
        <w:tc>
          <w:tcPr>
            <w:tcW w:w="3424" w:type="dxa"/>
            <w:vAlign w:val="center"/>
          </w:tcPr>
          <w:p w14:paraId="24B83A0B">
            <w:pPr>
              <w:spacing w:after="0" w:line="240" w:lineRule="auto"/>
              <w:jc w:val="center"/>
              <w:rPr>
                <w:rFonts w:ascii="Times New Roman" w:hAnsi="Times New Roman" w:eastAsia="宋体" w:cs="Times New Roman"/>
                <w:b/>
                <w:bCs/>
                <w:color w:val="000000" w:themeColor="text1"/>
                <w:u w:val="single"/>
                <w14:textFill>
                  <w14:solidFill>
                    <w14:schemeClr w14:val="tx1"/>
                  </w14:solidFill>
                </w14:textFill>
              </w:rPr>
            </w:pPr>
            <w:r>
              <w:rPr>
                <w:rFonts w:ascii="Times New Roman" w:hAnsi="Times New Roman" w:eastAsia="宋体" w:cs="Times New Roman"/>
                <w:b/>
                <w:bCs/>
                <w:color w:val="000000" w:themeColor="text1"/>
                <w:u w:val="single"/>
                <w14:textFill>
                  <w14:solidFill>
                    <w14:schemeClr w14:val="tx1"/>
                  </w14:solidFill>
                </w14:textFill>
              </w:rPr>
              <w:t>0～0.5km氡浓度</w:t>
            </w:r>
            <w:r>
              <w:rPr>
                <w:rFonts w:hint="eastAsia" w:ascii="Times New Roman" w:hAnsi="Times New Roman" w:eastAsia="宋体" w:cs="Times New Roman"/>
                <w:b/>
                <w:bCs/>
                <w:color w:val="000000" w:themeColor="text1"/>
                <w:u w:val="single"/>
                <w14:textFill>
                  <w14:solidFill>
                    <w14:schemeClr w14:val="tx1"/>
                  </w14:solidFill>
                </w14:textFill>
              </w:rPr>
              <w:t>（Bq/m</w:t>
            </w:r>
            <w:r>
              <w:rPr>
                <w:rFonts w:hint="eastAsia" w:ascii="Times New Roman" w:hAnsi="Times New Roman" w:eastAsia="宋体" w:cs="Times New Roman"/>
                <w:b/>
                <w:bCs/>
                <w:color w:val="000000" w:themeColor="text1"/>
                <w:u w:val="single"/>
                <w:vertAlign w:val="superscript"/>
                <w14:textFill>
                  <w14:solidFill>
                    <w14:schemeClr w14:val="tx1"/>
                  </w14:solidFill>
                </w14:textFill>
              </w:rPr>
              <w:t>3</w:t>
            </w:r>
            <w:r>
              <w:rPr>
                <w:rFonts w:hint="eastAsia" w:ascii="Times New Roman" w:hAnsi="Times New Roman" w:eastAsia="宋体" w:cs="Times New Roman"/>
                <w:b/>
                <w:bCs/>
                <w:color w:val="000000" w:themeColor="text1"/>
                <w:u w:val="single"/>
                <w14:textFill>
                  <w14:solidFill>
                    <w14:schemeClr w14:val="tx1"/>
                  </w14:solidFill>
                </w14:textFill>
              </w:rPr>
              <w:t>）</w:t>
            </w:r>
          </w:p>
        </w:tc>
        <w:tc>
          <w:tcPr>
            <w:tcW w:w="2572" w:type="dxa"/>
            <w:vAlign w:val="center"/>
          </w:tcPr>
          <w:p w14:paraId="4A9773CA">
            <w:pPr>
              <w:spacing w:after="0" w:line="240" w:lineRule="auto"/>
              <w:jc w:val="center"/>
              <w:rPr>
                <w:rFonts w:ascii="Times New Roman" w:hAnsi="Times New Roman" w:eastAsia="宋体" w:cs="Times New Roman"/>
                <w:b/>
                <w:bCs/>
                <w:color w:val="000000" w:themeColor="text1"/>
                <w:u w:val="single"/>
                <w14:textFill>
                  <w14:solidFill>
                    <w14:schemeClr w14:val="tx1"/>
                  </w14:solidFill>
                </w14:textFill>
              </w:rPr>
            </w:pPr>
            <w:r>
              <w:rPr>
                <w:rFonts w:ascii="Times New Roman" w:hAnsi="Times New Roman" w:eastAsia="宋体" w:cs="Times New Roman"/>
                <w:b/>
                <w:bCs/>
                <w:color w:val="000000" w:themeColor="text1"/>
                <w:u w:val="single"/>
                <w14:textFill>
                  <w14:solidFill>
                    <w14:schemeClr w14:val="tx1"/>
                  </w14:solidFill>
                </w14:textFill>
              </w:rPr>
              <w:t>备注</w:t>
            </w:r>
          </w:p>
        </w:tc>
      </w:tr>
      <w:tr w14:paraId="03239D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23" w:type="dxa"/>
          </w:tcPr>
          <w:p w14:paraId="0F9869EE">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N</w:t>
            </w:r>
          </w:p>
        </w:tc>
        <w:tc>
          <w:tcPr>
            <w:tcW w:w="3424" w:type="dxa"/>
            <w:vAlign w:val="center"/>
          </w:tcPr>
          <w:p w14:paraId="6524919F">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0.0786</w:t>
            </w:r>
          </w:p>
        </w:tc>
        <w:tc>
          <w:tcPr>
            <w:tcW w:w="2572" w:type="dxa"/>
          </w:tcPr>
          <w:p w14:paraId="46F36983">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有人子区</w:t>
            </w:r>
          </w:p>
        </w:tc>
      </w:tr>
      <w:tr w14:paraId="3CCC0C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23" w:type="dxa"/>
          </w:tcPr>
          <w:p w14:paraId="086CB209">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NNE</w:t>
            </w:r>
          </w:p>
        </w:tc>
        <w:tc>
          <w:tcPr>
            <w:tcW w:w="3424" w:type="dxa"/>
            <w:vAlign w:val="center"/>
          </w:tcPr>
          <w:p w14:paraId="4CF6A8F6">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0.0717</w:t>
            </w:r>
          </w:p>
        </w:tc>
        <w:tc>
          <w:tcPr>
            <w:tcW w:w="2572" w:type="dxa"/>
          </w:tcPr>
          <w:p w14:paraId="2DBCBDD9">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有人子区</w:t>
            </w:r>
          </w:p>
        </w:tc>
      </w:tr>
      <w:tr w14:paraId="59D5D7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23" w:type="dxa"/>
          </w:tcPr>
          <w:p w14:paraId="7AFE7B44">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NE</w:t>
            </w:r>
          </w:p>
        </w:tc>
        <w:tc>
          <w:tcPr>
            <w:tcW w:w="3424" w:type="dxa"/>
            <w:vAlign w:val="center"/>
          </w:tcPr>
          <w:p w14:paraId="0FCBCA41">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0.0676</w:t>
            </w:r>
          </w:p>
        </w:tc>
        <w:tc>
          <w:tcPr>
            <w:tcW w:w="2572" w:type="dxa"/>
          </w:tcPr>
          <w:p w14:paraId="181ADE7B">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有人子区</w:t>
            </w:r>
          </w:p>
        </w:tc>
      </w:tr>
      <w:tr w14:paraId="2E8FFF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23" w:type="dxa"/>
          </w:tcPr>
          <w:p w14:paraId="7BB4244F">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ENE</w:t>
            </w:r>
          </w:p>
        </w:tc>
        <w:tc>
          <w:tcPr>
            <w:tcW w:w="3424" w:type="dxa"/>
            <w:vAlign w:val="center"/>
          </w:tcPr>
          <w:p w14:paraId="48E1F1DF">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0.0617</w:t>
            </w:r>
          </w:p>
        </w:tc>
        <w:tc>
          <w:tcPr>
            <w:tcW w:w="2572" w:type="dxa"/>
          </w:tcPr>
          <w:p w14:paraId="1F08C591">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p>
        </w:tc>
      </w:tr>
      <w:tr w14:paraId="2D4B77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23" w:type="dxa"/>
          </w:tcPr>
          <w:p w14:paraId="65396CF8">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E</w:t>
            </w:r>
          </w:p>
        </w:tc>
        <w:tc>
          <w:tcPr>
            <w:tcW w:w="3424" w:type="dxa"/>
            <w:vAlign w:val="center"/>
          </w:tcPr>
          <w:p w14:paraId="6716439A">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0.0767</w:t>
            </w:r>
          </w:p>
        </w:tc>
        <w:tc>
          <w:tcPr>
            <w:tcW w:w="2572" w:type="dxa"/>
          </w:tcPr>
          <w:p w14:paraId="5C2C5F28">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有人子区</w:t>
            </w:r>
          </w:p>
        </w:tc>
      </w:tr>
      <w:tr w14:paraId="0B153E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23" w:type="dxa"/>
          </w:tcPr>
          <w:p w14:paraId="43278D34">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ESE</w:t>
            </w:r>
          </w:p>
        </w:tc>
        <w:tc>
          <w:tcPr>
            <w:tcW w:w="3424" w:type="dxa"/>
            <w:vAlign w:val="center"/>
          </w:tcPr>
          <w:p w14:paraId="5F60E2E6">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0.1195</w:t>
            </w:r>
          </w:p>
        </w:tc>
        <w:tc>
          <w:tcPr>
            <w:tcW w:w="2572" w:type="dxa"/>
          </w:tcPr>
          <w:p w14:paraId="22ED77AF">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p>
        </w:tc>
      </w:tr>
      <w:tr w14:paraId="132F6A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23" w:type="dxa"/>
          </w:tcPr>
          <w:p w14:paraId="48FE463E">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SE</w:t>
            </w:r>
          </w:p>
        </w:tc>
        <w:tc>
          <w:tcPr>
            <w:tcW w:w="3424" w:type="dxa"/>
            <w:vAlign w:val="center"/>
          </w:tcPr>
          <w:p w14:paraId="5DD99DD3">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0.1195</w:t>
            </w:r>
          </w:p>
        </w:tc>
        <w:tc>
          <w:tcPr>
            <w:tcW w:w="2572" w:type="dxa"/>
          </w:tcPr>
          <w:p w14:paraId="008897AD">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有人子区</w:t>
            </w:r>
          </w:p>
        </w:tc>
      </w:tr>
      <w:tr w14:paraId="71EE39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23" w:type="dxa"/>
          </w:tcPr>
          <w:p w14:paraId="1D08AE72">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SSE</w:t>
            </w:r>
          </w:p>
        </w:tc>
        <w:tc>
          <w:tcPr>
            <w:tcW w:w="3424" w:type="dxa"/>
            <w:vAlign w:val="center"/>
          </w:tcPr>
          <w:p w14:paraId="7118FA94">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0.1099</w:t>
            </w:r>
          </w:p>
        </w:tc>
        <w:tc>
          <w:tcPr>
            <w:tcW w:w="2572" w:type="dxa"/>
          </w:tcPr>
          <w:p w14:paraId="6651F9EF">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有人子区</w:t>
            </w:r>
          </w:p>
        </w:tc>
      </w:tr>
      <w:tr w14:paraId="079946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23" w:type="dxa"/>
          </w:tcPr>
          <w:p w14:paraId="5B18A233">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S</w:t>
            </w:r>
          </w:p>
        </w:tc>
        <w:tc>
          <w:tcPr>
            <w:tcW w:w="3424" w:type="dxa"/>
            <w:vAlign w:val="center"/>
          </w:tcPr>
          <w:p w14:paraId="5B1361F5">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0.1052</w:t>
            </w:r>
          </w:p>
        </w:tc>
        <w:tc>
          <w:tcPr>
            <w:tcW w:w="2572" w:type="dxa"/>
          </w:tcPr>
          <w:p w14:paraId="11A1CF45">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有人子区</w:t>
            </w:r>
          </w:p>
        </w:tc>
      </w:tr>
      <w:tr w14:paraId="23B91D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23" w:type="dxa"/>
          </w:tcPr>
          <w:p w14:paraId="1E397F64">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SSW</w:t>
            </w:r>
          </w:p>
        </w:tc>
        <w:tc>
          <w:tcPr>
            <w:tcW w:w="3424" w:type="dxa"/>
            <w:vAlign w:val="center"/>
          </w:tcPr>
          <w:p w14:paraId="1ED8F4AC">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0.1143</w:t>
            </w:r>
          </w:p>
        </w:tc>
        <w:tc>
          <w:tcPr>
            <w:tcW w:w="2572" w:type="dxa"/>
          </w:tcPr>
          <w:p w14:paraId="042F400E">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有人子区</w:t>
            </w:r>
          </w:p>
        </w:tc>
      </w:tr>
      <w:tr w14:paraId="57F044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23" w:type="dxa"/>
          </w:tcPr>
          <w:p w14:paraId="0FA1E547">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SW</w:t>
            </w:r>
          </w:p>
        </w:tc>
        <w:tc>
          <w:tcPr>
            <w:tcW w:w="3424" w:type="dxa"/>
            <w:vAlign w:val="center"/>
          </w:tcPr>
          <w:p w14:paraId="50E58DAA">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0.1256</w:t>
            </w:r>
          </w:p>
        </w:tc>
        <w:tc>
          <w:tcPr>
            <w:tcW w:w="2572" w:type="dxa"/>
          </w:tcPr>
          <w:p w14:paraId="1178876E">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p>
        </w:tc>
      </w:tr>
      <w:tr w14:paraId="76A472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23" w:type="dxa"/>
          </w:tcPr>
          <w:p w14:paraId="37745B8C">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WSW</w:t>
            </w:r>
          </w:p>
        </w:tc>
        <w:tc>
          <w:tcPr>
            <w:tcW w:w="3424" w:type="dxa"/>
            <w:vAlign w:val="center"/>
          </w:tcPr>
          <w:p w14:paraId="05E8E49A">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0.1157</w:t>
            </w:r>
          </w:p>
        </w:tc>
        <w:tc>
          <w:tcPr>
            <w:tcW w:w="2572" w:type="dxa"/>
          </w:tcPr>
          <w:p w14:paraId="52969A25">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有人子区</w:t>
            </w:r>
          </w:p>
        </w:tc>
      </w:tr>
      <w:tr w14:paraId="2D8AB6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23" w:type="dxa"/>
          </w:tcPr>
          <w:p w14:paraId="1DBA4888">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W</w:t>
            </w:r>
          </w:p>
        </w:tc>
        <w:tc>
          <w:tcPr>
            <w:tcW w:w="3424" w:type="dxa"/>
            <w:vAlign w:val="center"/>
          </w:tcPr>
          <w:p w14:paraId="0E7D5144">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0.0961</w:t>
            </w:r>
          </w:p>
        </w:tc>
        <w:tc>
          <w:tcPr>
            <w:tcW w:w="2572" w:type="dxa"/>
          </w:tcPr>
          <w:p w14:paraId="78A35898">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p>
        </w:tc>
      </w:tr>
      <w:tr w14:paraId="5A4814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23" w:type="dxa"/>
          </w:tcPr>
          <w:p w14:paraId="3D8B333E">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WNW</w:t>
            </w:r>
          </w:p>
        </w:tc>
        <w:tc>
          <w:tcPr>
            <w:tcW w:w="3424" w:type="dxa"/>
            <w:vAlign w:val="center"/>
          </w:tcPr>
          <w:p w14:paraId="2039A572">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0.0848</w:t>
            </w:r>
          </w:p>
        </w:tc>
        <w:tc>
          <w:tcPr>
            <w:tcW w:w="2572" w:type="dxa"/>
          </w:tcPr>
          <w:p w14:paraId="5E8CCAAC">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p>
        </w:tc>
      </w:tr>
      <w:tr w14:paraId="549A08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23" w:type="dxa"/>
          </w:tcPr>
          <w:p w14:paraId="1A487C67">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NW</w:t>
            </w:r>
          </w:p>
        </w:tc>
        <w:tc>
          <w:tcPr>
            <w:tcW w:w="3424" w:type="dxa"/>
            <w:vAlign w:val="center"/>
          </w:tcPr>
          <w:p w14:paraId="69D92A79">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0.0853</w:t>
            </w:r>
          </w:p>
        </w:tc>
        <w:tc>
          <w:tcPr>
            <w:tcW w:w="2572" w:type="dxa"/>
          </w:tcPr>
          <w:p w14:paraId="4B3F407E">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p>
        </w:tc>
      </w:tr>
      <w:tr w14:paraId="735363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23" w:type="dxa"/>
          </w:tcPr>
          <w:p w14:paraId="3436921C">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NNW</w:t>
            </w:r>
          </w:p>
        </w:tc>
        <w:tc>
          <w:tcPr>
            <w:tcW w:w="3424" w:type="dxa"/>
            <w:vAlign w:val="center"/>
          </w:tcPr>
          <w:p w14:paraId="2C9017E3">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0.0760</w:t>
            </w:r>
          </w:p>
        </w:tc>
        <w:tc>
          <w:tcPr>
            <w:tcW w:w="2572" w:type="dxa"/>
          </w:tcPr>
          <w:p w14:paraId="2EF11F88">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p>
        </w:tc>
      </w:tr>
    </w:tbl>
    <w:p w14:paraId="3D9E897D">
      <w:pPr>
        <w:autoSpaceDE w:val="0"/>
        <w:autoSpaceDN w:val="0"/>
        <w:adjustRightInd w:val="0"/>
        <w:spacing w:after="0" w:line="360" w:lineRule="auto"/>
        <w:ind w:firstLine="480"/>
        <w:rPr>
          <w:rFonts w:ascii="Times New Roman" w:hAnsi="Times New Roman"/>
          <w:color w:val="000000" w:themeColor="text1"/>
          <w:spacing w:val="-2"/>
          <w:sz w:val="24"/>
          <w:szCs w:val="24"/>
          <w:u w:val="single"/>
          <w14:textFill>
            <w14:solidFill>
              <w14:schemeClr w14:val="tx1"/>
            </w14:solidFill>
          </w14:textFill>
        </w:rPr>
      </w:pPr>
    </w:p>
    <w:p w14:paraId="2B02206D">
      <w:pPr>
        <w:pStyle w:val="6"/>
        <w:widowControl w:val="0"/>
        <w:numPr>
          <w:ilvl w:val="3"/>
          <w:numId w:val="1"/>
        </w:numPr>
        <w:spacing w:before="0" w:line="360" w:lineRule="auto"/>
        <w:ind w:left="0" w:firstLine="0"/>
        <w:jc w:val="both"/>
        <w:rPr>
          <w:rFonts w:ascii="Times New Roman" w:hAnsi="Times New Roman" w:eastAsia="黑体" w:cs="Times New Roman"/>
          <w:bCs/>
          <w:i w:val="0"/>
          <w:iCs w:val="0"/>
          <w:color w:val="000000" w:themeColor="text1"/>
          <w:kern w:val="2"/>
          <w:sz w:val="24"/>
          <w14:textFill>
            <w14:solidFill>
              <w14:schemeClr w14:val="tx1"/>
            </w14:solidFill>
          </w14:textFill>
        </w:rPr>
      </w:pPr>
      <w:r>
        <w:rPr>
          <w:rFonts w:ascii="Times New Roman" w:hAnsi="Times New Roman" w:eastAsia="黑体" w:cs="Times New Roman"/>
          <w:bCs/>
          <w:i w:val="0"/>
          <w:iCs w:val="0"/>
          <w:color w:val="000000" w:themeColor="text1"/>
          <w:kern w:val="2"/>
          <w:sz w:val="24"/>
          <w14:textFill>
            <w14:solidFill>
              <w14:schemeClr w14:val="tx1"/>
            </w14:solidFill>
          </w14:textFill>
        </w:rPr>
        <w:t>公众吸入放射性核素所致有效剂量（D</w:t>
      </w:r>
      <w:r>
        <w:rPr>
          <w:rFonts w:ascii="Times New Roman" w:hAnsi="Times New Roman" w:eastAsia="黑体" w:cs="Times New Roman"/>
          <w:bCs/>
          <w:i w:val="0"/>
          <w:iCs w:val="0"/>
          <w:color w:val="000000" w:themeColor="text1"/>
          <w:kern w:val="2"/>
          <w:sz w:val="24"/>
          <w:vertAlign w:val="subscript"/>
          <w14:textFill>
            <w14:solidFill>
              <w14:schemeClr w14:val="tx1"/>
            </w14:solidFill>
          </w14:textFill>
        </w:rPr>
        <w:t>h</w:t>
      </w:r>
      <w:r>
        <w:rPr>
          <w:rFonts w:ascii="Times New Roman" w:hAnsi="Times New Roman" w:eastAsia="黑体" w:cs="Times New Roman"/>
          <w:bCs/>
          <w:i w:val="0"/>
          <w:iCs w:val="0"/>
          <w:color w:val="000000" w:themeColor="text1"/>
          <w:kern w:val="2"/>
          <w:sz w:val="24"/>
          <w14:textFill>
            <w14:solidFill>
              <w14:schemeClr w14:val="tx1"/>
            </w14:solidFill>
          </w14:textFill>
        </w:rPr>
        <w:t>）</w:t>
      </w:r>
    </w:p>
    <w:p w14:paraId="0554A3B8">
      <w:pPr>
        <w:autoSpaceDE w:val="0"/>
        <w:autoSpaceDN w:val="0"/>
        <w:adjustRightInd w:val="0"/>
        <w:spacing w:after="0" w:line="360" w:lineRule="auto"/>
        <w:ind w:firstLine="480"/>
        <w:rPr>
          <w:rFonts w:ascii="Times New Roman" w:hAnsi="Times New Roman" w:cs="Times New Roman"/>
          <w:color w:val="000000" w:themeColor="text1"/>
          <w:sz w:val="24"/>
          <w:szCs w:val="24"/>
          <w:u w:val="single"/>
          <w14:textFill>
            <w14:solidFill>
              <w14:schemeClr w14:val="tx1"/>
            </w14:solidFill>
          </w14:textFill>
        </w:rPr>
      </w:pPr>
      <w:bookmarkStart w:id="107" w:name="_Hlk37324312"/>
      <w:r>
        <w:rPr>
          <w:rFonts w:hint="eastAsia" w:ascii="Times New Roman" w:hAnsi="Times New Roman" w:cs="Times New Roman"/>
          <w:color w:val="000000" w:themeColor="text1"/>
          <w:sz w:val="24"/>
          <w:szCs w:val="24"/>
          <w:u w:val="single"/>
          <w14:textFill>
            <w14:solidFill>
              <w14:schemeClr w14:val="tx1"/>
            </w14:solidFill>
          </w14:textFill>
        </w:rPr>
        <w:t>根据项目辐射环境评价范围内各子区公众的分布情况，计算各评价范围内各子区的公众剂量。计算结果见表4.2-2。</w:t>
      </w:r>
    </w:p>
    <w:p w14:paraId="57283C43">
      <w:pPr>
        <w:widowControl w:val="0"/>
        <w:spacing w:after="0" w:line="360" w:lineRule="auto"/>
        <w:jc w:val="center"/>
        <w:rPr>
          <w:rFonts w:ascii="Times New Roman" w:hAnsi="Times New Roman" w:eastAsia="宋体" w:cs="Times New Roman"/>
          <w:b/>
          <w:bCs/>
          <w:color w:val="000000" w:themeColor="text1"/>
          <w:spacing w:val="-2"/>
          <w:sz w:val="24"/>
          <w:szCs w:val="20"/>
          <w14:textFill>
            <w14:solidFill>
              <w14:schemeClr w14:val="tx1"/>
            </w14:solidFill>
          </w14:textFill>
        </w:rPr>
      </w:pPr>
      <w:r>
        <w:rPr>
          <w:rFonts w:hint="eastAsia" w:ascii="Times New Roman" w:hAnsi="Times New Roman" w:eastAsia="宋体" w:cs="Times New Roman"/>
          <w:b/>
          <w:bCs/>
          <w:color w:val="000000" w:themeColor="text1"/>
          <w:spacing w:val="-2"/>
          <w:sz w:val="24"/>
          <w:szCs w:val="20"/>
          <w14:textFill>
            <w14:solidFill>
              <w14:schemeClr w14:val="tx1"/>
            </w14:solidFill>
          </w14:textFill>
        </w:rPr>
        <w:t>表4.2-2  各子区氡吸入所致内照射有效剂量</w:t>
      </w:r>
    </w:p>
    <w:tbl>
      <w:tblPr>
        <w:tblStyle w:val="46"/>
        <w:tblW w:w="8519"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03"/>
        <w:gridCol w:w="2693"/>
        <w:gridCol w:w="2977"/>
        <w:gridCol w:w="1446"/>
      </w:tblGrid>
      <w:tr w14:paraId="601114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1403" w:type="dxa"/>
            <w:vAlign w:val="center"/>
          </w:tcPr>
          <w:p w14:paraId="3D9CC4DC">
            <w:pPr>
              <w:spacing w:after="0" w:line="240" w:lineRule="auto"/>
              <w:jc w:val="center"/>
              <w:rPr>
                <w:rFonts w:ascii="Times New Roman" w:hAnsi="Times New Roman" w:eastAsia="宋体" w:cs="Times New Roman"/>
                <w:b/>
                <w:bCs/>
                <w:color w:val="000000" w:themeColor="text1"/>
                <w:u w:val="single"/>
                <w14:textFill>
                  <w14:solidFill>
                    <w14:schemeClr w14:val="tx1"/>
                  </w14:solidFill>
                </w14:textFill>
              </w:rPr>
            </w:pPr>
            <w:r>
              <w:rPr>
                <w:rFonts w:ascii="Times New Roman" w:hAnsi="Times New Roman" w:eastAsia="宋体" w:cs="Times New Roman"/>
                <w:b/>
                <w:bCs/>
                <w:color w:val="000000" w:themeColor="text1"/>
                <w:u w:val="single"/>
                <w14:textFill>
                  <w14:solidFill>
                    <w14:schemeClr w14:val="tx1"/>
                  </w14:solidFill>
                </w14:textFill>
              </w:rPr>
              <w:t>方位</w:t>
            </w:r>
          </w:p>
        </w:tc>
        <w:tc>
          <w:tcPr>
            <w:tcW w:w="2693" w:type="dxa"/>
            <w:vAlign w:val="center"/>
          </w:tcPr>
          <w:p w14:paraId="423902B0">
            <w:pPr>
              <w:spacing w:after="0" w:line="240" w:lineRule="auto"/>
              <w:jc w:val="center"/>
              <w:rPr>
                <w:rFonts w:ascii="Times New Roman" w:hAnsi="Times New Roman" w:eastAsia="宋体" w:cs="Times New Roman"/>
                <w:b/>
                <w:bCs/>
                <w:color w:val="000000" w:themeColor="text1"/>
                <w:u w:val="single"/>
                <w14:textFill>
                  <w14:solidFill>
                    <w14:schemeClr w14:val="tx1"/>
                  </w14:solidFill>
                </w14:textFill>
              </w:rPr>
            </w:pPr>
            <w:r>
              <w:rPr>
                <w:rFonts w:ascii="Times New Roman" w:hAnsi="Times New Roman" w:eastAsia="宋体" w:cs="Times New Roman"/>
                <w:b/>
                <w:bCs/>
                <w:color w:val="000000" w:themeColor="text1"/>
                <w:u w:val="single"/>
                <w14:textFill>
                  <w14:solidFill>
                    <w14:schemeClr w14:val="tx1"/>
                  </w14:solidFill>
                </w14:textFill>
              </w:rPr>
              <w:t>0～0.5km氡</w:t>
            </w:r>
            <w:r>
              <w:rPr>
                <w:rFonts w:hint="eastAsia" w:ascii="Times New Roman" w:hAnsi="Times New Roman" w:eastAsia="宋体" w:cs="Times New Roman"/>
                <w:b/>
                <w:bCs/>
                <w:color w:val="000000" w:themeColor="text1"/>
                <w:u w:val="single"/>
                <w14:textFill>
                  <w14:solidFill>
                    <w14:schemeClr w14:val="tx1"/>
                  </w14:solidFill>
                </w14:textFill>
              </w:rPr>
              <w:t>吸入所致内照射有效剂量（mSv/a）</w:t>
            </w:r>
          </w:p>
        </w:tc>
        <w:tc>
          <w:tcPr>
            <w:tcW w:w="2977" w:type="dxa"/>
            <w:vAlign w:val="center"/>
          </w:tcPr>
          <w:p w14:paraId="202900D1">
            <w:pPr>
              <w:spacing w:after="0" w:line="240" w:lineRule="auto"/>
              <w:jc w:val="center"/>
              <w:rPr>
                <w:rFonts w:ascii="Times New Roman" w:hAnsi="Times New Roman" w:eastAsia="宋体" w:cs="Times New Roman"/>
                <w:b/>
                <w:bCs/>
                <w:color w:val="000000" w:themeColor="text1"/>
                <w:u w:val="single"/>
                <w14:textFill>
                  <w14:solidFill>
                    <w14:schemeClr w14:val="tx1"/>
                  </w14:solidFill>
                </w14:textFill>
              </w:rPr>
            </w:pPr>
            <w:r>
              <w:rPr>
                <w:rFonts w:hint="eastAsia" w:ascii="Times New Roman" w:hAnsi="Times New Roman" w:eastAsia="宋体" w:cs="Times New Roman"/>
                <w:b/>
                <w:bCs/>
                <w:color w:val="000000" w:themeColor="text1"/>
                <w:u w:val="single"/>
                <w14:textFill>
                  <w14:solidFill>
                    <w14:schemeClr w14:val="tx1"/>
                  </w14:solidFill>
                </w14:textFill>
              </w:rPr>
              <w:t>子区涉及敏感点</w:t>
            </w:r>
          </w:p>
        </w:tc>
        <w:tc>
          <w:tcPr>
            <w:tcW w:w="1446" w:type="dxa"/>
            <w:vAlign w:val="center"/>
          </w:tcPr>
          <w:p w14:paraId="02E22E5D">
            <w:pPr>
              <w:spacing w:after="0" w:line="240" w:lineRule="auto"/>
              <w:jc w:val="center"/>
              <w:rPr>
                <w:rFonts w:ascii="Times New Roman" w:hAnsi="Times New Roman" w:eastAsia="宋体" w:cs="Times New Roman"/>
                <w:b/>
                <w:bCs/>
                <w:color w:val="000000" w:themeColor="text1"/>
                <w:u w:val="single"/>
                <w14:textFill>
                  <w14:solidFill>
                    <w14:schemeClr w14:val="tx1"/>
                  </w14:solidFill>
                </w14:textFill>
              </w:rPr>
            </w:pPr>
            <w:r>
              <w:rPr>
                <w:rFonts w:hint="eastAsia" w:ascii="Times New Roman" w:hAnsi="Times New Roman" w:eastAsia="宋体" w:cs="Times New Roman"/>
                <w:b/>
                <w:bCs/>
                <w:color w:val="000000" w:themeColor="text1"/>
                <w:u w:val="single"/>
                <w14:textFill>
                  <w14:solidFill>
                    <w14:schemeClr w14:val="tx1"/>
                  </w14:solidFill>
                </w14:textFill>
              </w:rPr>
              <w:t>子区人数（人）</w:t>
            </w:r>
          </w:p>
        </w:tc>
      </w:tr>
      <w:tr w14:paraId="240F42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03" w:type="dxa"/>
            <w:vAlign w:val="center"/>
          </w:tcPr>
          <w:p w14:paraId="0A4AD819">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N</w:t>
            </w:r>
          </w:p>
        </w:tc>
        <w:tc>
          <w:tcPr>
            <w:tcW w:w="2693" w:type="dxa"/>
            <w:vAlign w:val="center"/>
          </w:tcPr>
          <w:p w14:paraId="7450F9C4">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0.0786</w:t>
            </w:r>
          </w:p>
        </w:tc>
        <w:tc>
          <w:tcPr>
            <w:tcW w:w="2977" w:type="dxa"/>
            <w:vAlign w:val="center"/>
          </w:tcPr>
          <w:p w14:paraId="618AC75E">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棉纺产业园</w:t>
            </w:r>
          </w:p>
        </w:tc>
        <w:tc>
          <w:tcPr>
            <w:tcW w:w="1446" w:type="dxa"/>
            <w:vAlign w:val="center"/>
          </w:tcPr>
          <w:p w14:paraId="72C38C47">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4</w:t>
            </w:r>
          </w:p>
        </w:tc>
      </w:tr>
      <w:tr w14:paraId="36B136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03" w:type="dxa"/>
            <w:vAlign w:val="center"/>
          </w:tcPr>
          <w:p w14:paraId="7865016C">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NNE</w:t>
            </w:r>
          </w:p>
        </w:tc>
        <w:tc>
          <w:tcPr>
            <w:tcW w:w="2693" w:type="dxa"/>
            <w:vAlign w:val="center"/>
          </w:tcPr>
          <w:p w14:paraId="55F4883D">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0.0717</w:t>
            </w:r>
          </w:p>
        </w:tc>
        <w:tc>
          <w:tcPr>
            <w:tcW w:w="2977" w:type="dxa"/>
            <w:vAlign w:val="center"/>
          </w:tcPr>
          <w:p w14:paraId="211B7DAE">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棉纺产业园、钦州港冷链保税交易中心</w:t>
            </w:r>
          </w:p>
        </w:tc>
        <w:tc>
          <w:tcPr>
            <w:tcW w:w="1446" w:type="dxa"/>
            <w:vAlign w:val="center"/>
          </w:tcPr>
          <w:p w14:paraId="33BF013C">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7</w:t>
            </w:r>
          </w:p>
        </w:tc>
      </w:tr>
      <w:tr w14:paraId="54DBF9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03" w:type="dxa"/>
            <w:vAlign w:val="center"/>
          </w:tcPr>
          <w:p w14:paraId="47905853">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NE</w:t>
            </w:r>
          </w:p>
        </w:tc>
        <w:tc>
          <w:tcPr>
            <w:tcW w:w="2693" w:type="dxa"/>
            <w:vAlign w:val="center"/>
          </w:tcPr>
          <w:p w14:paraId="079939AE">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0.0676</w:t>
            </w:r>
          </w:p>
        </w:tc>
        <w:tc>
          <w:tcPr>
            <w:tcW w:w="2977" w:type="dxa"/>
            <w:vAlign w:val="center"/>
          </w:tcPr>
          <w:p w14:paraId="1C466D4E">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钦州港冷链保税交易中心、益盐堂</w:t>
            </w:r>
          </w:p>
        </w:tc>
        <w:tc>
          <w:tcPr>
            <w:tcW w:w="1446" w:type="dxa"/>
            <w:vAlign w:val="center"/>
          </w:tcPr>
          <w:p w14:paraId="172DF8A4">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11</w:t>
            </w:r>
          </w:p>
        </w:tc>
      </w:tr>
      <w:tr w14:paraId="425F88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03" w:type="dxa"/>
            <w:vAlign w:val="center"/>
          </w:tcPr>
          <w:p w14:paraId="15FD2F0F">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ENE</w:t>
            </w:r>
          </w:p>
        </w:tc>
        <w:tc>
          <w:tcPr>
            <w:tcW w:w="2693" w:type="dxa"/>
            <w:vAlign w:val="center"/>
          </w:tcPr>
          <w:p w14:paraId="2D02FF1C">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0</w:t>
            </w:r>
          </w:p>
        </w:tc>
        <w:tc>
          <w:tcPr>
            <w:tcW w:w="2977" w:type="dxa"/>
            <w:vAlign w:val="center"/>
          </w:tcPr>
          <w:p w14:paraId="67019289">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p>
        </w:tc>
        <w:tc>
          <w:tcPr>
            <w:tcW w:w="1446" w:type="dxa"/>
            <w:vAlign w:val="center"/>
          </w:tcPr>
          <w:p w14:paraId="0F8BD242">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p>
        </w:tc>
      </w:tr>
      <w:tr w14:paraId="35AFDE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03" w:type="dxa"/>
            <w:vAlign w:val="center"/>
          </w:tcPr>
          <w:p w14:paraId="6613FEC6">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E</w:t>
            </w:r>
          </w:p>
        </w:tc>
        <w:tc>
          <w:tcPr>
            <w:tcW w:w="2693" w:type="dxa"/>
            <w:vAlign w:val="center"/>
          </w:tcPr>
          <w:p w14:paraId="2821F19C">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0.0767</w:t>
            </w:r>
          </w:p>
        </w:tc>
        <w:tc>
          <w:tcPr>
            <w:tcW w:w="2977" w:type="dxa"/>
            <w:vAlign w:val="center"/>
          </w:tcPr>
          <w:p w14:paraId="393EB4EE">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海纳新材料</w:t>
            </w:r>
          </w:p>
        </w:tc>
        <w:tc>
          <w:tcPr>
            <w:tcW w:w="1446" w:type="dxa"/>
            <w:vAlign w:val="center"/>
          </w:tcPr>
          <w:p w14:paraId="21542396">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1</w:t>
            </w:r>
          </w:p>
        </w:tc>
      </w:tr>
      <w:tr w14:paraId="31F80C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03" w:type="dxa"/>
            <w:vAlign w:val="center"/>
          </w:tcPr>
          <w:p w14:paraId="36F154D9">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ESE</w:t>
            </w:r>
          </w:p>
        </w:tc>
        <w:tc>
          <w:tcPr>
            <w:tcW w:w="2693" w:type="dxa"/>
            <w:vAlign w:val="center"/>
          </w:tcPr>
          <w:p w14:paraId="6350C6DF">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0</w:t>
            </w:r>
          </w:p>
        </w:tc>
        <w:tc>
          <w:tcPr>
            <w:tcW w:w="2977" w:type="dxa"/>
            <w:vAlign w:val="center"/>
          </w:tcPr>
          <w:p w14:paraId="2CEA4223">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p>
        </w:tc>
        <w:tc>
          <w:tcPr>
            <w:tcW w:w="1446" w:type="dxa"/>
            <w:vAlign w:val="center"/>
          </w:tcPr>
          <w:p w14:paraId="1D7214CF">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p>
        </w:tc>
      </w:tr>
      <w:tr w14:paraId="0B2E71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03" w:type="dxa"/>
            <w:vAlign w:val="center"/>
          </w:tcPr>
          <w:p w14:paraId="1403CDBC">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SE</w:t>
            </w:r>
          </w:p>
        </w:tc>
        <w:tc>
          <w:tcPr>
            <w:tcW w:w="2693" w:type="dxa"/>
            <w:vAlign w:val="center"/>
          </w:tcPr>
          <w:p w14:paraId="70F87338">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0.1195</w:t>
            </w:r>
          </w:p>
        </w:tc>
        <w:tc>
          <w:tcPr>
            <w:tcW w:w="2977" w:type="dxa"/>
            <w:vAlign w:val="center"/>
          </w:tcPr>
          <w:p w14:paraId="066927F4">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星火物流</w:t>
            </w:r>
          </w:p>
        </w:tc>
        <w:tc>
          <w:tcPr>
            <w:tcW w:w="1446" w:type="dxa"/>
            <w:vAlign w:val="center"/>
          </w:tcPr>
          <w:p w14:paraId="0F7746A9">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4</w:t>
            </w:r>
          </w:p>
        </w:tc>
      </w:tr>
      <w:tr w14:paraId="215061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03" w:type="dxa"/>
            <w:vAlign w:val="center"/>
          </w:tcPr>
          <w:p w14:paraId="0FD11EEB">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SSE</w:t>
            </w:r>
          </w:p>
        </w:tc>
        <w:tc>
          <w:tcPr>
            <w:tcW w:w="2693" w:type="dxa"/>
            <w:vAlign w:val="center"/>
          </w:tcPr>
          <w:p w14:paraId="649BD57E">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0.1099</w:t>
            </w:r>
          </w:p>
        </w:tc>
        <w:tc>
          <w:tcPr>
            <w:tcW w:w="2977" w:type="dxa"/>
            <w:vAlign w:val="center"/>
          </w:tcPr>
          <w:p w14:paraId="495A1E7C">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星火物流</w:t>
            </w:r>
          </w:p>
        </w:tc>
        <w:tc>
          <w:tcPr>
            <w:tcW w:w="1446" w:type="dxa"/>
            <w:vAlign w:val="center"/>
          </w:tcPr>
          <w:p w14:paraId="43D4A7F0">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8</w:t>
            </w:r>
          </w:p>
        </w:tc>
      </w:tr>
      <w:tr w14:paraId="547E47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03" w:type="dxa"/>
            <w:vAlign w:val="center"/>
          </w:tcPr>
          <w:p w14:paraId="23B84469">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S</w:t>
            </w:r>
          </w:p>
        </w:tc>
        <w:tc>
          <w:tcPr>
            <w:tcW w:w="2693" w:type="dxa"/>
            <w:vAlign w:val="center"/>
          </w:tcPr>
          <w:p w14:paraId="6F2547BC">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0.1052</w:t>
            </w:r>
          </w:p>
        </w:tc>
        <w:tc>
          <w:tcPr>
            <w:tcW w:w="2977" w:type="dxa"/>
            <w:vAlign w:val="center"/>
          </w:tcPr>
          <w:p w14:paraId="043DDE1A">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创大汽车园内3号仓库南面、创大仓储</w:t>
            </w:r>
          </w:p>
        </w:tc>
        <w:tc>
          <w:tcPr>
            <w:tcW w:w="1446" w:type="dxa"/>
            <w:vAlign w:val="center"/>
          </w:tcPr>
          <w:p w14:paraId="7CE7A3E8">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8</w:t>
            </w:r>
          </w:p>
        </w:tc>
      </w:tr>
      <w:tr w14:paraId="26117D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03" w:type="dxa"/>
            <w:vAlign w:val="center"/>
          </w:tcPr>
          <w:p w14:paraId="0B772771">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SSW</w:t>
            </w:r>
          </w:p>
        </w:tc>
        <w:tc>
          <w:tcPr>
            <w:tcW w:w="2693" w:type="dxa"/>
            <w:vAlign w:val="center"/>
          </w:tcPr>
          <w:p w14:paraId="7530DC5C">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0.1143</w:t>
            </w:r>
          </w:p>
        </w:tc>
        <w:tc>
          <w:tcPr>
            <w:tcW w:w="2977" w:type="dxa"/>
            <w:vAlign w:val="center"/>
          </w:tcPr>
          <w:p w14:paraId="6E82AC1B">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创大仓储</w:t>
            </w:r>
          </w:p>
        </w:tc>
        <w:tc>
          <w:tcPr>
            <w:tcW w:w="1446" w:type="dxa"/>
            <w:vAlign w:val="center"/>
          </w:tcPr>
          <w:p w14:paraId="325C3523">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4</w:t>
            </w:r>
          </w:p>
        </w:tc>
      </w:tr>
      <w:tr w14:paraId="5510B9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03" w:type="dxa"/>
            <w:vAlign w:val="center"/>
          </w:tcPr>
          <w:p w14:paraId="07FDBF77">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SW</w:t>
            </w:r>
          </w:p>
        </w:tc>
        <w:tc>
          <w:tcPr>
            <w:tcW w:w="2693" w:type="dxa"/>
            <w:vAlign w:val="center"/>
          </w:tcPr>
          <w:p w14:paraId="2CA6DDD9">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0</w:t>
            </w:r>
          </w:p>
        </w:tc>
        <w:tc>
          <w:tcPr>
            <w:tcW w:w="2977" w:type="dxa"/>
            <w:vAlign w:val="center"/>
          </w:tcPr>
          <w:p w14:paraId="1899885B">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p>
        </w:tc>
        <w:tc>
          <w:tcPr>
            <w:tcW w:w="1446" w:type="dxa"/>
            <w:vAlign w:val="center"/>
          </w:tcPr>
          <w:p w14:paraId="0E2E2AD3">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p>
        </w:tc>
      </w:tr>
      <w:tr w14:paraId="66B300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03" w:type="dxa"/>
            <w:vAlign w:val="center"/>
          </w:tcPr>
          <w:p w14:paraId="7D9E489F">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WSW</w:t>
            </w:r>
          </w:p>
        </w:tc>
        <w:tc>
          <w:tcPr>
            <w:tcW w:w="2693" w:type="dxa"/>
            <w:vAlign w:val="center"/>
          </w:tcPr>
          <w:p w14:paraId="3C54ED34">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0.1157</w:t>
            </w:r>
          </w:p>
        </w:tc>
        <w:tc>
          <w:tcPr>
            <w:tcW w:w="2977" w:type="dxa"/>
            <w:vAlign w:val="center"/>
          </w:tcPr>
          <w:p w14:paraId="211CBE08">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创大汽车园内1号仓库</w:t>
            </w:r>
          </w:p>
        </w:tc>
        <w:tc>
          <w:tcPr>
            <w:tcW w:w="1446" w:type="dxa"/>
            <w:vAlign w:val="center"/>
          </w:tcPr>
          <w:p w14:paraId="3A5F0344">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1</w:t>
            </w:r>
          </w:p>
        </w:tc>
      </w:tr>
      <w:tr w14:paraId="31FFFA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03" w:type="dxa"/>
            <w:vAlign w:val="center"/>
          </w:tcPr>
          <w:p w14:paraId="7C173B42">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W</w:t>
            </w:r>
          </w:p>
        </w:tc>
        <w:tc>
          <w:tcPr>
            <w:tcW w:w="2693" w:type="dxa"/>
            <w:vAlign w:val="center"/>
          </w:tcPr>
          <w:p w14:paraId="22494911">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0</w:t>
            </w:r>
          </w:p>
        </w:tc>
        <w:tc>
          <w:tcPr>
            <w:tcW w:w="2977" w:type="dxa"/>
            <w:vAlign w:val="center"/>
          </w:tcPr>
          <w:p w14:paraId="7084CED7">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p>
        </w:tc>
        <w:tc>
          <w:tcPr>
            <w:tcW w:w="1446" w:type="dxa"/>
            <w:vAlign w:val="center"/>
          </w:tcPr>
          <w:p w14:paraId="3299C866">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p>
        </w:tc>
      </w:tr>
      <w:tr w14:paraId="161ED3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03" w:type="dxa"/>
            <w:vAlign w:val="center"/>
          </w:tcPr>
          <w:p w14:paraId="44438046">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WNW</w:t>
            </w:r>
          </w:p>
        </w:tc>
        <w:tc>
          <w:tcPr>
            <w:tcW w:w="2693" w:type="dxa"/>
            <w:vAlign w:val="center"/>
          </w:tcPr>
          <w:p w14:paraId="6C9CE62D">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0</w:t>
            </w:r>
          </w:p>
        </w:tc>
        <w:tc>
          <w:tcPr>
            <w:tcW w:w="2977" w:type="dxa"/>
            <w:vAlign w:val="center"/>
          </w:tcPr>
          <w:p w14:paraId="5A374A00">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p>
        </w:tc>
        <w:tc>
          <w:tcPr>
            <w:tcW w:w="1446" w:type="dxa"/>
            <w:vAlign w:val="center"/>
          </w:tcPr>
          <w:p w14:paraId="30C86364">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p>
        </w:tc>
      </w:tr>
      <w:tr w14:paraId="3CA754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03" w:type="dxa"/>
            <w:vAlign w:val="center"/>
          </w:tcPr>
          <w:p w14:paraId="379F902B">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NW</w:t>
            </w:r>
          </w:p>
        </w:tc>
        <w:tc>
          <w:tcPr>
            <w:tcW w:w="2693" w:type="dxa"/>
            <w:vAlign w:val="center"/>
          </w:tcPr>
          <w:p w14:paraId="7F6AA559">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0</w:t>
            </w:r>
          </w:p>
        </w:tc>
        <w:tc>
          <w:tcPr>
            <w:tcW w:w="2977" w:type="dxa"/>
            <w:vAlign w:val="center"/>
          </w:tcPr>
          <w:p w14:paraId="39563E78">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p>
        </w:tc>
        <w:tc>
          <w:tcPr>
            <w:tcW w:w="1446" w:type="dxa"/>
            <w:vAlign w:val="center"/>
          </w:tcPr>
          <w:p w14:paraId="2C20B67B">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p>
        </w:tc>
      </w:tr>
      <w:tr w14:paraId="0BD1B9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03" w:type="dxa"/>
            <w:vAlign w:val="center"/>
          </w:tcPr>
          <w:p w14:paraId="7A578F68">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NNW</w:t>
            </w:r>
          </w:p>
        </w:tc>
        <w:tc>
          <w:tcPr>
            <w:tcW w:w="2693" w:type="dxa"/>
            <w:vAlign w:val="center"/>
          </w:tcPr>
          <w:p w14:paraId="0C259487">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0</w:t>
            </w:r>
          </w:p>
        </w:tc>
        <w:tc>
          <w:tcPr>
            <w:tcW w:w="2977" w:type="dxa"/>
            <w:vAlign w:val="center"/>
          </w:tcPr>
          <w:p w14:paraId="18BFA961">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p>
        </w:tc>
        <w:tc>
          <w:tcPr>
            <w:tcW w:w="1446" w:type="dxa"/>
            <w:vAlign w:val="center"/>
          </w:tcPr>
          <w:p w14:paraId="54693FC6">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p>
        </w:tc>
      </w:tr>
    </w:tbl>
    <w:p w14:paraId="36DFF55B">
      <w:pPr>
        <w:autoSpaceDE w:val="0"/>
        <w:autoSpaceDN w:val="0"/>
        <w:adjustRightInd w:val="0"/>
        <w:spacing w:after="0" w:line="360" w:lineRule="auto"/>
        <w:ind w:firstLine="480"/>
        <w:rPr>
          <w:rFonts w:ascii="Times New Roman" w:hAnsi="Times New Roman" w:cs="Times New Roman"/>
          <w:color w:val="000000" w:themeColor="text1"/>
          <w:sz w:val="24"/>
          <w:szCs w:val="24"/>
          <w14:textFill>
            <w14:solidFill>
              <w14:schemeClr w14:val="tx1"/>
            </w14:solidFill>
          </w14:textFill>
        </w:rPr>
      </w:pPr>
    </w:p>
    <w:p w14:paraId="0010EC75">
      <w:pPr>
        <w:autoSpaceDE w:val="0"/>
        <w:autoSpaceDN w:val="0"/>
        <w:adjustRightInd w:val="0"/>
        <w:spacing w:after="0" w:line="360" w:lineRule="auto"/>
        <w:ind w:firstLine="480"/>
        <w:rPr>
          <w:rFonts w:ascii="Times New Roman" w:hAnsi="Times New Roman" w:cs="Times New Roman"/>
          <w:color w:val="000000" w:themeColor="text1"/>
          <w:sz w:val="24"/>
          <w:szCs w:val="24"/>
          <w:u w:val="single"/>
          <w14:textFill>
            <w14:solidFill>
              <w14:schemeClr w14:val="tx1"/>
            </w14:solidFill>
          </w14:textFill>
        </w:rPr>
      </w:pPr>
      <w:r>
        <w:rPr>
          <w:rFonts w:hint="eastAsia" w:ascii="Times New Roman" w:hAnsi="Times New Roman" w:cs="Times New Roman"/>
          <w:color w:val="000000" w:themeColor="text1"/>
          <w:sz w:val="24"/>
          <w:szCs w:val="24"/>
          <w:u w:val="single"/>
          <w14:textFill>
            <w14:solidFill>
              <w14:schemeClr w14:val="tx1"/>
            </w14:solidFill>
          </w14:textFill>
        </w:rPr>
        <w:t>根据表4.2-2可知，项目气载流出物所致各子区空气中氡浓度贡献值总体相对较小，对周边公众影响不大，其中有人子区中氡吸入所致内照射有效剂量稍大的是项目南面的星火物流及创大仓储。</w:t>
      </w:r>
      <w:r>
        <w:rPr>
          <w:rFonts w:hint="eastAsia" w:ascii="Times New Roman" w:hAnsi="Times New Roman" w:eastAsia="宋体" w:cs="Times New Roman"/>
          <w:color w:val="000000" w:themeColor="text1"/>
          <w:spacing w:val="-2"/>
          <w:sz w:val="24"/>
          <w:szCs w:val="20"/>
          <w:u w:val="single"/>
          <w14:textFill>
            <w14:solidFill>
              <w14:schemeClr w14:val="tx1"/>
            </w14:solidFill>
          </w14:textFill>
        </w:rPr>
        <w:t>项目评价范围内无居民区、配套宿舍区，项目产生气载流出物对周边公众产生辐射影响较小。</w:t>
      </w:r>
    </w:p>
    <w:p w14:paraId="244C010C">
      <w:pPr>
        <w:pStyle w:val="5"/>
        <w:widowControl w:val="0"/>
        <w:numPr>
          <w:ilvl w:val="2"/>
          <w:numId w:val="1"/>
        </w:numPr>
        <w:spacing w:before="0" w:line="360" w:lineRule="auto"/>
        <w:jc w:val="both"/>
        <w:rPr>
          <w:rFonts w:ascii="Times New Roman" w:hAnsi="Times New Roman" w:eastAsia="黑体" w:cs="Times New Roman"/>
          <w:b/>
          <w:bCs/>
          <w:caps w:val="0"/>
          <w:color w:val="000000" w:themeColor="text1"/>
          <w:kern w:val="2"/>
          <w:sz w:val="24"/>
          <w:szCs w:val="32"/>
          <w14:textFill>
            <w14:solidFill>
              <w14:schemeClr w14:val="tx1"/>
            </w14:solidFill>
          </w14:textFill>
        </w:rPr>
      </w:pPr>
      <w:bookmarkStart w:id="108" w:name="_Toc78822669"/>
      <w:r>
        <w:rPr>
          <w:rFonts w:ascii="Times New Roman" w:hAnsi="Times New Roman" w:eastAsia="黑体" w:cs="Times New Roman"/>
          <w:b/>
          <w:bCs/>
          <w:caps w:val="0"/>
          <w:color w:val="000000" w:themeColor="text1"/>
          <w:kern w:val="2"/>
          <w:sz w:val="24"/>
          <w:szCs w:val="32"/>
          <w14:textFill>
            <w14:solidFill>
              <w14:schemeClr w14:val="tx1"/>
            </w14:solidFill>
          </w14:textFill>
        </w:rPr>
        <w:t>涉及辐射的工作人员剂量估算</w:t>
      </w:r>
      <w:bookmarkEnd w:id="108"/>
    </w:p>
    <w:p w14:paraId="12D0FA36">
      <w:pPr>
        <w:autoSpaceDE w:val="0"/>
        <w:autoSpaceDN w:val="0"/>
        <w:adjustRightInd w:val="0"/>
        <w:spacing w:after="0" w:line="360" w:lineRule="auto"/>
        <w:ind w:firstLine="48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本项目在整个生产过程中，工作人员主要是受到原料、中间产品和产品中放射性核素的γ外照射和吸入氡、吸入放射性核素所致有效剂量当量。本项目气载放射性流出物辐射环境影响预测，根据IAEA和ICRP剂量计算模式中剂量模式和参数，具体模式与参数详见附录。</w:t>
      </w:r>
    </w:p>
    <w:p w14:paraId="761BAA5A">
      <w:pPr>
        <w:pStyle w:val="6"/>
        <w:widowControl w:val="0"/>
        <w:numPr>
          <w:ilvl w:val="3"/>
          <w:numId w:val="1"/>
        </w:numPr>
        <w:spacing w:before="0" w:line="360" w:lineRule="auto"/>
        <w:ind w:left="0" w:firstLine="0"/>
        <w:jc w:val="both"/>
        <w:rPr>
          <w:rFonts w:ascii="Times New Roman" w:hAnsi="Times New Roman" w:eastAsia="黑体" w:cs="Times New Roman"/>
          <w:bCs/>
          <w:i w:val="0"/>
          <w:iCs w:val="0"/>
          <w:color w:val="000000" w:themeColor="text1"/>
          <w:kern w:val="2"/>
          <w:sz w:val="24"/>
          <w14:textFill>
            <w14:solidFill>
              <w14:schemeClr w14:val="tx1"/>
            </w14:solidFill>
          </w14:textFill>
        </w:rPr>
      </w:pPr>
      <w:r>
        <w:rPr>
          <w:rFonts w:ascii="Times New Roman" w:hAnsi="Times New Roman" w:eastAsia="黑体" w:cs="Times New Roman"/>
          <w:bCs/>
          <w:i w:val="0"/>
          <w:iCs w:val="0"/>
          <w:color w:val="000000" w:themeColor="text1"/>
          <w:kern w:val="2"/>
          <w:sz w:val="24"/>
          <w14:textFill>
            <w14:solidFill>
              <w14:schemeClr w14:val="tx1"/>
            </w14:solidFill>
          </w14:textFill>
        </w:rPr>
        <w:t>剂量估算模式</w:t>
      </w:r>
    </w:p>
    <w:p w14:paraId="1E633C81">
      <w:pPr>
        <w:spacing w:after="0" w:line="360" w:lineRule="auto"/>
        <w:ind w:firstLine="482"/>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（1）γ辐射剂量率外照射剂量估算公式</w:t>
      </w:r>
    </w:p>
    <w:p w14:paraId="6014D370">
      <w:pPr>
        <w:autoSpaceDE w:val="0"/>
        <w:autoSpaceDN w:val="0"/>
        <w:adjustRightInd w:val="0"/>
        <w:spacing w:after="0" w:line="360" w:lineRule="auto"/>
        <w:ind w:firstLine="48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本项目γ辐射剂量率外照射对工作人员产生的有效剂量参照《环境地表γ辐射剂量率测定规范》（GB/T14583-93）中剂量估算模式进行估算：</w:t>
      </w:r>
    </w:p>
    <w:p w14:paraId="1A0060D5">
      <w:pPr>
        <w:adjustRightInd w:val="0"/>
        <w:snapToGrid w:val="0"/>
        <w:spacing w:after="0" w:line="360" w:lineRule="auto"/>
        <w:ind w:right="480" w:firstLine="480"/>
        <w:jc w:val="right"/>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position w:val="-10"/>
          <w:sz w:val="24"/>
          <w:szCs w:val="24"/>
          <w14:textFill>
            <w14:solidFill>
              <w14:schemeClr w14:val="tx1"/>
            </w14:solidFill>
          </w14:textFill>
        </w:rPr>
        <w:object>
          <v:shape id="_x0000_i1026" o:spt="75" type="#_x0000_t75" style="height:23.25pt;width:108pt;" o:ole="t" filled="f" o:preferrelative="t" stroked="f" coordsize="21600,21600">
            <v:path/>
            <v:fill on="f" focussize="0,0"/>
            <v:stroke on="f" joinstyle="miter"/>
            <v:imagedata r:id="rId25" o:title=""/>
            <o:lock v:ext="edit" aspectratio="t"/>
            <w10:wrap type="none"/>
            <w10:anchorlock/>
          </v:shape>
          <o:OLEObject Type="Embed" ProgID="Equation.3" ShapeID="_x0000_i1026" DrawAspect="Content" ObjectID="_1468075726" r:id="rId24">
            <o:LockedField>false</o:LockedField>
          </o:OLEObject>
        </w:object>
      </w:r>
      <w:r>
        <w:rPr>
          <w:rFonts w:ascii="Times New Roman" w:hAnsi="Times New Roman" w:cs="Times New Roman"/>
          <w:color w:val="000000" w:themeColor="text1"/>
          <w:sz w:val="24"/>
          <w:szCs w:val="24"/>
          <w14:textFill>
            <w14:solidFill>
              <w14:schemeClr w14:val="tx1"/>
            </w14:solidFill>
          </w14:textFill>
        </w:rPr>
        <w:t>………………………（4.2-5）</w:t>
      </w:r>
    </w:p>
    <w:p w14:paraId="1B8F897F">
      <w:pPr>
        <w:adjustRightInd w:val="0"/>
        <w:snapToGrid w:val="0"/>
        <w:spacing w:after="0" w:line="36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式中：He—为有效剂量当量，mSv/a；</w:t>
      </w:r>
    </w:p>
    <w:p w14:paraId="6C9A96DD">
      <w:pPr>
        <w:adjustRightInd w:val="0"/>
        <w:snapToGrid w:val="0"/>
        <w:spacing w:after="0" w:line="360" w:lineRule="auto"/>
        <w:ind w:firstLine="720" w:firstLineChars="3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D</w:t>
      </w:r>
      <w:r>
        <w:rPr>
          <w:rFonts w:ascii="Times New Roman" w:hAnsi="Times New Roman" w:cs="Times New Roman"/>
          <w:color w:val="000000" w:themeColor="text1"/>
          <w:sz w:val="24"/>
          <w:szCs w:val="24"/>
          <w:vertAlign w:val="subscript"/>
          <w14:textFill>
            <w14:solidFill>
              <w14:schemeClr w14:val="tx1"/>
            </w14:solidFill>
          </w14:textFill>
        </w:rPr>
        <w:t>γ</w:t>
      </w:r>
      <w:r>
        <w:rPr>
          <w:rFonts w:ascii="Times New Roman" w:hAnsi="Times New Roman" w:cs="Times New Roman"/>
          <w:color w:val="000000" w:themeColor="text1"/>
          <w:sz w:val="24"/>
          <w:szCs w:val="24"/>
          <w14:textFill>
            <w14:solidFill>
              <w14:schemeClr w14:val="tx1"/>
            </w14:solidFill>
          </w14:textFill>
        </w:rPr>
        <w:t>—为环境地表γ辐射空气吸收剂量率，μGy/h；</w:t>
      </w:r>
    </w:p>
    <w:p w14:paraId="019A924D">
      <w:pPr>
        <w:adjustRightInd w:val="0"/>
        <w:snapToGrid w:val="0"/>
        <w:spacing w:after="0" w:line="360" w:lineRule="auto"/>
        <w:ind w:firstLine="720" w:firstLineChars="3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t —表示该种情况下的年工作总小时数，h/a；</w:t>
      </w:r>
    </w:p>
    <w:p w14:paraId="21EB4ABF">
      <w:pPr>
        <w:adjustRightInd w:val="0"/>
        <w:snapToGrid w:val="0"/>
        <w:spacing w:after="0" w:line="360" w:lineRule="auto"/>
        <w:ind w:firstLine="720" w:firstLineChars="3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K —为空气中吸收剂量换算为有效剂量当量的转换因子，本项目取0.7，单位为Sv/Gy。</w:t>
      </w:r>
    </w:p>
    <w:p w14:paraId="5A9F52C2">
      <w:pPr>
        <w:spacing w:after="0" w:line="360" w:lineRule="auto"/>
        <w:ind w:firstLine="482"/>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（2）吸入氡有效剂量估算公式</w:t>
      </w:r>
    </w:p>
    <w:p w14:paraId="2D36CBDC">
      <w:pPr>
        <w:spacing w:after="0" w:line="360" w:lineRule="auto"/>
        <w:ind w:firstLine="2880" w:firstLineChars="1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drawing>
          <wp:inline distT="0" distB="0" distL="0" distR="0">
            <wp:extent cx="1209675" cy="263525"/>
            <wp:effectExtent l="0" t="0" r="0" b="317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246467" cy="272116"/>
                    </a:xfrm>
                    <a:prstGeom prst="rect">
                      <a:avLst/>
                    </a:prstGeom>
                    <a:noFill/>
                    <a:ln>
                      <a:noFill/>
                    </a:ln>
                  </pic:spPr>
                </pic:pic>
              </a:graphicData>
            </a:graphic>
          </wp:inline>
        </w:drawing>
      </w:r>
      <w:r>
        <w:rPr>
          <w:rFonts w:ascii="Times New Roman" w:hAnsi="Times New Roman" w:cs="Times New Roman"/>
          <w:color w:val="000000" w:themeColor="text1"/>
          <w:sz w:val="24"/>
          <w:szCs w:val="24"/>
          <w14:textFill>
            <w14:solidFill>
              <w14:schemeClr w14:val="tx1"/>
            </w14:solidFill>
          </w14:textFill>
        </w:rPr>
        <w:t>………………………（4.2-6）</w:t>
      </w:r>
    </w:p>
    <w:p w14:paraId="2A377DF5">
      <w:pPr>
        <w:spacing w:after="0" w:line="360" w:lineRule="auto"/>
        <w:ind w:firstLine="48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式中：</w:t>
      </w:r>
      <w:r>
        <w:rPr>
          <w:rFonts w:ascii="Times New Roman" w:hAnsi="Times New Roman" w:cs="Times New Roman"/>
          <w:i/>
          <w:color w:val="000000" w:themeColor="text1"/>
          <w:sz w:val="24"/>
          <w:szCs w:val="24"/>
          <w14:textFill>
            <w14:solidFill>
              <w14:schemeClr w14:val="tx1"/>
            </w14:solidFill>
          </w14:textFill>
        </w:rPr>
        <w:drawing>
          <wp:inline distT="0" distB="0" distL="0" distR="0">
            <wp:extent cx="257175" cy="228600"/>
            <wp:effectExtent l="0" t="0" r="952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57175" cy="228600"/>
                    </a:xfrm>
                    <a:prstGeom prst="rect">
                      <a:avLst/>
                    </a:prstGeom>
                    <a:noFill/>
                    <a:ln>
                      <a:noFill/>
                    </a:ln>
                  </pic:spPr>
                </pic:pic>
              </a:graphicData>
            </a:graphic>
          </wp:inline>
        </w:drawing>
      </w:r>
      <w:r>
        <w:rPr>
          <w:rFonts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vertAlign w:val="superscript"/>
          <w14:textFill>
            <w14:solidFill>
              <w14:schemeClr w14:val="tx1"/>
            </w14:solidFill>
          </w14:textFill>
        </w:rPr>
        <w:t>222</w:t>
      </w:r>
      <w:r>
        <w:rPr>
          <w:rFonts w:ascii="Times New Roman" w:hAnsi="Times New Roman" w:cs="Times New Roman"/>
          <w:color w:val="000000" w:themeColor="text1"/>
          <w:sz w:val="24"/>
          <w:szCs w:val="24"/>
          <w14:textFill>
            <w14:solidFill>
              <w14:schemeClr w14:val="tx1"/>
            </w14:solidFill>
          </w14:textFill>
        </w:rPr>
        <w:t>Rn浓度，Bq/m</w:t>
      </w:r>
      <w:r>
        <w:rPr>
          <w:rFonts w:ascii="Times New Roman" w:hAnsi="Times New Roman" w:cs="Times New Roman"/>
          <w:color w:val="000000" w:themeColor="text1"/>
          <w:sz w:val="24"/>
          <w:szCs w:val="24"/>
          <w:vertAlign w:val="superscript"/>
          <w14:textFill>
            <w14:solidFill>
              <w14:schemeClr w14:val="tx1"/>
            </w14:solidFill>
          </w14:textFill>
        </w:rPr>
        <w:t>3</w:t>
      </w:r>
      <w:r>
        <w:rPr>
          <w:rFonts w:ascii="Times New Roman" w:hAnsi="Times New Roman" w:cs="Times New Roman"/>
          <w:color w:val="000000" w:themeColor="text1"/>
          <w:sz w:val="24"/>
          <w:szCs w:val="24"/>
          <w14:textFill>
            <w14:solidFill>
              <w14:schemeClr w14:val="tx1"/>
            </w14:solidFill>
          </w14:textFill>
        </w:rPr>
        <w:t>；</w:t>
      </w:r>
    </w:p>
    <w:p w14:paraId="2DE7DAF9">
      <w:pPr>
        <w:spacing w:after="0" w:line="360" w:lineRule="auto"/>
        <w:ind w:firstLine="48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i/>
          <w:color w:val="000000" w:themeColor="text1"/>
          <w:sz w:val="24"/>
          <w:szCs w:val="24"/>
          <w14:textFill>
            <w14:solidFill>
              <w14:schemeClr w14:val="tx1"/>
            </w14:solidFill>
          </w14:textFill>
        </w:rPr>
        <w:drawing>
          <wp:inline distT="0" distB="0" distL="0" distR="0">
            <wp:extent cx="142875" cy="161925"/>
            <wp:effectExtent l="0" t="0" r="9525" b="952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r>
        <w:rPr>
          <w:rFonts w:ascii="Times New Roman" w:hAnsi="Times New Roman" w:cs="Times New Roman"/>
          <w:i/>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t>—受照时间，h；</w:t>
      </w:r>
    </w:p>
    <w:p w14:paraId="32C85A6D">
      <w:pPr>
        <w:spacing w:after="0" w:line="360" w:lineRule="auto"/>
        <w:ind w:firstLine="48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i/>
          <w:color w:val="000000" w:themeColor="text1"/>
          <w:sz w:val="24"/>
          <w:szCs w:val="24"/>
          <w14:textFill>
            <w14:solidFill>
              <w14:schemeClr w14:val="tx1"/>
            </w14:solidFill>
          </w14:textFill>
        </w:rPr>
        <w:drawing>
          <wp:inline distT="0" distB="0" distL="0" distR="0">
            <wp:extent cx="342900" cy="2286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42900" cy="228600"/>
                    </a:xfrm>
                    <a:prstGeom prst="rect">
                      <a:avLst/>
                    </a:prstGeom>
                    <a:noFill/>
                    <a:ln>
                      <a:noFill/>
                    </a:ln>
                  </pic:spPr>
                </pic:pic>
              </a:graphicData>
            </a:graphic>
          </wp:inline>
        </w:drawing>
      </w:r>
      <w:r>
        <w:rPr>
          <w:rFonts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vertAlign w:val="superscript"/>
          <w14:textFill>
            <w14:solidFill>
              <w14:schemeClr w14:val="tx1"/>
            </w14:solidFill>
          </w14:textFill>
        </w:rPr>
        <w:t>222</w:t>
      </w:r>
      <w:r>
        <w:rPr>
          <w:rFonts w:ascii="Times New Roman" w:hAnsi="Times New Roman" w:cs="Times New Roman"/>
          <w:color w:val="000000" w:themeColor="text1"/>
          <w:sz w:val="24"/>
          <w:szCs w:val="24"/>
          <w14:textFill>
            <w14:solidFill>
              <w14:schemeClr w14:val="tx1"/>
            </w14:solidFill>
          </w14:textFill>
        </w:rPr>
        <w:t>Rn及其子体剂量转换因子，根据《室内氡及其子体控制要求》（GBT 16146-2015）取</w:t>
      </w:r>
      <w:r>
        <w:rPr>
          <w:rFonts w:hint="eastAsia" w:ascii="Times New Roman" w:hAnsi="Times New Roman" w:cs="Times New Roman"/>
          <w:color w:val="000000" w:themeColor="text1"/>
          <w:sz w:val="24"/>
          <w:szCs w:val="24"/>
          <w14:textFill>
            <w14:solidFill>
              <w14:schemeClr w14:val="tx1"/>
            </w14:solidFill>
          </w14:textFill>
        </w:rPr>
        <w:t>0</w:t>
      </w:r>
      <w:r>
        <w:rPr>
          <w:rFonts w:ascii="Times New Roman" w:hAnsi="Times New Roman" w:cs="Times New Roman"/>
          <w:color w:val="000000" w:themeColor="text1"/>
          <w:sz w:val="24"/>
          <w:szCs w:val="24"/>
          <w14:textFill>
            <w14:solidFill>
              <w14:schemeClr w14:val="tx1"/>
            </w14:solidFill>
          </w14:textFill>
        </w:rPr>
        <w:t>.17×10</w:t>
      </w:r>
      <w:r>
        <w:rPr>
          <w:rFonts w:ascii="Times New Roman" w:hAnsi="Times New Roman" w:cs="Times New Roman"/>
          <w:color w:val="000000" w:themeColor="text1"/>
          <w:sz w:val="24"/>
          <w:szCs w:val="24"/>
          <w:vertAlign w:val="superscript"/>
          <w14:textFill>
            <w14:solidFill>
              <w14:schemeClr w14:val="tx1"/>
            </w14:solidFill>
          </w14:textFill>
        </w:rPr>
        <w:t>-6</w:t>
      </w:r>
      <w:r>
        <w:rPr>
          <w:rFonts w:ascii="Times New Roman" w:hAnsi="Times New Roman" w:cs="Times New Roman"/>
          <w:color w:val="000000" w:themeColor="text1"/>
          <w:sz w:val="24"/>
          <w:szCs w:val="24"/>
          <w14:textFill>
            <w14:solidFill>
              <w14:schemeClr w14:val="tx1"/>
            </w14:solidFill>
          </w14:textFill>
        </w:rPr>
        <w:t>mSv/Bq·h·m</w:t>
      </w:r>
      <w:r>
        <w:rPr>
          <w:rFonts w:ascii="Times New Roman" w:hAnsi="Times New Roman" w:cs="Times New Roman"/>
          <w:color w:val="000000" w:themeColor="text1"/>
          <w:sz w:val="24"/>
          <w:szCs w:val="24"/>
          <w:vertAlign w:val="superscript"/>
          <w14:textFill>
            <w14:solidFill>
              <w14:schemeClr w14:val="tx1"/>
            </w14:solidFill>
          </w14:textFill>
        </w:rPr>
        <w:t>-3</w:t>
      </w:r>
      <w:r>
        <w:rPr>
          <w:rFonts w:ascii="Times New Roman" w:hAnsi="Times New Roman" w:cs="Times New Roman"/>
          <w:color w:val="000000" w:themeColor="text1"/>
          <w:sz w:val="24"/>
          <w:szCs w:val="24"/>
          <w14:textFill>
            <w14:solidFill>
              <w14:schemeClr w14:val="tx1"/>
            </w14:solidFill>
          </w14:textFill>
        </w:rPr>
        <w:t>。</w:t>
      </w:r>
    </w:p>
    <w:p w14:paraId="4B41C484">
      <w:pPr>
        <w:spacing w:after="0" w:line="360" w:lineRule="auto"/>
        <w:ind w:firstLine="480"/>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（3）吸入放射性核素所致有效剂量估算公式</w:t>
      </w:r>
    </w:p>
    <w:p w14:paraId="351CC948">
      <w:pPr>
        <w:autoSpaceDE w:val="0"/>
        <w:autoSpaceDN w:val="0"/>
        <w:adjustRightInd w:val="0"/>
        <w:spacing w:after="0" w:line="360" w:lineRule="auto"/>
        <w:ind w:firstLine="48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吸入所致内照射的放射性核素主要为</w:t>
      </w:r>
      <w:r>
        <w:rPr>
          <w:rFonts w:ascii="Times New Roman" w:hAnsi="Times New Roman" w:cs="Times New Roman"/>
          <w:color w:val="000000" w:themeColor="text1"/>
          <w:sz w:val="24"/>
          <w:szCs w:val="24"/>
          <w:vertAlign w:val="superscript"/>
          <w14:textFill>
            <w14:solidFill>
              <w14:schemeClr w14:val="tx1"/>
            </w14:solidFill>
          </w14:textFill>
        </w:rPr>
        <w:t>232</w:t>
      </w:r>
      <w:r>
        <w:rPr>
          <w:rFonts w:ascii="Times New Roman" w:hAnsi="Times New Roman" w:cs="Times New Roman"/>
          <w:color w:val="000000" w:themeColor="text1"/>
          <w:sz w:val="24"/>
          <w:szCs w:val="24"/>
          <w14:textFill>
            <w14:solidFill>
              <w14:schemeClr w14:val="tx1"/>
            </w14:solidFill>
          </w14:textFill>
        </w:rPr>
        <w:t>Th、</w:t>
      </w:r>
      <w:r>
        <w:rPr>
          <w:rFonts w:ascii="Times New Roman" w:hAnsi="Times New Roman" w:cs="Times New Roman"/>
          <w:color w:val="000000" w:themeColor="text1"/>
          <w:sz w:val="24"/>
          <w:szCs w:val="24"/>
          <w:vertAlign w:val="superscript"/>
          <w14:textFill>
            <w14:solidFill>
              <w14:schemeClr w14:val="tx1"/>
            </w14:solidFill>
          </w14:textFill>
        </w:rPr>
        <w:t>238</w:t>
      </w:r>
      <w:r>
        <w:rPr>
          <w:rFonts w:ascii="Times New Roman" w:hAnsi="Times New Roman" w:cs="Times New Roman"/>
          <w:color w:val="000000" w:themeColor="text1"/>
          <w:sz w:val="24"/>
          <w:szCs w:val="24"/>
          <w14:textFill>
            <w14:solidFill>
              <w14:schemeClr w14:val="tx1"/>
            </w14:solidFill>
          </w14:textFill>
        </w:rPr>
        <w:t>U、</w:t>
      </w:r>
      <w:r>
        <w:rPr>
          <w:rFonts w:ascii="Times New Roman" w:hAnsi="Times New Roman" w:cs="Times New Roman"/>
          <w:color w:val="000000" w:themeColor="text1"/>
          <w:sz w:val="24"/>
          <w:szCs w:val="24"/>
          <w:vertAlign w:val="superscript"/>
          <w14:textFill>
            <w14:solidFill>
              <w14:schemeClr w14:val="tx1"/>
            </w14:solidFill>
          </w14:textFill>
        </w:rPr>
        <w:t>226</w:t>
      </w:r>
      <w:r>
        <w:rPr>
          <w:rFonts w:ascii="Times New Roman" w:hAnsi="Times New Roman" w:cs="Times New Roman"/>
          <w:color w:val="000000" w:themeColor="text1"/>
          <w:sz w:val="24"/>
          <w:szCs w:val="24"/>
          <w14:textFill>
            <w14:solidFill>
              <w14:schemeClr w14:val="tx1"/>
            </w14:solidFill>
          </w14:textFill>
        </w:rPr>
        <w:t>Ra，吸入放射性核素所致有效剂量可按下式计算：</w:t>
      </w:r>
    </w:p>
    <w:p w14:paraId="2C629404">
      <w:pPr>
        <w:spacing w:after="0" w:line="360" w:lineRule="auto"/>
        <w:ind w:firstLine="960" w:firstLineChars="400"/>
        <w:jc w:val="center"/>
        <w:rPr>
          <w:rFonts w:ascii="Times New Roman" w:hAnsi="Times New Roman" w:cs="Times New Roman"/>
          <w:color w:val="000000" w:themeColor="text1"/>
          <w:sz w:val="24"/>
          <w:szCs w:val="24"/>
          <w:lang w:val="fr-FR"/>
          <w14:textFill>
            <w14:solidFill>
              <w14:schemeClr w14:val="tx1"/>
            </w14:solidFill>
          </w14:textFill>
        </w:rPr>
      </w:pPr>
      <w:r>
        <w:rPr>
          <w:rFonts w:hint="eastAsia" w:ascii="Times New Roman" w:hAnsi="Times New Roman" w:cs="Times New Roman"/>
          <w:i/>
          <w:color w:val="000000" w:themeColor="text1"/>
          <w:sz w:val="24"/>
          <w:szCs w:val="24"/>
          <w:lang w:val="fr-FR"/>
          <w14:textFill>
            <w14:solidFill>
              <w14:schemeClr w14:val="tx1"/>
            </w14:solidFill>
          </w14:textFill>
        </w:rPr>
        <w:t xml:space="preserve">             </w:t>
      </w:r>
      <w:r>
        <w:rPr>
          <w:rFonts w:ascii="Times New Roman" w:hAnsi="Times New Roman" w:cs="Times New Roman"/>
          <w:i/>
          <w:color w:val="000000" w:themeColor="text1"/>
          <w:sz w:val="24"/>
          <w:szCs w:val="24"/>
          <w:lang w:val="fr-FR"/>
          <w14:textFill>
            <w14:solidFill>
              <w14:schemeClr w14:val="tx1"/>
            </w14:solidFill>
          </w14:textFill>
        </w:rPr>
        <w:t>D</w:t>
      </w:r>
      <w:r>
        <w:rPr>
          <w:rFonts w:ascii="Times New Roman" w:hAnsi="Times New Roman" w:cs="Times New Roman"/>
          <w:i/>
          <w:color w:val="000000" w:themeColor="text1"/>
          <w:sz w:val="24"/>
          <w:szCs w:val="24"/>
          <w:vertAlign w:val="subscript"/>
          <w:lang w:val="fr-FR"/>
          <w14:textFill>
            <w14:solidFill>
              <w14:schemeClr w14:val="tx1"/>
            </w14:solidFill>
          </w14:textFill>
        </w:rPr>
        <w:t>h</w:t>
      </w:r>
      <w:r>
        <w:rPr>
          <w:rFonts w:ascii="Times New Roman" w:hAnsi="Times New Roman" w:cs="Times New Roman"/>
          <w:i/>
          <w:color w:val="000000" w:themeColor="text1"/>
          <w:sz w:val="24"/>
          <w:szCs w:val="24"/>
          <w:lang w:val="fr-FR"/>
          <w14:textFill>
            <w14:solidFill>
              <w14:schemeClr w14:val="tx1"/>
            </w14:solidFill>
          </w14:textFill>
        </w:rPr>
        <w:t>=C</w:t>
      </w:r>
      <w:r>
        <w:rPr>
          <w:rFonts w:ascii="Times New Roman" w:hAnsi="Times New Roman" w:cs="Times New Roman"/>
          <w:i/>
          <w:color w:val="000000" w:themeColor="text1"/>
          <w:sz w:val="24"/>
          <w:szCs w:val="24"/>
          <w:vertAlign w:val="subscript"/>
          <w:lang w:val="fr-FR"/>
          <w14:textFill>
            <w14:solidFill>
              <w14:schemeClr w14:val="tx1"/>
            </w14:solidFill>
          </w14:textFill>
        </w:rPr>
        <w:t>尘</w:t>
      </w:r>
      <w:r>
        <w:rPr>
          <w:rFonts w:ascii="Times New Roman" w:hAnsi="Times New Roman" w:cs="Times New Roman"/>
          <w:i/>
          <w:color w:val="000000" w:themeColor="text1"/>
          <w:sz w:val="24"/>
          <w:szCs w:val="24"/>
          <w:lang w:val="fr-FR"/>
          <w14:textFill>
            <w14:solidFill>
              <w14:schemeClr w14:val="tx1"/>
            </w14:solidFill>
          </w14:textFill>
        </w:rPr>
        <w:t>×f</w:t>
      </w:r>
      <w:r>
        <w:rPr>
          <w:rFonts w:ascii="Times New Roman" w:hAnsi="Times New Roman" w:cs="Times New Roman"/>
          <w:i/>
          <w:color w:val="000000" w:themeColor="text1"/>
          <w:sz w:val="24"/>
          <w:szCs w:val="24"/>
          <w:vertAlign w:val="subscript"/>
          <w:lang w:val="fr-FR"/>
          <w14:textFill>
            <w14:solidFill>
              <w14:schemeClr w14:val="tx1"/>
            </w14:solidFill>
          </w14:textFill>
        </w:rPr>
        <w:t>i</w:t>
      </w:r>
      <w:r>
        <w:rPr>
          <w:rFonts w:ascii="Times New Roman" w:hAnsi="Times New Roman" w:cs="Times New Roman"/>
          <w:i/>
          <w:color w:val="000000" w:themeColor="text1"/>
          <w:sz w:val="24"/>
          <w:szCs w:val="24"/>
          <w:lang w:val="fr-FR"/>
          <w14:textFill>
            <w14:solidFill>
              <w14:schemeClr w14:val="tx1"/>
            </w14:solidFill>
          </w14:textFill>
        </w:rPr>
        <w:t>×t ×R ×G</w:t>
      </w:r>
      <w:r>
        <w:rPr>
          <w:rFonts w:ascii="Times New Roman" w:hAnsi="Times New Roman" w:cs="Times New Roman"/>
          <w:color w:val="000000" w:themeColor="text1"/>
          <w:sz w:val="24"/>
          <w:szCs w:val="24"/>
          <w:vertAlign w:val="subscript"/>
          <w:lang w:val="fr-FR"/>
          <w14:textFill>
            <w14:solidFill>
              <w14:schemeClr w14:val="tx1"/>
            </w14:solidFill>
          </w14:textFill>
        </w:rPr>
        <w:t>i</w:t>
      </w:r>
      <w:r>
        <w:rPr>
          <w:rFonts w:ascii="Times New Roman" w:hAnsi="Times New Roman" w:cs="Times New Roman"/>
          <w:i/>
          <w:color w:val="000000" w:themeColor="text1"/>
          <w:sz w:val="24"/>
          <w:szCs w:val="24"/>
          <w:lang w:val="fr-FR"/>
          <w14:textFill>
            <w14:solidFill>
              <w14:schemeClr w14:val="tx1"/>
            </w14:solidFill>
          </w14:textFill>
        </w:rPr>
        <w:t>×</w:t>
      </w:r>
      <w:r>
        <w:rPr>
          <w:rFonts w:ascii="Times New Roman" w:hAnsi="Times New Roman" w:cs="Times New Roman"/>
          <w:iCs/>
          <w:color w:val="000000" w:themeColor="text1"/>
          <w:sz w:val="24"/>
          <w:szCs w:val="24"/>
          <w:lang w:val="fr-FR"/>
          <w14:textFill>
            <w14:solidFill>
              <w14:schemeClr w14:val="tx1"/>
            </w14:solidFill>
          </w14:textFill>
        </w:rPr>
        <w:t>10</w:t>
      </w:r>
      <w:r>
        <w:rPr>
          <w:rFonts w:ascii="Times New Roman" w:hAnsi="Times New Roman" w:cs="Times New Roman"/>
          <w:iCs/>
          <w:color w:val="000000" w:themeColor="text1"/>
          <w:sz w:val="24"/>
          <w:szCs w:val="24"/>
          <w:vertAlign w:val="superscript"/>
          <w:lang w:val="fr-FR"/>
          <w14:textFill>
            <w14:solidFill>
              <w14:schemeClr w14:val="tx1"/>
            </w14:solidFill>
          </w14:textFill>
        </w:rPr>
        <w:t>-6</w:t>
      </w:r>
      <w:r>
        <w:rPr>
          <w:rFonts w:ascii="Times New Roman" w:hAnsi="Times New Roman" w:cs="Times New Roman"/>
          <w:color w:val="000000" w:themeColor="text1"/>
          <w:sz w:val="24"/>
          <w:szCs w:val="24"/>
          <w:lang w:val="fr-FR"/>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式</w:t>
      </w:r>
      <w:r>
        <w:rPr>
          <w:rFonts w:ascii="Times New Roman" w:hAnsi="Times New Roman" w:cs="Times New Roman"/>
          <w:color w:val="000000" w:themeColor="text1"/>
          <w:sz w:val="24"/>
          <w:szCs w:val="24"/>
          <w:lang w:val="fr-FR"/>
          <w14:textFill>
            <w14:solidFill>
              <w14:schemeClr w14:val="tx1"/>
            </w14:solidFill>
          </w14:textFill>
        </w:rPr>
        <w:t>4.2-7）</w:t>
      </w:r>
    </w:p>
    <w:p w14:paraId="5CD53485">
      <w:pPr>
        <w:spacing w:after="0" w:line="360" w:lineRule="auto"/>
        <w:ind w:firstLine="480"/>
        <w:rPr>
          <w:rFonts w:ascii="Times New Roman" w:hAnsi="Times New Roman" w:cs="Times New Roman"/>
          <w:color w:val="000000" w:themeColor="text1"/>
          <w:sz w:val="24"/>
          <w:szCs w:val="24"/>
          <w:lang w:val="fr-FR"/>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式中</w:t>
      </w:r>
      <w:r>
        <w:rPr>
          <w:rFonts w:ascii="Times New Roman" w:hAnsi="Times New Roman" w:cs="Times New Roman"/>
          <w:color w:val="000000" w:themeColor="text1"/>
          <w:sz w:val="24"/>
          <w:szCs w:val="24"/>
          <w:lang w:val="fr-FR"/>
          <w14:textFill>
            <w14:solidFill>
              <w14:schemeClr w14:val="tx1"/>
            </w14:solidFill>
          </w14:textFill>
        </w:rPr>
        <w:t>：</w:t>
      </w:r>
      <w:r>
        <w:rPr>
          <w:rFonts w:ascii="Times New Roman" w:hAnsi="Times New Roman" w:cs="Times New Roman"/>
          <w:i/>
          <w:color w:val="000000" w:themeColor="text1"/>
          <w:sz w:val="24"/>
          <w:szCs w:val="24"/>
          <w:lang w:val="fr-FR"/>
          <w14:textFill>
            <w14:solidFill>
              <w14:schemeClr w14:val="tx1"/>
            </w14:solidFill>
          </w14:textFill>
        </w:rPr>
        <w:t>D</w:t>
      </w:r>
      <w:r>
        <w:rPr>
          <w:rFonts w:ascii="Times New Roman" w:hAnsi="Times New Roman" w:cs="Times New Roman"/>
          <w:i/>
          <w:color w:val="000000" w:themeColor="text1"/>
          <w:sz w:val="24"/>
          <w:szCs w:val="24"/>
          <w:vertAlign w:val="subscript"/>
          <w:lang w:val="fr-FR"/>
          <w14:textFill>
            <w14:solidFill>
              <w14:schemeClr w14:val="tx1"/>
            </w14:solidFill>
          </w14:textFill>
        </w:rPr>
        <w:t>h</w:t>
      </w:r>
      <w:r>
        <w:rPr>
          <w:rFonts w:ascii="Times New Roman" w:hAnsi="Times New Roman" w:cs="Times New Roman"/>
          <w:color w:val="000000" w:themeColor="text1"/>
          <w:sz w:val="24"/>
          <w:szCs w:val="24"/>
          <w:lang w:val="fr-FR"/>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吸入再悬浮核素</w:t>
      </w:r>
      <w:r>
        <w:rPr>
          <w:rFonts w:ascii="Times New Roman" w:hAnsi="Times New Roman" w:cs="Times New Roman"/>
          <w:color w:val="000000" w:themeColor="text1"/>
          <w:sz w:val="24"/>
          <w:szCs w:val="24"/>
          <w:lang w:val="fr-FR"/>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所致内照射剂量</w:t>
      </w:r>
      <w:r>
        <w:rPr>
          <w:rFonts w:ascii="Times New Roman" w:hAnsi="Times New Roman" w:cs="Times New Roman"/>
          <w:color w:val="000000" w:themeColor="text1"/>
          <w:sz w:val="24"/>
          <w:szCs w:val="24"/>
          <w:lang w:val="fr-FR"/>
          <w14:textFill>
            <w14:solidFill>
              <w14:schemeClr w14:val="tx1"/>
            </w14:solidFill>
          </w14:textFill>
        </w:rPr>
        <w:t>，Sv/a；</w:t>
      </w:r>
    </w:p>
    <w:p w14:paraId="7A4CAEB3">
      <w:pPr>
        <w:spacing w:after="0" w:line="360" w:lineRule="auto"/>
        <w:ind w:firstLine="1200" w:firstLineChars="5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i/>
          <w:iCs/>
          <w:color w:val="000000" w:themeColor="text1"/>
          <w:sz w:val="24"/>
          <w:szCs w:val="24"/>
          <w14:textFill>
            <w14:solidFill>
              <w14:schemeClr w14:val="tx1"/>
            </w14:solidFill>
          </w14:textFill>
        </w:rPr>
        <w:t>C</w:t>
      </w:r>
      <w:r>
        <w:rPr>
          <w:rFonts w:ascii="Times New Roman" w:hAnsi="Times New Roman" w:cs="Times New Roman"/>
          <w:i/>
          <w:iCs/>
          <w:color w:val="000000" w:themeColor="text1"/>
          <w:sz w:val="24"/>
          <w:szCs w:val="24"/>
          <w:vertAlign w:val="subscript"/>
          <w14:textFill>
            <w14:solidFill>
              <w14:schemeClr w14:val="tx1"/>
            </w14:solidFill>
          </w14:textFill>
        </w:rPr>
        <w:t>尘</w:t>
      </w:r>
      <w:r>
        <w:rPr>
          <w:rFonts w:ascii="Times New Roman" w:hAnsi="Times New Roman" w:cs="Times New Roman"/>
          <w:color w:val="000000" w:themeColor="text1"/>
          <w:sz w:val="24"/>
          <w:szCs w:val="24"/>
          <w14:textFill>
            <w14:solidFill>
              <w14:schemeClr w14:val="tx1"/>
            </w14:solidFill>
          </w14:textFill>
        </w:rPr>
        <w:t> ——吸入该厂排放的粉尘浓度，mg/m</w:t>
      </w:r>
      <w:r>
        <w:rPr>
          <w:rFonts w:ascii="Times New Roman" w:hAnsi="Times New Roman" w:cs="Times New Roman"/>
          <w:color w:val="000000" w:themeColor="text1"/>
          <w:sz w:val="24"/>
          <w:szCs w:val="24"/>
          <w:vertAlign w:val="superscript"/>
          <w14:textFill>
            <w14:solidFill>
              <w14:schemeClr w14:val="tx1"/>
            </w14:solidFill>
          </w14:textFill>
        </w:rPr>
        <w:t>3</w:t>
      </w:r>
      <w:r>
        <w:rPr>
          <w:rFonts w:ascii="Times New Roman" w:hAnsi="Times New Roman" w:cs="Times New Roman"/>
          <w:color w:val="000000" w:themeColor="text1"/>
          <w:sz w:val="24"/>
          <w:szCs w:val="24"/>
          <w14:textFill>
            <w14:solidFill>
              <w14:schemeClr w14:val="tx1"/>
            </w14:solidFill>
          </w14:textFill>
        </w:rPr>
        <w:t>  ；</w:t>
      </w:r>
    </w:p>
    <w:p w14:paraId="6AD707CE">
      <w:pPr>
        <w:spacing w:after="0" w:line="360" w:lineRule="auto"/>
        <w:ind w:firstLine="1200" w:firstLineChars="5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i/>
          <w:iCs/>
          <w:color w:val="000000" w:themeColor="text1"/>
          <w:sz w:val="24"/>
          <w:szCs w:val="24"/>
          <w14:textFill>
            <w14:solidFill>
              <w14:schemeClr w14:val="tx1"/>
            </w14:solidFill>
          </w14:textFill>
        </w:rPr>
        <w:t>f</w:t>
      </w:r>
      <w:r>
        <w:rPr>
          <w:rFonts w:ascii="Times New Roman" w:hAnsi="Times New Roman" w:cs="Times New Roman"/>
          <w:i/>
          <w:iCs/>
          <w:color w:val="000000" w:themeColor="text1"/>
          <w:sz w:val="24"/>
          <w:szCs w:val="24"/>
          <w:vertAlign w:val="subscript"/>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——吸入矿尘第 i 种核素比活度浓度，Bq/kg；</w:t>
      </w:r>
    </w:p>
    <w:p w14:paraId="56535090">
      <w:pPr>
        <w:spacing w:after="0" w:line="360" w:lineRule="auto"/>
        <w:ind w:firstLine="1200" w:firstLineChars="5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i/>
          <w:iCs/>
          <w:color w:val="000000" w:themeColor="text1"/>
          <w:sz w:val="24"/>
          <w:szCs w:val="24"/>
          <w14:textFill>
            <w14:solidFill>
              <w14:schemeClr w14:val="tx1"/>
            </w14:solidFill>
          </w14:textFill>
        </w:rPr>
        <w:t>t</w:t>
      </w:r>
      <w:r>
        <w:rPr>
          <w:rFonts w:ascii="Times New Roman" w:hAnsi="Times New Roman" w:cs="Times New Roman"/>
          <w:color w:val="000000" w:themeColor="text1"/>
          <w:sz w:val="24"/>
          <w:szCs w:val="24"/>
          <w14:textFill>
            <w14:solidFill>
              <w14:schemeClr w14:val="tx1"/>
            </w14:solidFill>
          </w14:textFill>
        </w:rPr>
        <w:t> ——每年停留时间，h；</w:t>
      </w:r>
    </w:p>
    <w:p w14:paraId="55467F59">
      <w:pPr>
        <w:spacing w:after="0" w:line="360" w:lineRule="auto"/>
        <w:ind w:firstLine="1200" w:firstLineChars="5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i/>
          <w:iCs/>
          <w:color w:val="000000" w:themeColor="text1"/>
          <w:sz w:val="24"/>
          <w:szCs w:val="24"/>
          <w14:textFill>
            <w14:solidFill>
              <w14:schemeClr w14:val="tx1"/>
            </w14:solidFill>
          </w14:textFill>
        </w:rPr>
        <w:t>R</w:t>
      </w:r>
      <w:r>
        <w:rPr>
          <w:rFonts w:ascii="Times New Roman" w:hAnsi="Times New Roman" w:cs="Times New Roman"/>
          <w:color w:val="000000" w:themeColor="text1"/>
          <w:sz w:val="24"/>
          <w:szCs w:val="24"/>
          <w14:textFill>
            <w14:solidFill>
              <w14:schemeClr w14:val="tx1"/>
            </w14:solidFill>
          </w14:textFill>
        </w:rPr>
        <w:t>——空气摄入速率，m</w:t>
      </w:r>
      <w:r>
        <w:rPr>
          <w:rFonts w:ascii="Times New Roman" w:hAnsi="Times New Roman" w:cs="Times New Roman"/>
          <w:color w:val="000000" w:themeColor="text1"/>
          <w:sz w:val="24"/>
          <w:szCs w:val="24"/>
          <w:vertAlign w:val="superscript"/>
          <w14:textFill>
            <w14:solidFill>
              <w14:schemeClr w14:val="tx1"/>
            </w14:solidFill>
          </w14:textFill>
        </w:rPr>
        <w:t>3</w:t>
      </w:r>
      <w:r>
        <w:rPr>
          <w:rFonts w:ascii="Times New Roman" w:hAnsi="Times New Roman" w:cs="Times New Roman"/>
          <w:color w:val="000000" w:themeColor="text1"/>
          <w:sz w:val="24"/>
          <w:szCs w:val="24"/>
          <w14:textFill>
            <w14:solidFill>
              <w14:schemeClr w14:val="tx1"/>
            </w14:solidFill>
          </w14:textFill>
        </w:rPr>
        <w:t>/h，取值见表</w:t>
      </w:r>
      <w:r>
        <w:rPr>
          <w:rFonts w:ascii="Times New Roman" w:hAnsi="Times New Roman" w:cs="Times New Roman"/>
          <w:b/>
          <w:color w:val="000000" w:themeColor="text1"/>
          <w:sz w:val="24"/>
          <w:szCs w:val="24"/>
          <w14:textFill>
            <w14:solidFill>
              <w14:schemeClr w14:val="tx1"/>
            </w14:solidFill>
          </w14:textFill>
        </w:rPr>
        <w:t>4.2</w:t>
      </w:r>
      <w:r>
        <w:rPr>
          <w:rFonts w:ascii="Times New Roman" w:hAnsi="Times New Roman" w:cs="Times New Roman"/>
          <w:b/>
          <w:color w:val="000000" w:themeColor="text1"/>
          <w:sz w:val="24"/>
          <w:szCs w:val="24"/>
          <w14:textFill>
            <w14:solidFill>
              <w14:schemeClr w14:val="tx1"/>
            </w14:solidFill>
          </w14:textFill>
        </w:rPr>
        <w:fldChar w:fldCharType="begin"/>
      </w:r>
      <w:r>
        <w:rPr>
          <w:rFonts w:ascii="Times New Roman" w:hAnsi="Times New Roman" w:cs="Times New Roman"/>
          <w:b/>
          <w:color w:val="000000" w:themeColor="text1"/>
          <w:sz w:val="24"/>
          <w:szCs w:val="24"/>
          <w14:textFill>
            <w14:solidFill>
              <w14:schemeClr w14:val="tx1"/>
            </w14:solidFill>
          </w14:textFill>
        </w:rPr>
        <w:instrText xml:space="preserve"> STYLEREF 2 \s </w:instrText>
      </w:r>
      <w:r>
        <w:rPr>
          <w:rFonts w:ascii="Times New Roman" w:hAnsi="Times New Roman" w:cs="Times New Roman"/>
          <w:b/>
          <w:color w:val="000000" w:themeColor="text1"/>
          <w:sz w:val="24"/>
          <w:szCs w:val="24"/>
          <w14:textFill>
            <w14:solidFill>
              <w14:schemeClr w14:val="tx1"/>
            </w14:solidFill>
          </w14:textFill>
        </w:rPr>
        <w:fldChar w:fldCharType="separate"/>
      </w:r>
      <w:r>
        <w:rPr>
          <w:rFonts w:ascii="Times New Roman" w:hAnsi="Times New Roman" w:cs="Times New Roman"/>
          <w:b/>
          <w:color w:val="000000" w:themeColor="text1"/>
          <w:sz w:val="24"/>
          <w:szCs w:val="24"/>
          <w14:textFill>
            <w14:solidFill>
              <w14:schemeClr w14:val="tx1"/>
            </w14:solidFill>
          </w14:textFill>
        </w:rPr>
        <w:t>4.2</w:t>
      </w:r>
      <w:r>
        <w:rPr>
          <w:rFonts w:ascii="Times New Roman" w:hAnsi="Times New Roman" w:cs="Times New Roman"/>
          <w:b/>
          <w:color w:val="000000" w:themeColor="text1"/>
          <w:sz w:val="24"/>
          <w:szCs w:val="24"/>
          <w14:textFill>
            <w14:solidFill>
              <w14:schemeClr w14:val="tx1"/>
            </w14:solidFill>
          </w14:textFill>
        </w:rPr>
        <w:fldChar w:fldCharType="end"/>
      </w:r>
      <w:r>
        <w:rPr>
          <w:rFonts w:ascii="Times New Roman" w:hAnsi="Times New Roman" w:cs="Times New Roman"/>
          <w:b/>
          <w:color w:val="000000" w:themeColor="text1"/>
          <w:sz w:val="24"/>
          <w:szCs w:val="24"/>
          <w14:textFill>
            <w14:solidFill>
              <w14:schemeClr w14:val="tx1"/>
            </w14:solidFill>
          </w14:textFill>
        </w:rPr>
        <w:noBreakHyphen/>
      </w:r>
      <w:r>
        <w:rPr>
          <w:rFonts w:ascii="Times New Roman" w:hAnsi="Times New Roman" w:cs="Times New Roman"/>
          <w:b/>
          <w:color w:val="000000" w:themeColor="text1"/>
          <w:sz w:val="24"/>
          <w:szCs w:val="24"/>
          <w14:textFill>
            <w14:solidFill>
              <w14:schemeClr w14:val="tx1"/>
            </w14:solidFill>
          </w14:textFill>
        </w:rPr>
        <w:t>1</w:t>
      </w:r>
      <w:r>
        <w:rPr>
          <w:rFonts w:ascii="Times New Roman" w:hAnsi="Times New Roman" w:cs="Times New Roman"/>
          <w:color w:val="000000" w:themeColor="text1"/>
          <w:sz w:val="24"/>
          <w:szCs w:val="24"/>
          <w14:textFill>
            <w14:solidFill>
              <w14:schemeClr w14:val="tx1"/>
            </w14:solidFill>
          </w14:textFill>
        </w:rPr>
        <w:t>；</w:t>
      </w:r>
    </w:p>
    <w:p w14:paraId="0C906DC6">
      <w:pPr>
        <w:spacing w:after="0" w:line="360" w:lineRule="auto"/>
        <w:ind w:firstLine="1200" w:firstLineChars="5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i/>
          <w:iCs/>
          <w:color w:val="000000" w:themeColor="text1"/>
          <w:sz w:val="24"/>
          <w:szCs w:val="24"/>
          <w14:textFill>
            <w14:solidFill>
              <w14:schemeClr w14:val="tx1"/>
            </w14:solidFill>
          </w14:textFill>
        </w:rPr>
        <w:t>G</w:t>
      </w:r>
      <w:r>
        <w:rPr>
          <w:rFonts w:ascii="Times New Roman" w:hAnsi="Times New Roman" w:cs="Times New Roman"/>
          <w:i/>
          <w:iCs/>
          <w:color w:val="000000" w:themeColor="text1"/>
          <w:sz w:val="24"/>
          <w:szCs w:val="24"/>
          <w:vertAlign w:val="subscript"/>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——第 i 种核素吸入剂量转换系数（考虑空气动力学</w:t>
      </w:r>
      <w:r>
        <w:rPr>
          <w:rFonts w:hint="eastAsia" w:ascii="Times New Roman" w:hAnsi="Times New Roman" w:cs="Times New Roman"/>
          <w:color w:val="000000" w:themeColor="text1"/>
          <w:sz w:val="24"/>
          <w:szCs w:val="24"/>
          <w:lang w:eastAsia="zh-CN"/>
          <w14:textFill>
            <w14:solidFill>
              <w14:schemeClr w14:val="tx1"/>
            </w14:solidFill>
          </w14:textFill>
        </w:rPr>
        <w:t>值</w:t>
      </w:r>
      <w:r>
        <w:rPr>
          <w:rFonts w:ascii="Times New Roman" w:hAnsi="Times New Roman" w:cs="Times New Roman"/>
          <w:color w:val="000000" w:themeColor="text1"/>
          <w:sz w:val="24"/>
          <w:szCs w:val="24"/>
          <w14:textFill>
            <w14:solidFill>
              <w14:schemeClr w14:val="tx1"/>
            </w14:solidFill>
          </w14:textFill>
        </w:rPr>
        <w:t> 5um），Sv/Bq，取值见表</w:t>
      </w:r>
      <w:r>
        <w:rPr>
          <w:rFonts w:ascii="Times New Roman" w:hAnsi="Times New Roman" w:cs="Times New Roman"/>
          <w:b/>
          <w:color w:val="000000" w:themeColor="text1"/>
          <w:sz w:val="24"/>
          <w:szCs w:val="24"/>
          <w14:textFill>
            <w14:solidFill>
              <w14:schemeClr w14:val="tx1"/>
            </w14:solidFill>
          </w14:textFill>
        </w:rPr>
        <w:t>4.2</w:t>
      </w:r>
      <w:r>
        <w:rPr>
          <w:rFonts w:ascii="Times New Roman" w:hAnsi="Times New Roman" w:cs="Times New Roman"/>
          <w:b/>
          <w:color w:val="000000" w:themeColor="text1"/>
          <w:sz w:val="24"/>
          <w:szCs w:val="24"/>
          <w14:textFill>
            <w14:solidFill>
              <w14:schemeClr w14:val="tx1"/>
            </w14:solidFill>
          </w14:textFill>
        </w:rPr>
        <w:fldChar w:fldCharType="begin"/>
      </w:r>
      <w:r>
        <w:rPr>
          <w:rFonts w:ascii="Times New Roman" w:hAnsi="Times New Roman" w:cs="Times New Roman"/>
          <w:b/>
          <w:color w:val="000000" w:themeColor="text1"/>
          <w:sz w:val="24"/>
          <w:szCs w:val="24"/>
          <w14:textFill>
            <w14:solidFill>
              <w14:schemeClr w14:val="tx1"/>
            </w14:solidFill>
          </w14:textFill>
        </w:rPr>
        <w:instrText xml:space="preserve"> STYLEREF 2 \s </w:instrText>
      </w:r>
      <w:r>
        <w:rPr>
          <w:rFonts w:ascii="Times New Roman" w:hAnsi="Times New Roman" w:cs="Times New Roman"/>
          <w:b/>
          <w:color w:val="000000" w:themeColor="text1"/>
          <w:sz w:val="24"/>
          <w:szCs w:val="24"/>
          <w14:textFill>
            <w14:solidFill>
              <w14:schemeClr w14:val="tx1"/>
            </w14:solidFill>
          </w14:textFill>
        </w:rPr>
        <w:fldChar w:fldCharType="separate"/>
      </w:r>
      <w:r>
        <w:rPr>
          <w:rFonts w:ascii="Times New Roman" w:hAnsi="Times New Roman" w:cs="Times New Roman"/>
          <w:b/>
          <w:color w:val="000000" w:themeColor="text1"/>
          <w:sz w:val="24"/>
          <w:szCs w:val="24"/>
          <w14:textFill>
            <w14:solidFill>
              <w14:schemeClr w14:val="tx1"/>
            </w14:solidFill>
          </w14:textFill>
        </w:rPr>
        <w:t>4.2</w:t>
      </w:r>
      <w:r>
        <w:rPr>
          <w:rFonts w:ascii="Times New Roman" w:hAnsi="Times New Roman" w:cs="Times New Roman"/>
          <w:b/>
          <w:color w:val="000000" w:themeColor="text1"/>
          <w:sz w:val="24"/>
          <w:szCs w:val="24"/>
          <w14:textFill>
            <w14:solidFill>
              <w14:schemeClr w14:val="tx1"/>
            </w14:solidFill>
          </w14:textFill>
        </w:rPr>
        <w:fldChar w:fldCharType="end"/>
      </w:r>
      <w:r>
        <w:rPr>
          <w:rFonts w:ascii="Times New Roman" w:hAnsi="Times New Roman" w:cs="Times New Roman"/>
          <w:b/>
          <w:color w:val="000000" w:themeColor="text1"/>
          <w:sz w:val="24"/>
          <w:szCs w:val="24"/>
          <w14:textFill>
            <w14:solidFill>
              <w14:schemeClr w14:val="tx1"/>
            </w14:solidFill>
          </w14:textFill>
        </w:rPr>
        <w:noBreakHyphen/>
      </w:r>
      <w:r>
        <w:rPr>
          <w:rFonts w:ascii="Times New Roman" w:hAnsi="Times New Roman" w:cs="Times New Roman"/>
          <w:b/>
          <w:color w:val="000000" w:themeColor="text1"/>
          <w:sz w:val="24"/>
          <w:szCs w:val="24"/>
          <w14:textFill>
            <w14:solidFill>
              <w14:schemeClr w14:val="tx1"/>
            </w14:solidFill>
          </w14:textFill>
        </w:rPr>
        <w:t>2</w:t>
      </w:r>
      <w:r>
        <w:rPr>
          <w:rFonts w:ascii="Times New Roman" w:hAnsi="Times New Roman" w:cs="Times New Roman"/>
          <w:color w:val="000000" w:themeColor="text1"/>
          <w:sz w:val="24"/>
          <w:szCs w:val="24"/>
          <w14:textFill>
            <w14:solidFill>
              <w14:schemeClr w14:val="tx1"/>
            </w14:solidFill>
          </w14:textFill>
        </w:rPr>
        <w:t>。</w:t>
      </w:r>
    </w:p>
    <w:p w14:paraId="1BD002C0">
      <w:pPr>
        <w:widowControl w:val="0"/>
        <w:spacing w:after="0" w:line="360" w:lineRule="auto"/>
        <w:jc w:val="center"/>
        <w:rPr>
          <w:rFonts w:ascii="Times New Roman" w:hAnsi="Times New Roman" w:eastAsia="宋体" w:cs="Times New Roman"/>
          <w:b/>
          <w:bCs/>
          <w:color w:val="000000" w:themeColor="text1"/>
          <w:spacing w:val="-2"/>
          <w:sz w:val="24"/>
          <w:szCs w:val="20"/>
          <w14:textFill>
            <w14:solidFill>
              <w14:schemeClr w14:val="tx1"/>
            </w14:solidFill>
          </w14:textFill>
        </w:rPr>
      </w:pPr>
      <w:r>
        <w:rPr>
          <w:rFonts w:ascii="Times New Roman" w:hAnsi="Times New Roman" w:eastAsia="宋体" w:cs="Times New Roman"/>
          <w:b/>
          <w:bCs/>
          <w:color w:val="000000" w:themeColor="text1"/>
          <w:spacing w:val="-2"/>
          <w:sz w:val="24"/>
          <w:szCs w:val="20"/>
          <w14:textFill>
            <w14:solidFill>
              <w14:schemeClr w14:val="tx1"/>
            </w14:solidFill>
          </w14:textFill>
        </w:rPr>
        <w:t>表4.2</w:t>
      </w:r>
      <w:r>
        <w:rPr>
          <w:rFonts w:ascii="Times New Roman" w:hAnsi="Times New Roman" w:eastAsia="宋体" w:cs="Times New Roman"/>
          <w:b/>
          <w:bCs/>
          <w:color w:val="000000" w:themeColor="text1"/>
          <w:spacing w:val="-2"/>
          <w:sz w:val="24"/>
          <w:szCs w:val="20"/>
          <w14:textFill>
            <w14:solidFill>
              <w14:schemeClr w14:val="tx1"/>
            </w14:solidFill>
          </w14:textFill>
        </w:rPr>
        <w:fldChar w:fldCharType="begin"/>
      </w:r>
      <w:r>
        <w:rPr>
          <w:rFonts w:ascii="Times New Roman" w:hAnsi="Times New Roman" w:eastAsia="宋体" w:cs="Times New Roman"/>
          <w:b/>
          <w:bCs/>
          <w:color w:val="000000" w:themeColor="text1"/>
          <w:spacing w:val="-2"/>
          <w:sz w:val="24"/>
          <w:szCs w:val="20"/>
          <w14:textFill>
            <w14:solidFill>
              <w14:schemeClr w14:val="tx1"/>
            </w14:solidFill>
          </w14:textFill>
        </w:rPr>
        <w:instrText xml:space="preserve"> STYLEREF 2 \s </w:instrText>
      </w:r>
      <w:r>
        <w:rPr>
          <w:rFonts w:ascii="Times New Roman" w:hAnsi="Times New Roman" w:eastAsia="宋体" w:cs="Times New Roman"/>
          <w:b/>
          <w:bCs/>
          <w:color w:val="000000" w:themeColor="text1"/>
          <w:spacing w:val="-2"/>
          <w:sz w:val="24"/>
          <w:szCs w:val="20"/>
          <w14:textFill>
            <w14:solidFill>
              <w14:schemeClr w14:val="tx1"/>
            </w14:solidFill>
          </w14:textFill>
        </w:rPr>
        <w:fldChar w:fldCharType="separate"/>
      </w:r>
      <w:r>
        <w:rPr>
          <w:rFonts w:ascii="Times New Roman" w:hAnsi="Times New Roman" w:eastAsia="宋体" w:cs="Times New Roman"/>
          <w:b/>
          <w:bCs/>
          <w:color w:val="000000" w:themeColor="text1"/>
          <w:spacing w:val="-2"/>
          <w:sz w:val="24"/>
          <w:szCs w:val="20"/>
          <w14:textFill>
            <w14:solidFill>
              <w14:schemeClr w14:val="tx1"/>
            </w14:solidFill>
          </w14:textFill>
        </w:rPr>
        <w:t>4.2</w:t>
      </w:r>
      <w:r>
        <w:rPr>
          <w:rFonts w:ascii="Times New Roman" w:hAnsi="Times New Roman" w:eastAsia="宋体" w:cs="Times New Roman"/>
          <w:b/>
          <w:bCs/>
          <w:color w:val="000000" w:themeColor="text1"/>
          <w:spacing w:val="-2"/>
          <w:sz w:val="24"/>
          <w:szCs w:val="20"/>
          <w14:textFill>
            <w14:solidFill>
              <w14:schemeClr w14:val="tx1"/>
            </w14:solidFill>
          </w14:textFill>
        </w:rPr>
        <w:fldChar w:fldCharType="end"/>
      </w:r>
      <w:r>
        <w:rPr>
          <w:rFonts w:ascii="Times New Roman" w:hAnsi="Times New Roman" w:eastAsia="宋体" w:cs="Times New Roman"/>
          <w:b/>
          <w:bCs/>
          <w:color w:val="000000" w:themeColor="text1"/>
          <w:spacing w:val="-2"/>
          <w:sz w:val="24"/>
          <w:szCs w:val="20"/>
          <w14:textFill>
            <w14:solidFill>
              <w14:schemeClr w14:val="tx1"/>
            </w14:solidFill>
          </w14:textFill>
        </w:rPr>
        <w:noBreakHyphen/>
      </w:r>
      <w:r>
        <w:rPr>
          <w:rFonts w:ascii="Times New Roman" w:hAnsi="Times New Roman" w:eastAsia="宋体" w:cs="Times New Roman"/>
          <w:b/>
          <w:bCs/>
          <w:color w:val="000000" w:themeColor="text1"/>
          <w:spacing w:val="-2"/>
          <w:sz w:val="24"/>
          <w:szCs w:val="20"/>
          <w14:textFill>
            <w14:solidFill>
              <w14:schemeClr w14:val="tx1"/>
            </w14:solidFill>
          </w14:textFill>
        </w:rPr>
        <w:t>1 成员空气摄入量（R）（m</w:t>
      </w:r>
      <w:r>
        <w:rPr>
          <w:rFonts w:ascii="Times New Roman" w:hAnsi="Times New Roman" w:eastAsia="宋体" w:cs="Times New Roman"/>
          <w:b/>
          <w:bCs/>
          <w:color w:val="000000" w:themeColor="text1"/>
          <w:spacing w:val="-2"/>
          <w:sz w:val="24"/>
          <w:szCs w:val="20"/>
          <w:vertAlign w:val="superscript"/>
          <w14:textFill>
            <w14:solidFill>
              <w14:schemeClr w14:val="tx1"/>
            </w14:solidFill>
          </w14:textFill>
        </w:rPr>
        <w:t>3</w:t>
      </w:r>
      <w:r>
        <w:rPr>
          <w:rFonts w:ascii="Times New Roman" w:hAnsi="Times New Roman" w:eastAsia="宋体" w:cs="Times New Roman"/>
          <w:b/>
          <w:bCs/>
          <w:color w:val="000000" w:themeColor="text1"/>
          <w:spacing w:val="-2"/>
          <w:sz w:val="24"/>
          <w:szCs w:val="20"/>
          <w14:textFill>
            <w14:solidFill>
              <w14:schemeClr w14:val="tx1"/>
            </w14:solidFill>
          </w14:textFill>
        </w:rPr>
        <w:t>/h）</w:t>
      </w:r>
    </w:p>
    <w:tbl>
      <w:tblPr>
        <w:tblStyle w:val="46"/>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269"/>
        <w:gridCol w:w="5067"/>
      </w:tblGrid>
      <w:tr w14:paraId="402991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1961" w:type="pct"/>
            <w:tcMar>
              <w:top w:w="0" w:type="dxa"/>
              <w:left w:w="0" w:type="dxa"/>
              <w:bottom w:w="0" w:type="dxa"/>
              <w:right w:w="0" w:type="dxa"/>
            </w:tcMar>
            <w:vAlign w:val="center"/>
          </w:tcPr>
          <w:p w14:paraId="16062D9C">
            <w:pPr>
              <w:spacing w:line="354" w:lineRule="exact"/>
              <w:jc w:val="center"/>
              <w:rPr>
                <w:rFonts w:ascii="Times New Roman" w:hAnsi="Times New Roman" w:eastAsia="宋体" w:cs="Times New Roman"/>
                <w:b/>
                <w:bCs/>
                <w:color w:val="000000" w:themeColor="text1"/>
                <w:spacing w:val="-2"/>
                <w14:textFill>
                  <w14:solidFill>
                    <w14:schemeClr w14:val="tx1"/>
                  </w14:solidFill>
                </w14:textFill>
              </w:rPr>
            </w:pPr>
            <w:r>
              <w:rPr>
                <w:rFonts w:ascii="Times New Roman" w:hAnsi="Times New Roman" w:eastAsia="宋体" w:cs="Times New Roman"/>
                <w:b/>
                <w:bCs/>
                <w:color w:val="000000" w:themeColor="text1"/>
                <w:spacing w:val="-2"/>
                <w14:textFill>
                  <w14:solidFill>
                    <w14:schemeClr w14:val="tx1"/>
                  </w14:solidFill>
                </w14:textFill>
              </w:rPr>
              <w:t>年龄组</w:t>
            </w:r>
          </w:p>
        </w:tc>
        <w:tc>
          <w:tcPr>
            <w:tcW w:w="3039" w:type="pct"/>
            <w:tcMar>
              <w:top w:w="0" w:type="dxa"/>
              <w:left w:w="0" w:type="dxa"/>
              <w:bottom w:w="0" w:type="dxa"/>
              <w:right w:w="0" w:type="dxa"/>
            </w:tcMar>
            <w:vAlign w:val="center"/>
          </w:tcPr>
          <w:p w14:paraId="06107372">
            <w:pPr>
              <w:spacing w:line="370" w:lineRule="exact"/>
              <w:jc w:val="center"/>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bCs/>
                <w:color w:val="000000" w:themeColor="text1"/>
                <w:spacing w:val="-2"/>
                <w14:textFill>
                  <w14:solidFill>
                    <w14:schemeClr w14:val="tx1"/>
                  </w14:solidFill>
                </w14:textFill>
              </w:rPr>
              <w:t>＞</w:t>
            </w:r>
            <w:r>
              <w:rPr>
                <w:rFonts w:ascii="Times New Roman" w:hAnsi="Times New Roman" w:eastAsia="宋体" w:cs="Times New Roman"/>
                <w:b/>
                <w:bCs/>
                <w:color w:val="000000" w:themeColor="text1"/>
                <w:spacing w:val="-7"/>
                <w14:textFill>
                  <w14:solidFill>
                    <w14:schemeClr w14:val="tx1"/>
                  </w14:solidFill>
                </w14:textFill>
              </w:rPr>
              <w:t>17</w:t>
            </w:r>
            <w:r>
              <w:rPr>
                <w:rFonts w:ascii="Times New Roman" w:hAnsi="Times New Roman" w:eastAsia="宋体" w:cs="Times New Roman"/>
                <w:b/>
                <w:bCs/>
                <w:color w:val="000000" w:themeColor="text1"/>
                <w14:textFill>
                  <w14:solidFill>
                    <w14:schemeClr w14:val="tx1"/>
                  </w14:solidFill>
                </w14:textFill>
              </w:rPr>
              <w:t> </w:t>
            </w:r>
            <w:r>
              <w:rPr>
                <w:rFonts w:ascii="Times New Roman" w:hAnsi="Times New Roman" w:eastAsia="宋体" w:cs="Times New Roman"/>
                <w:b/>
                <w:bCs/>
                <w:color w:val="000000" w:themeColor="text1"/>
                <w:spacing w:val="-2"/>
                <w14:textFill>
                  <w14:solidFill>
                    <w14:schemeClr w14:val="tx1"/>
                  </w14:solidFill>
                </w14:textFill>
              </w:rPr>
              <w:t>岁</w:t>
            </w:r>
          </w:p>
        </w:tc>
      </w:tr>
      <w:tr w14:paraId="242E5F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1961" w:type="pct"/>
            <w:tcMar>
              <w:top w:w="0" w:type="dxa"/>
              <w:left w:w="0" w:type="dxa"/>
              <w:bottom w:w="0" w:type="dxa"/>
              <w:right w:w="0" w:type="dxa"/>
            </w:tcMar>
            <w:vAlign w:val="center"/>
          </w:tcPr>
          <w:p w14:paraId="15C40C87">
            <w:pPr>
              <w:spacing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摄入量</w:t>
            </w:r>
          </w:p>
        </w:tc>
        <w:tc>
          <w:tcPr>
            <w:tcW w:w="3039" w:type="pct"/>
            <w:tcMar>
              <w:top w:w="0" w:type="dxa"/>
              <w:left w:w="0" w:type="dxa"/>
              <w:bottom w:w="0" w:type="dxa"/>
              <w:right w:w="0" w:type="dxa"/>
            </w:tcMar>
            <w:vAlign w:val="center"/>
          </w:tcPr>
          <w:p w14:paraId="1D215E61">
            <w:pPr>
              <w:spacing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1.20</w:t>
            </w:r>
          </w:p>
        </w:tc>
      </w:tr>
    </w:tbl>
    <w:p w14:paraId="221ADD54">
      <w:pPr>
        <w:spacing w:after="0" w:line="360" w:lineRule="auto"/>
        <w:ind w:firstLine="720" w:firstLineChars="300"/>
        <w:rPr>
          <w:rFonts w:ascii="Times New Roman" w:hAnsi="Times New Roman" w:cs="Times New Roman"/>
          <w:iCs/>
          <w:color w:val="000000" w:themeColor="text1"/>
          <w:sz w:val="24"/>
          <w:szCs w:val="24"/>
          <w14:textFill>
            <w14:solidFill>
              <w14:schemeClr w14:val="tx1"/>
            </w14:solidFill>
          </w14:textFill>
        </w:rPr>
      </w:pPr>
    </w:p>
    <w:p w14:paraId="7BA99DED">
      <w:pPr>
        <w:widowControl w:val="0"/>
        <w:spacing w:after="0" w:line="360" w:lineRule="auto"/>
        <w:jc w:val="center"/>
        <w:rPr>
          <w:rFonts w:ascii="Times New Roman" w:hAnsi="Times New Roman" w:eastAsia="宋体" w:cs="Times New Roman"/>
          <w:b/>
          <w:bCs/>
          <w:color w:val="000000" w:themeColor="text1"/>
          <w:spacing w:val="-2"/>
          <w:sz w:val="24"/>
          <w:szCs w:val="20"/>
          <w14:textFill>
            <w14:solidFill>
              <w14:schemeClr w14:val="tx1"/>
            </w14:solidFill>
          </w14:textFill>
        </w:rPr>
      </w:pPr>
      <w:r>
        <w:rPr>
          <w:rFonts w:ascii="Times New Roman" w:hAnsi="Times New Roman" w:eastAsia="宋体" w:cs="Times New Roman"/>
          <w:b/>
          <w:bCs/>
          <w:color w:val="000000" w:themeColor="text1"/>
          <w:spacing w:val="-2"/>
          <w:sz w:val="24"/>
          <w:szCs w:val="20"/>
          <w14:textFill>
            <w14:solidFill>
              <w14:schemeClr w14:val="tx1"/>
            </w14:solidFill>
          </w14:textFill>
        </w:rPr>
        <w:t>表 4.2</w:t>
      </w:r>
      <w:r>
        <w:rPr>
          <w:rFonts w:ascii="Times New Roman" w:hAnsi="Times New Roman" w:eastAsia="宋体" w:cs="Times New Roman"/>
          <w:b/>
          <w:bCs/>
          <w:color w:val="000000" w:themeColor="text1"/>
          <w:spacing w:val="-2"/>
          <w:sz w:val="24"/>
          <w:szCs w:val="20"/>
          <w14:textFill>
            <w14:solidFill>
              <w14:schemeClr w14:val="tx1"/>
            </w14:solidFill>
          </w14:textFill>
        </w:rPr>
        <w:fldChar w:fldCharType="begin"/>
      </w:r>
      <w:r>
        <w:rPr>
          <w:rFonts w:ascii="Times New Roman" w:hAnsi="Times New Roman" w:eastAsia="宋体" w:cs="Times New Roman"/>
          <w:b/>
          <w:bCs/>
          <w:color w:val="000000" w:themeColor="text1"/>
          <w:spacing w:val="-2"/>
          <w:sz w:val="24"/>
          <w:szCs w:val="20"/>
          <w14:textFill>
            <w14:solidFill>
              <w14:schemeClr w14:val="tx1"/>
            </w14:solidFill>
          </w14:textFill>
        </w:rPr>
        <w:instrText xml:space="preserve"> STYLEREF 2 \s </w:instrText>
      </w:r>
      <w:r>
        <w:rPr>
          <w:rFonts w:ascii="Times New Roman" w:hAnsi="Times New Roman" w:eastAsia="宋体" w:cs="Times New Roman"/>
          <w:b/>
          <w:bCs/>
          <w:color w:val="000000" w:themeColor="text1"/>
          <w:spacing w:val="-2"/>
          <w:sz w:val="24"/>
          <w:szCs w:val="20"/>
          <w14:textFill>
            <w14:solidFill>
              <w14:schemeClr w14:val="tx1"/>
            </w14:solidFill>
          </w14:textFill>
        </w:rPr>
        <w:fldChar w:fldCharType="separate"/>
      </w:r>
      <w:r>
        <w:rPr>
          <w:rFonts w:ascii="Times New Roman" w:hAnsi="Times New Roman" w:eastAsia="宋体" w:cs="Times New Roman"/>
          <w:b/>
          <w:bCs/>
          <w:color w:val="000000" w:themeColor="text1"/>
          <w:spacing w:val="-2"/>
          <w:sz w:val="24"/>
          <w:szCs w:val="20"/>
          <w14:textFill>
            <w14:solidFill>
              <w14:schemeClr w14:val="tx1"/>
            </w14:solidFill>
          </w14:textFill>
        </w:rPr>
        <w:t>4.2</w:t>
      </w:r>
      <w:r>
        <w:rPr>
          <w:rFonts w:ascii="Times New Roman" w:hAnsi="Times New Roman" w:eastAsia="宋体" w:cs="Times New Roman"/>
          <w:b/>
          <w:bCs/>
          <w:color w:val="000000" w:themeColor="text1"/>
          <w:spacing w:val="-2"/>
          <w:sz w:val="24"/>
          <w:szCs w:val="20"/>
          <w14:textFill>
            <w14:solidFill>
              <w14:schemeClr w14:val="tx1"/>
            </w14:solidFill>
          </w14:textFill>
        </w:rPr>
        <w:fldChar w:fldCharType="end"/>
      </w:r>
      <w:r>
        <w:rPr>
          <w:rFonts w:ascii="Times New Roman" w:hAnsi="Times New Roman" w:eastAsia="宋体" w:cs="Times New Roman"/>
          <w:b/>
          <w:bCs/>
          <w:color w:val="000000" w:themeColor="text1"/>
          <w:spacing w:val="-2"/>
          <w:sz w:val="24"/>
          <w:szCs w:val="20"/>
          <w14:textFill>
            <w14:solidFill>
              <w14:schemeClr w14:val="tx1"/>
            </w14:solidFill>
          </w14:textFill>
        </w:rPr>
        <w:noBreakHyphen/>
      </w:r>
      <w:r>
        <w:rPr>
          <w:rFonts w:ascii="Times New Roman" w:hAnsi="Times New Roman" w:eastAsia="宋体" w:cs="Times New Roman"/>
          <w:b/>
          <w:bCs/>
          <w:color w:val="000000" w:themeColor="text1"/>
          <w:spacing w:val="-2"/>
          <w:sz w:val="24"/>
          <w:szCs w:val="20"/>
          <w14:textFill>
            <w14:solidFill>
              <w14:schemeClr w14:val="tx1"/>
            </w14:solidFill>
          </w14:textFill>
        </w:rPr>
        <w:t>2 成员摄入该厂所排矿尘待积有效剂量转换系数（Gi）（Sv/Bq）</w:t>
      </w:r>
    </w:p>
    <w:tbl>
      <w:tblPr>
        <w:tblStyle w:val="46"/>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269"/>
        <w:gridCol w:w="5067"/>
      </w:tblGrid>
      <w:tr w14:paraId="2C3348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961" w:type="pct"/>
            <w:vMerge w:val="restart"/>
            <w:tcMar>
              <w:top w:w="0" w:type="dxa"/>
              <w:left w:w="0" w:type="dxa"/>
              <w:bottom w:w="0" w:type="dxa"/>
              <w:right w:w="0" w:type="dxa"/>
            </w:tcMar>
            <w:vAlign w:val="center"/>
          </w:tcPr>
          <w:p w14:paraId="351C9911">
            <w:pPr>
              <w:spacing w:after="0" w:line="240" w:lineRule="auto"/>
              <w:jc w:val="center"/>
              <w:rPr>
                <w:rFonts w:ascii="Times New Roman" w:hAnsi="Times New Roman" w:eastAsia="宋体" w:cs="Times New Roman"/>
                <w:b/>
                <w:bCs/>
                <w:color w:val="000000" w:themeColor="text1"/>
                <w:szCs w:val="20"/>
                <w14:textFill>
                  <w14:solidFill>
                    <w14:schemeClr w14:val="tx1"/>
                  </w14:solidFill>
                </w14:textFill>
              </w:rPr>
            </w:pPr>
            <w:r>
              <w:rPr>
                <w:rFonts w:ascii="Times New Roman" w:hAnsi="Times New Roman" w:eastAsia="宋体" w:cs="Times New Roman"/>
                <w:b/>
                <w:bCs/>
                <w:color w:val="000000" w:themeColor="text1"/>
                <w:spacing w:val="-2"/>
                <w:szCs w:val="20"/>
                <w14:textFill>
                  <w14:solidFill>
                    <w14:schemeClr w14:val="tx1"/>
                  </w14:solidFill>
                </w14:textFill>
              </w:rPr>
              <w:t>核素</w:t>
            </w:r>
          </w:p>
        </w:tc>
        <w:tc>
          <w:tcPr>
            <w:tcW w:w="3039" w:type="pct"/>
            <w:tcMar>
              <w:top w:w="0" w:type="dxa"/>
              <w:left w:w="0" w:type="dxa"/>
              <w:bottom w:w="0" w:type="dxa"/>
              <w:right w:w="0" w:type="dxa"/>
            </w:tcMar>
            <w:vAlign w:val="center"/>
          </w:tcPr>
          <w:p w14:paraId="2528E058">
            <w:pPr>
              <w:spacing w:after="0" w:line="240" w:lineRule="auto"/>
              <w:jc w:val="center"/>
              <w:rPr>
                <w:rFonts w:ascii="Times New Roman" w:hAnsi="Times New Roman" w:eastAsia="宋体" w:cs="Times New Roman"/>
                <w:b/>
                <w:bCs/>
                <w:color w:val="000000" w:themeColor="text1"/>
                <w:szCs w:val="20"/>
                <w14:textFill>
                  <w14:solidFill>
                    <w14:schemeClr w14:val="tx1"/>
                  </w14:solidFill>
                </w14:textFill>
              </w:rPr>
            </w:pPr>
            <w:r>
              <w:rPr>
                <w:rFonts w:ascii="Times New Roman" w:hAnsi="Times New Roman" w:eastAsia="宋体" w:cs="Times New Roman"/>
                <w:b/>
                <w:bCs/>
                <w:color w:val="000000" w:themeColor="text1"/>
                <w:spacing w:val="-7"/>
                <w:szCs w:val="20"/>
                <w14:textFill>
                  <w14:solidFill>
                    <w14:schemeClr w14:val="tx1"/>
                  </w14:solidFill>
                </w14:textFill>
              </w:rPr>
              <w:t>公众成员年龄组</w:t>
            </w:r>
          </w:p>
        </w:tc>
      </w:tr>
      <w:tr w14:paraId="7E9C59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961" w:type="pct"/>
            <w:vMerge w:val="continue"/>
            <w:vAlign w:val="center"/>
          </w:tcPr>
          <w:p w14:paraId="466455F0">
            <w:pPr>
              <w:spacing w:after="0" w:line="240" w:lineRule="auto"/>
              <w:rPr>
                <w:rFonts w:ascii="Times New Roman" w:hAnsi="Times New Roman" w:eastAsia="宋体" w:cs="Times New Roman"/>
                <w:b/>
                <w:bCs/>
                <w:color w:val="000000" w:themeColor="text1"/>
                <w:szCs w:val="20"/>
                <w14:textFill>
                  <w14:solidFill>
                    <w14:schemeClr w14:val="tx1"/>
                  </w14:solidFill>
                </w14:textFill>
              </w:rPr>
            </w:pPr>
          </w:p>
        </w:tc>
        <w:tc>
          <w:tcPr>
            <w:tcW w:w="3039" w:type="pct"/>
            <w:tcMar>
              <w:top w:w="0" w:type="dxa"/>
              <w:left w:w="0" w:type="dxa"/>
              <w:bottom w:w="0" w:type="dxa"/>
              <w:right w:w="0" w:type="dxa"/>
            </w:tcMar>
            <w:vAlign w:val="center"/>
          </w:tcPr>
          <w:p w14:paraId="1241BA7F">
            <w:pPr>
              <w:spacing w:after="0" w:line="240" w:lineRule="auto"/>
              <w:jc w:val="center"/>
              <w:rPr>
                <w:rFonts w:ascii="Times New Roman" w:hAnsi="Times New Roman" w:eastAsia="宋体" w:cs="Times New Roman"/>
                <w:b/>
                <w:bCs/>
                <w:color w:val="000000" w:themeColor="text1"/>
                <w:szCs w:val="20"/>
                <w14:textFill>
                  <w14:solidFill>
                    <w14:schemeClr w14:val="tx1"/>
                  </w14:solidFill>
                </w14:textFill>
              </w:rPr>
            </w:pPr>
            <w:r>
              <w:rPr>
                <w:rFonts w:ascii="Times New Roman" w:hAnsi="Times New Roman" w:eastAsia="宋体" w:cs="Times New Roman"/>
                <w:b/>
                <w:bCs/>
                <w:color w:val="000000" w:themeColor="text1"/>
                <w:spacing w:val="-2"/>
                <w:szCs w:val="20"/>
                <w14:textFill>
                  <w14:solidFill>
                    <w14:schemeClr w14:val="tx1"/>
                  </w14:solidFill>
                </w14:textFill>
              </w:rPr>
              <w:t>＞</w:t>
            </w:r>
            <w:r>
              <w:rPr>
                <w:rFonts w:ascii="Times New Roman" w:hAnsi="Times New Roman" w:eastAsia="宋体" w:cs="Times New Roman"/>
                <w:b/>
                <w:bCs/>
                <w:color w:val="000000" w:themeColor="text1"/>
                <w:spacing w:val="-7"/>
                <w:szCs w:val="20"/>
                <w14:textFill>
                  <w14:solidFill>
                    <w14:schemeClr w14:val="tx1"/>
                  </w14:solidFill>
                </w14:textFill>
              </w:rPr>
              <w:t>17</w:t>
            </w:r>
            <w:r>
              <w:rPr>
                <w:rFonts w:ascii="Times New Roman" w:hAnsi="Times New Roman" w:eastAsia="宋体" w:cs="Times New Roman"/>
                <w:b/>
                <w:bCs/>
                <w:color w:val="000000" w:themeColor="text1"/>
                <w:szCs w:val="20"/>
                <w14:textFill>
                  <w14:solidFill>
                    <w14:schemeClr w14:val="tx1"/>
                  </w14:solidFill>
                </w14:textFill>
              </w:rPr>
              <w:t> </w:t>
            </w:r>
            <w:r>
              <w:rPr>
                <w:rFonts w:ascii="Times New Roman" w:hAnsi="Times New Roman" w:eastAsia="宋体" w:cs="Times New Roman"/>
                <w:b/>
                <w:bCs/>
                <w:color w:val="000000" w:themeColor="text1"/>
                <w:spacing w:val="-2"/>
                <w:szCs w:val="20"/>
                <w14:textFill>
                  <w14:solidFill>
                    <w14:schemeClr w14:val="tx1"/>
                  </w14:solidFill>
                </w14:textFill>
              </w:rPr>
              <w:t>岁</w:t>
            </w:r>
          </w:p>
        </w:tc>
      </w:tr>
      <w:tr w14:paraId="4FFC47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961" w:type="pct"/>
            <w:tcMar>
              <w:top w:w="0" w:type="dxa"/>
              <w:left w:w="0" w:type="dxa"/>
              <w:bottom w:w="0" w:type="dxa"/>
              <w:right w:w="0" w:type="dxa"/>
            </w:tcMar>
            <w:vAlign w:val="center"/>
          </w:tcPr>
          <w:p w14:paraId="4F263D04">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spacing w:val="-4"/>
                <w:position w:val="5"/>
                <w:vertAlign w:val="superscript"/>
                <w14:textFill>
                  <w14:solidFill>
                    <w14:schemeClr w14:val="tx1"/>
                  </w14:solidFill>
                </w14:textFill>
              </w:rPr>
              <w:t>232</w:t>
            </w:r>
            <w:r>
              <w:rPr>
                <w:rFonts w:ascii="Times New Roman" w:hAnsi="Times New Roman" w:eastAsia="宋体" w:cs="Times New Roman"/>
                <w:color w:val="000000" w:themeColor="text1"/>
                <w:spacing w:val="-7"/>
                <w14:textFill>
                  <w14:solidFill>
                    <w14:schemeClr w14:val="tx1"/>
                  </w14:solidFill>
                </w14:textFill>
              </w:rPr>
              <w:t>Th</w:t>
            </w:r>
          </w:p>
        </w:tc>
        <w:tc>
          <w:tcPr>
            <w:tcW w:w="3039" w:type="pct"/>
            <w:tcMar>
              <w:top w:w="0" w:type="dxa"/>
              <w:left w:w="0" w:type="dxa"/>
              <w:bottom w:w="0" w:type="dxa"/>
              <w:right w:w="0" w:type="dxa"/>
            </w:tcMar>
            <w:vAlign w:val="center"/>
          </w:tcPr>
          <w:p w14:paraId="08FF94CE">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2.5×10</w:t>
            </w:r>
            <w:r>
              <w:rPr>
                <w:rFonts w:ascii="Times New Roman" w:hAnsi="Times New Roman" w:eastAsia="宋体" w:cs="Times New Roman"/>
                <w:color w:val="000000" w:themeColor="text1"/>
                <w:vertAlign w:val="superscript"/>
                <w14:textFill>
                  <w14:solidFill>
                    <w14:schemeClr w14:val="tx1"/>
                  </w14:solidFill>
                </w14:textFill>
              </w:rPr>
              <w:t>-5</w:t>
            </w:r>
          </w:p>
        </w:tc>
      </w:tr>
      <w:tr w14:paraId="70F0F4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961" w:type="pct"/>
            <w:tcMar>
              <w:top w:w="0" w:type="dxa"/>
              <w:left w:w="0" w:type="dxa"/>
              <w:bottom w:w="0" w:type="dxa"/>
              <w:right w:w="0" w:type="dxa"/>
            </w:tcMar>
            <w:vAlign w:val="center"/>
          </w:tcPr>
          <w:p w14:paraId="1C5D45B2">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spacing w:val="-4"/>
                <w:position w:val="5"/>
                <w:vertAlign w:val="superscript"/>
                <w14:textFill>
                  <w14:solidFill>
                    <w14:schemeClr w14:val="tx1"/>
                  </w14:solidFill>
                </w14:textFill>
              </w:rPr>
              <w:t>238</w:t>
            </w:r>
            <w:r>
              <w:rPr>
                <w:rFonts w:ascii="Times New Roman" w:hAnsi="Times New Roman" w:eastAsia="宋体" w:cs="Times New Roman"/>
                <w:color w:val="000000" w:themeColor="text1"/>
                <w:spacing w:val="-2"/>
                <w14:textFill>
                  <w14:solidFill>
                    <w14:schemeClr w14:val="tx1"/>
                  </w14:solidFill>
                </w14:textFill>
              </w:rPr>
              <w:t>U</w:t>
            </w:r>
          </w:p>
        </w:tc>
        <w:tc>
          <w:tcPr>
            <w:tcW w:w="3039" w:type="pct"/>
            <w:tcMar>
              <w:top w:w="0" w:type="dxa"/>
              <w:left w:w="0" w:type="dxa"/>
              <w:bottom w:w="0" w:type="dxa"/>
              <w:right w:w="0" w:type="dxa"/>
            </w:tcMar>
            <w:vAlign w:val="center"/>
          </w:tcPr>
          <w:p w14:paraId="41478CCA">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2.9×10</w:t>
            </w:r>
            <w:r>
              <w:rPr>
                <w:rFonts w:ascii="Times New Roman" w:hAnsi="Times New Roman" w:eastAsia="宋体" w:cs="Times New Roman"/>
                <w:color w:val="000000" w:themeColor="text1"/>
                <w:vertAlign w:val="superscript"/>
                <w14:textFill>
                  <w14:solidFill>
                    <w14:schemeClr w14:val="tx1"/>
                  </w14:solidFill>
                </w14:textFill>
              </w:rPr>
              <w:t>-6</w:t>
            </w:r>
          </w:p>
        </w:tc>
      </w:tr>
      <w:tr w14:paraId="4E8957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961" w:type="pct"/>
            <w:tcMar>
              <w:top w:w="0" w:type="dxa"/>
              <w:left w:w="0" w:type="dxa"/>
              <w:bottom w:w="0" w:type="dxa"/>
              <w:right w:w="0" w:type="dxa"/>
            </w:tcMar>
            <w:vAlign w:val="center"/>
          </w:tcPr>
          <w:p w14:paraId="66CE97CB">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vertAlign w:val="superscript"/>
                <w14:textFill>
                  <w14:solidFill>
                    <w14:schemeClr w14:val="tx1"/>
                  </w14:solidFill>
                </w14:textFill>
              </w:rPr>
              <w:t>226</w:t>
            </w:r>
            <w:r>
              <w:rPr>
                <w:rFonts w:ascii="Times New Roman" w:hAnsi="Times New Roman" w:eastAsia="宋体" w:cs="Times New Roman"/>
                <w:color w:val="000000" w:themeColor="text1"/>
                <w14:textFill>
                  <w14:solidFill>
                    <w14:schemeClr w14:val="tx1"/>
                  </w14:solidFill>
                </w14:textFill>
              </w:rPr>
              <w:t>Ra</w:t>
            </w:r>
          </w:p>
        </w:tc>
        <w:tc>
          <w:tcPr>
            <w:tcW w:w="3039" w:type="pct"/>
            <w:tcMar>
              <w:top w:w="0" w:type="dxa"/>
              <w:left w:w="0" w:type="dxa"/>
              <w:bottom w:w="0" w:type="dxa"/>
              <w:right w:w="0" w:type="dxa"/>
            </w:tcMar>
            <w:vAlign w:val="center"/>
          </w:tcPr>
          <w:p w14:paraId="1EA22C47">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3.5×10</w:t>
            </w:r>
            <w:r>
              <w:rPr>
                <w:rFonts w:ascii="Times New Roman" w:hAnsi="Times New Roman" w:eastAsia="宋体" w:cs="Times New Roman"/>
                <w:color w:val="000000" w:themeColor="text1"/>
                <w:vertAlign w:val="superscript"/>
                <w14:textFill>
                  <w14:solidFill>
                    <w14:schemeClr w14:val="tx1"/>
                  </w14:solidFill>
                </w14:textFill>
              </w:rPr>
              <w:t>-6</w:t>
            </w:r>
          </w:p>
        </w:tc>
      </w:tr>
    </w:tbl>
    <w:p w14:paraId="06016798">
      <w:pPr>
        <w:tabs>
          <w:tab w:val="left" w:pos="1134"/>
        </w:tabs>
        <w:adjustRightInd w:val="0"/>
        <w:snapToGrid w:val="0"/>
        <w:spacing w:after="0" w:line="360" w:lineRule="auto"/>
        <w:ind w:firstLine="477" w:firstLineChars="199"/>
        <w:rPr>
          <w:rFonts w:ascii="Times New Roman" w:hAnsi="Times New Roman" w:cs="Times New Roman"/>
          <w:color w:val="000000" w:themeColor="text1"/>
          <w:sz w:val="24"/>
          <w:szCs w:val="24"/>
          <w14:textFill>
            <w14:solidFill>
              <w14:schemeClr w14:val="tx1"/>
            </w14:solidFill>
          </w14:textFill>
        </w:rPr>
      </w:pPr>
    </w:p>
    <w:p w14:paraId="7EEFEE28">
      <w:pPr>
        <w:pStyle w:val="6"/>
        <w:widowControl w:val="0"/>
        <w:numPr>
          <w:ilvl w:val="3"/>
          <w:numId w:val="1"/>
        </w:numPr>
        <w:spacing w:before="0" w:line="360" w:lineRule="auto"/>
        <w:ind w:left="0" w:firstLine="0"/>
        <w:jc w:val="both"/>
        <w:rPr>
          <w:rFonts w:ascii="Times New Roman" w:hAnsi="Times New Roman" w:eastAsia="黑体" w:cs="Times New Roman"/>
          <w:bCs/>
          <w:i w:val="0"/>
          <w:iCs w:val="0"/>
          <w:color w:val="000000" w:themeColor="text1"/>
          <w:kern w:val="2"/>
          <w:sz w:val="24"/>
          <w14:textFill>
            <w14:solidFill>
              <w14:schemeClr w14:val="tx1"/>
            </w14:solidFill>
          </w14:textFill>
        </w:rPr>
      </w:pPr>
      <w:r>
        <w:rPr>
          <w:rFonts w:ascii="Times New Roman" w:hAnsi="Times New Roman" w:eastAsia="黑体" w:cs="Times New Roman"/>
          <w:bCs/>
          <w:i w:val="0"/>
          <w:iCs w:val="0"/>
          <w:color w:val="000000" w:themeColor="text1"/>
          <w:kern w:val="2"/>
          <w:sz w:val="24"/>
          <w14:textFill>
            <w14:solidFill>
              <w14:schemeClr w14:val="tx1"/>
            </w14:solidFill>
          </w14:textFill>
        </w:rPr>
        <w:t>辐射剂量估算</w:t>
      </w:r>
    </w:p>
    <w:p w14:paraId="559080B9">
      <w:pPr>
        <w:autoSpaceDE w:val="0"/>
        <w:autoSpaceDN w:val="0"/>
        <w:adjustRightInd w:val="0"/>
        <w:spacing w:after="0" w:line="360" w:lineRule="auto"/>
        <w:ind w:firstLine="48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为满足《放射性物品安全运输规程》（GB11806-2019）中要求，该厂运输外聘有资质单位承担，不设放射性物品运输岗位。本项目职业工作人员主要包括</w:t>
      </w:r>
      <w:r>
        <w:rPr>
          <w:rFonts w:hint="eastAsia" w:ascii="Times New Roman" w:hAnsi="Times New Roman" w:cs="Times New Roman"/>
          <w:color w:val="000000" w:themeColor="text1"/>
          <w:sz w:val="24"/>
          <w:szCs w:val="24"/>
          <w14:textFill>
            <w14:solidFill>
              <w14:schemeClr w14:val="tx1"/>
            </w14:solidFill>
          </w14:textFill>
        </w:rPr>
        <w:t>1#原料处理车间</w:t>
      </w:r>
      <w:r>
        <w:rPr>
          <w:rFonts w:ascii="Times New Roman" w:hAnsi="Times New Roman" w:cs="Times New Roman"/>
          <w:color w:val="000000" w:themeColor="text1"/>
          <w:sz w:val="24"/>
          <w:szCs w:val="24"/>
          <w14:textFill>
            <w14:solidFill>
              <w14:schemeClr w14:val="tx1"/>
            </w14:solidFill>
          </w14:textFill>
        </w:rPr>
        <w:t>工作人员、</w:t>
      </w:r>
      <w:r>
        <w:rPr>
          <w:rFonts w:hint="eastAsia" w:ascii="Times New Roman" w:hAnsi="Times New Roman" w:cs="Times New Roman"/>
          <w:color w:val="000000" w:themeColor="text1"/>
          <w:sz w:val="24"/>
          <w:szCs w:val="24"/>
          <w14:textFill>
            <w14:solidFill>
              <w14:schemeClr w14:val="tx1"/>
            </w14:solidFill>
          </w14:textFill>
        </w:rPr>
        <w:t>2#分选</w:t>
      </w:r>
      <w:r>
        <w:rPr>
          <w:rFonts w:ascii="Times New Roman" w:hAnsi="Times New Roman" w:cs="Times New Roman"/>
          <w:color w:val="000000" w:themeColor="text1"/>
          <w:sz w:val="24"/>
          <w:szCs w:val="24"/>
          <w14:textFill>
            <w14:solidFill>
              <w14:schemeClr w14:val="tx1"/>
            </w14:solidFill>
          </w14:textFill>
        </w:rPr>
        <w:t>车间工作人员。</w:t>
      </w:r>
    </w:p>
    <w:p w14:paraId="23A70D5B">
      <w:pPr>
        <w:autoSpaceDE w:val="0"/>
        <w:autoSpaceDN w:val="0"/>
        <w:adjustRightInd w:val="0"/>
        <w:spacing w:after="0" w:line="360" w:lineRule="auto"/>
        <w:ind w:firstLine="48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本项目各车间人员外照射、氡浓度和放射性粉尘吸入时间按如下原则计算：</w:t>
      </w:r>
    </w:p>
    <w:p w14:paraId="5AB80EDC">
      <w:pPr>
        <w:widowControl w:val="0"/>
        <w:spacing w:after="0" w:line="360" w:lineRule="auto"/>
        <w:ind w:firstLine="474" w:firstLineChars="200"/>
        <w:jc w:val="both"/>
        <w:rPr>
          <w:rFonts w:ascii="Times New Roman" w:hAnsi="Times New Roman" w:eastAsia="宋体" w:cs="Times New Roman"/>
          <w:b/>
          <w:bCs/>
          <w:color w:val="000000" w:themeColor="text1"/>
          <w:spacing w:val="-2"/>
          <w:sz w:val="24"/>
          <w:szCs w:val="20"/>
          <w14:textFill>
            <w14:solidFill>
              <w14:schemeClr w14:val="tx1"/>
            </w14:solidFill>
          </w14:textFill>
        </w:rPr>
      </w:pPr>
      <w:r>
        <w:rPr>
          <w:rFonts w:hint="eastAsia" w:ascii="Times New Roman" w:hAnsi="Times New Roman" w:eastAsia="宋体" w:cs="Times New Roman"/>
          <w:b/>
          <w:bCs/>
          <w:color w:val="000000" w:themeColor="text1"/>
          <w:spacing w:val="-2"/>
          <w:sz w:val="24"/>
          <w:szCs w:val="20"/>
          <w14:textFill>
            <w14:solidFill>
              <w14:schemeClr w14:val="tx1"/>
            </w14:solidFill>
          </w14:textFill>
        </w:rPr>
        <w:t>（1）工作照射时间</w:t>
      </w:r>
    </w:p>
    <w:p w14:paraId="621EED9B">
      <w:pPr>
        <w:widowControl w:val="0"/>
        <w:spacing w:after="0" w:line="360" w:lineRule="auto"/>
        <w:ind w:firstLine="472" w:firstLineChars="200"/>
        <w:jc w:val="both"/>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项目1#原料处理车间、2#分选车间的工作制度一样，均为年生产300天，每天2班，每班8小时。项目用地范围较小，物料的存放与生产线设备均</w:t>
      </w:r>
      <w:r>
        <w:rPr>
          <w:rFonts w:hint="eastAsia" w:ascii="Times New Roman" w:hAnsi="Times New Roman" w:eastAsia="宋体" w:cs="Times New Roman"/>
          <w:color w:val="000000" w:themeColor="text1"/>
          <w:spacing w:val="-2"/>
          <w:sz w:val="24"/>
          <w:szCs w:val="20"/>
          <w:lang w:eastAsia="zh-CN"/>
          <w14:textFill>
            <w14:solidFill>
              <w14:schemeClr w14:val="tx1"/>
            </w14:solidFill>
          </w14:textFill>
        </w:rPr>
        <w:t>处于</w:t>
      </w:r>
      <w:r>
        <w:rPr>
          <w:rFonts w:hint="eastAsia" w:ascii="Times New Roman" w:hAnsi="Times New Roman" w:eastAsia="宋体" w:cs="Times New Roman"/>
          <w:color w:val="000000" w:themeColor="text1"/>
          <w:spacing w:val="-2"/>
          <w:sz w:val="24"/>
          <w:szCs w:val="20"/>
          <w14:textFill>
            <w14:solidFill>
              <w14:schemeClr w14:val="tx1"/>
            </w14:solidFill>
          </w14:textFill>
        </w:rPr>
        <w:t>同一车间开间内，生产线上的物料相较物料存储的量少，因此1#原料处理车间的工作人员主要是受到原料毛矿的照射影响，2#分选车间的工作人员主要是受到产品及副产品的照射影响。根据项目的工作制度，每班工作人员每天受照射时间8小时，年</w:t>
      </w:r>
      <w:r>
        <w:rPr>
          <w:rFonts w:ascii="Times New Roman" w:hAnsi="Times New Roman" w:cs="Times New Roman"/>
          <w:color w:val="000000" w:themeColor="text1"/>
          <w:sz w:val="24"/>
          <w:szCs w:val="24"/>
          <w14:textFill>
            <w14:solidFill>
              <w14:schemeClr w14:val="tx1"/>
            </w14:solidFill>
          </w14:textFill>
        </w:rPr>
        <w:t>受照射时间为</w:t>
      </w:r>
      <w:r>
        <w:rPr>
          <w:rFonts w:hint="eastAsia" w:ascii="Times New Roman" w:hAnsi="Times New Roman" w:cs="Times New Roman"/>
          <w:color w:val="000000" w:themeColor="text1"/>
          <w:sz w:val="24"/>
          <w:szCs w:val="24"/>
          <w14:textFill>
            <w14:solidFill>
              <w14:schemeClr w14:val="tx1"/>
            </w14:solidFill>
          </w14:textFill>
        </w:rPr>
        <w:t>2400</w:t>
      </w:r>
      <w:r>
        <w:rPr>
          <w:rFonts w:ascii="Times New Roman" w:hAnsi="Times New Roman" w:cs="Times New Roman"/>
          <w:color w:val="000000" w:themeColor="text1"/>
          <w:sz w:val="24"/>
          <w:szCs w:val="24"/>
          <w14:textFill>
            <w14:solidFill>
              <w14:schemeClr w14:val="tx1"/>
            </w14:solidFill>
          </w14:textFill>
        </w:rPr>
        <w:t>h</w:t>
      </w:r>
      <w:r>
        <w:rPr>
          <w:rFonts w:hint="eastAsia" w:ascii="Times New Roman" w:hAnsi="Times New Roman" w:cs="Times New Roman"/>
          <w:color w:val="000000" w:themeColor="text1"/>
          <w:sz w:val="24"/>
          <w:szCs w:val="24"/>
          <w14:textFill>
            <w14:solidFill>
              <w14:schemeClr w14:val="tx1"/>
            </w14:solidFill>
          </w14:textFill>
        </w:rPr>
        <w:t>。</w:t>
      </w:r>
    </w:p>
    <w:p w14:paraId="578E2B6C">
      <w:pPr>
        <w:widowControl w:val="0"/>
        <w:spacing w:after="0" w:line="360" w:lineRule="auto"/>
        <w:ind w:firstLine="474" w:firstLineChars="200"/>
        <w:jc w:val="both"/>
        <w:rPr>
          <w:rFonts w:ascii="Times New Roman" w:hAnsi="Times New Roman" w:eastAsia="宋体" w:cs="Times New Roman"/>
          <w:b/>
          <w:bCs/>
          <w:color w:val="000000" w:themeColor="text1"/>
          <w:spacing w:val="-2"/>
          <w:sz w:val="24"/>
          <w:szCs w:val="20"/>
          <w14:textFill>
            <w14:solidFill>
              <w14:schemeClr w14:val="tx1"/>
            </w14:solidFill>
          </w14:textFill>
        </w:rPr>
      </w:pPr>
      <w:r>
        <w:rPr>
          <w:rFonts w:ascii="Times New Roman" w:hAnsi="Times New Roman" w:eastAsia="宋体" w:cs="Times New Roman"/>
          <w:b/>
          <w:bCs/>
          <w:color w:val="000000" w:themeColor="text1"/>
          <w:spacing w:val="-2"/>
          <w:sz w:val="24"/>
          <w:szCs w:val="20"/>
          <w14:textFill>
            <w14:solidFill>
              <w14:schemeClr w14:val="tx1"/>
            </w14:solidFill>
          </w14:textFill>
        </w:rPr>
        <w:t>（</w:t>
      </w:r>
      <w:r>
        <w:rPr>
          <w:rFonts w:hint="eastAsia" w:ascii="Times New Roman" w:hAnsi="Times New Roman" w:eastAsia="宋体" w:cs="Times New Roman"/>
          <w:b/>
          <w:bCs/>
          <w:color w:val="000000" w:themeColor="text1"/>
          <w:spacing w:val="-2"/>
          <w:sz w:val="24"/>
          <w:szCs w:val="20"/>
          <w14:textFill>
            <w14:solidFill>
              <w14:schemeClr w14:val="tx1"/>
            </w14:solidFill>
          </w14:textFill>
        </w:rPr>
        <w:t>2</w:t>
      </w:r>
      <w:r>
        <w:rPr>
          <w:rFonts w:ascii="Times New Roman" w:hAnsi="Times New Roman" w:eastAsia="宋体" w:cs="Times New Roman"/>
          <w:b/>
          <w:bCs/>
          <w:color w:val="000000" w:themeColor="text1"/>
          <w:spacing w:val="-2"/>
          <w:sz w:val="24"/>
          <w:szCs w:val="20"/>
          <w14:textFill>
            <w14:solidFill>
              <w14:schemeClr w14:val="tx1"/>
            </w14:solidFill>
          </w14:textFill>
        </w:rPr>
        <w:t>）γ辐射剂量率外照射剂量估算</w:t>
      </w:r>
    </w:p>
    <w:p w14:paraId="0424BF74">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本项目工作人员外照射剂量按照公式（4.2-5）计算，则工作人员所受外照射有效剂量见表4.2-3。</w:t>
      </w:r>
    </w:p>
    <w:p w14:paraId="10D18A3A">
      <w:pPr>
        <w:widowControl w:val="0"/>
        <w:spacing w:after="0" w:line="360" w:lineRule="auto"/>
        <w:jc w:val="center"/>
        <w:rPr>
          <w:rFonts w:ascii="Times New Roman" w:hAnsi="Times New Roman" w:eastAsia="宋体" w:cs="Times New Roman"/>
          <w:b/>
          <w:bCs/>
          <w:color w:val="000000" w:themeColor="text1"/>
          <w:spacing w:val="-2"/>
          <w:sz w:val="24"/>
          <w:szCs w:val="20"/>
          <w14:textFill>
            <w14:solidFill>
              <w14:schemeClr w14:val="tx1"/>
            </w14:solidFill>
          </w14:textFill>
        </w:rPr>
      </w:pPr>
      <w:r>
        <w:rPr>
          <w:rFonts w:ascii="Times New Roman" w:hAnsi="Times New Roman" w:eastAsia="宋体" w:cs="Times New Roman"/>
          <w:b/>
          <w:bCs/>
          <w:color w:val="000000" w:themeColor="text1"/>
          <w:spacing w:val="-2"/>
          <w:sz w:val="24"/>
          <w:szCs w:val="20"/>
          <w14:textFill>
            <w14:solidFill>
              <w14:schemeClr w14:val="tx1"/>
            </w14:solidFill>
          </w14:textFill>
        </w:rPr>
        <w:t>表4.2</w:t>
      </w:r>
      <w:r>
        <w:rPr>
          <w:rFonts w:ascii="Times New Roman" w:hAnsi="Times New Roman" w:eastAsia="宋体" w:cs="Times New Roman"/>
          <w:b/>
          <w:bCs/>
          <w:color w:val="000000" w:themeColor="text1"/>
          <w:spacing w:val="-2"/>
          <w:sz w:val="24"/>
          <w:szCs w:val="20"/>
          <w14:textFill>
            <w14:solidFill>
              <w14:schemeClr w14:val="tx1"/>
            </w14:solidFill>
          </w14:textFill>
        </w:rPr>
        <w:noBreakHyphen/>
      </w:r>
      <w:r>
        <w:rPr>
          <w:rFonts w:ascii="Times New Roman" w:hAnsi="Times New Roman" w:eastAsia="宋体" w:cs="Times New Roman"/>
          <w:b/>
          <w:bCs/>
          <w:color w:val="000000" w:themeColor="text1"/>
          <w:spacing w:val="-2"/>
          <w:sz w:val="24"/>
          <w:szCs w:val="20"/>
          <w14:textFill>
            <w14:solidFill>
              <w14:schemeClr w14:val="tx1"/>
            </w14:solidFill>
          </w14:textFill>
        </w:rPr>
        <w:t>3 工作人员所受外照射有效剂量估算一览表</w:t>
      </w:r>
    </w:p>
    <w:tbl>
      <w:tblPr>
        <w:tblStyle w:val="4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15"/>
        <w:gridCol w:w="2920"/>
        <w:gridCol w:w="1747"/>
        <w:gridCol w:w="1311"/>
        <w:gridCol w:w="1829"/>
      </w:tblGrid>
      <w:tr w14:paraId="7EB0FE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420" w:type="pct"/>
            <w:vMerge w:val="restart"/>
            <w:vAlign w:val="center"/>
          </w:tcPr>
          <w:p w14:paraId="51B098AE">
            <w:pPr>
              <w:pStyle w:val="242"/>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编号</w:t>
            </w:r>
          </w:p>
        </w:tc>
        <w:tc>
          <w:tcPr>
            <w:tcW w:w="1713" w:type="pct"/>
            <w:vMerge w:val="restart"/>
            <w:vAlign w:val="center"/>
          </w:tcPr>
          <w:p w14:paraId="7EDE1B3B">
            <w:pPr>
              <w:pStyle w:val="242"/>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工作场所操作工位</w:t>
            </w:r>
          </w:p>
        </w:tc>
        <w:tc>
          <w:tcPr>
            <w:tcW w:w="1025" w:type="pct"/>
            <w:vAlign w:val="center"/>
          </w:tcPr>
          <w:p w14:paraId="29C7A656">
            <w:pPr>
              <w:pStyle w:val="242"/>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γ辐射剂量率</w:t>
            </w:r>
          </w:p>
        </w:tc>
        <w:tc>
          <w:tcPr>
            <w:tcW w:w="769" w:type="pct"/>
            <w:vAlign w:val="center"/>
          </w:tcPr>
          <w:p w14:paraId="6B450D7A">
            <w:pPr>
              <w:pStyle w:val="242"/>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工作时间</w:t>
            </w:r>
          </w:p>
        </w:tc>
        <w:tc>
          <w:tcPr>
            <w:tcW w:w="1073" w:type="pct"/>
            <w:vAlign w:val="center"/>
          </w:tcPr>
          <w:p w14:paraId="5322F229">
            <w:pPr>
              <w:pStyle w:val="242"/>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外照射有效剂量</w:t>
            </w:r>
          </w:p>
        </w:tc>
      </w:tr>
      <w:tr w14:paraId="1A255D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0" w:type="pct"/>
            <w:vMerge w:val="continue"/>
            <w:vAlign w:val="center"/>
          </w:tcPr>
          <w:p w14:paraId="670DA13D">
            <w:pPr>
              <w:spacing w:after="0" w:line="240" w:lineRule="auto"/>
              <w:jc w:val="center"/>
              <w:rPr>
                <w:rFonts w:ascii="Times New Roman" w:hAnsi="Times New Roman" w:cs="Times New Roman"/>
                <w:color w:val="000000" w:themeColor="text1"/>
                <w14:textFill>
                  <w14:solidFill>
                    <w14:schemeClr w14:val="tx1"/>
                  </w14:solidFill>
                </w14:textFill>
              </w:rPr>
            </w:pPr>
          </w:p>
        </w:tc>
        <w:tc>
          <w:tcPr>
            <w:tcW w:w="1713" w:type="pct"/>
            <w:vMerge w:val="continue"/>
            <w:vAlign w:val="center"/>
          </w:tcPr>
          <w:p w14:paraId="10EF8D96">
            <w:pPr>
              <w:spacing w:after="0" w:line="240" w:lineRule="auto"/>
              <w:jc w:val="center"/>
              <w:rPr>
                <w:rFonts w:ascii="Times New Roman" w:hAnsi="Times New Roman" w:cs="Times New Roman"/>
                <w:color w:val="000000" w:themeColor="text1"/>
                <w14:textFill>
                  <w14:solidFill>
                    <w14:schemeClr w14:val="tx1"/>
                  </w14:solidFill>
                </w14:textFill>
              </w:rPr>
            </w:pPr>
          </w:p>
        </w:tc>
        <w:tc>
          <w:tcPr>
            <w:tcW w:w="1025" w:type="pct"/>
            <w:vAlign w:val="center"/>
          </w:tcPr>
          <w:p w14:paraId="51176099">
            <w:pPr>
              <w:pStyle w:val="242"/>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μGy/h</w:t>
            </w:r>
          </w:p>
        </w:tc>
        <w:tc>
          <w:tcPr>
            <w:tcW w:w="769" w:type="pct"/>
            <w:vAlign w:val="center"/>
          </w:tcPr>
          <w:p w14:paraId="08E1B4C3">
            <w:pPr>
              <w:pStyle w:val="242"/>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h</w:t>
            </w:r>
          </w:p>
        </w:tc>
        <w:tc>
          <w:tcPr>
            <w:tcW w:w="1073" w:type="pct"/>
            <w:vAlign w:val="center"/>
          </w:tcPr>
          <w:p w14:paraId="55E054E3">
            <w:pPr>
              <w:pStyle w:val="242"/>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kern w:val="0"/>
                <w:szCs w:val="21"/>
                <w14:textFill>
                  <w14:solidFill>
                    <w14:schemeClr w14:val="tx1"/>
                  </w14:solidFill>
                </w14:textFill>
              </w:rPr>
              <w:t>mSv/a</w:t>
            </w:r>
          </w:p>
        </w:tc>
      </w:tr>
      <w:tr w14:paraId="225BF7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0" w:type="pct"/>
            <w:vAlign w:val="center"/>
          </w:tcPr>
          <w:p w14:paraId="2675A4CE">
            <w:pPr>
              <w:pStyle w:val="245"/>
              <w:spacing w:line="240" w:lineRule="auto"/>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w:t>
            </w:r>
          </w:p>
        </w:tc>
        <w:tc>
          <w:tcPr>
            <w:tcW w:w="1713" w:type="pct"/>
            <w:vAlign w:val="center"/>
          </w:tcPr>
          <w:p w14:paraId="0A40318E">
            <w:pPr>
              <w:pStyle w:val="245"/>
              <w:spacing w:line="240" w:lineRule="auto"/>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1#原料处理车间</w:t>
            </w:r>
          </w:p>
        </w:tc>
        <w:tc>
          <w:tcPr>
            <w:tcW w:w="1025" w:type="pct"/>
            <w:vAlign w:val="center"/>
          </w:tcPr>
          <w:p w14:paraId="5BB9C956">
            <w:pPr>
              <w:pStyle w:val="245"/>
              <w:spacing w:line="240" w:lineRule="auto"/>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1.4640</w:t>
            </w:r>
          </w:p>
        </w:tc>
        <w:tc>
          <w:tcPr>
            <w:tcW w:w="769" w:type="pct"/>
            <w:vAlign w:val="center"/>
          </w:tcPr>
          <w:p w14:paraId="016DBD4A">
            <w:pPr>
              <w:pStyle w:val="245"/>
              <w:spacing w:line="240" w:lineRule="auto"/>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2400</w:t>
            </w:r>
          </w:p>
        </w:tc>
        <w:tc>
          <w:tcPr>
            <w:tcW w:w="1073" w:type="pct"/>
            <w:vAlign w:val="center"/>
          </w:tcPr>
          <w:p w14:paraId="6A037993">
            <w:pPr>
              <w:pStyle w:val="245"/>
              <w:spacing w:line="240" w:lineRule="auto"/>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2.4595</w:t>
            </w:r>
          </w:p>
        </w:tc>
      </w:tr>
      <w:tr w14:paraId="220515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0" w:type="pct"/>
            <w:vAlign w:val="center"/>
          </w:tcPr>
          <w:p w14:paraId="3D2D6C7F">
            <w:pPr>
              <w:pStyle w:val="245"/>
              <w:spacing w:line="240" w:lineRule="auto"/>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w:t>
            </w:r>
          </w:p>
        </w:tc>
        <w:tc>
          <w:tcPr>
            <w:tcW w:w="1713" w:type="pct"/>
            <w:vAlign w:val="center"/>
          </w:tcPr>
          <w:p w14:paraId="12A82971">
            <w:pPr>
              <w:pStyle w:val="245"/>
              <w:spacing w:line="240" w:lineRule="auto"/>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2#分选车间</w:t>
            </w:r>
          </w:p>
        </w:tc>
        <w:tc>
          <w:tcPr>
            <w:tcW w:w="1025" w:type="pct"/>
            <w:vAlign w:val="center"/>
          </w:tcPr>
          <w:p w14:paraId="584A9DB4">
            <w:pPr>
              <w:pStyle w:val="245"/>
              <w:spacing w:line="240" w:lineRule="auto"/>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1.3488</w:t>
            </w:r>
          </w:p>
        </w:tc>
        <w:tc>
          <w:tcPr>
            <w:tcW w:w="769" w:type="pct"/>
            <w:vAlign w:val="center"/>
          </w:tcPr>
          <w:p w14:paraId="4190F16F">
            <w:pPr>
              <w:pStyle w:val="245"/>
              <w:spacing w:line="240" w:lineRule="auto"/>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2400</w:t>
            </w:r>
          </w:p>
        </w:tc>
        <w:tc>
          <w:tcPr>
            <w:tcW w:w="1073" w:type="pct"/>
            <w:vAlign w:val="center"/>
          </w:tcPr>
          <w:p w14:paraId="708B1081">
            <w:pPr>
              <w:pStyle w:val="245"/>
              <w:spacing w:line="240" w:lineRule="auto"/>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2.2660</w:t>
            </w:r>
          </w:p>
        </w:tc>
      </w:tr>
    </w:tbl>
    <w:p w14:paraId="380D4A23">
      <w:pPr>
        <w:pStyle w:val="2"/>
        <w:spacing w:line="360" w:lineRule="auto"/>
        <w:ind w:firstLine="482"/>
        <w:rPr>
          <w:rFonts w:ascii="Times New Roman" w:hAnsi="Times New Roman" w:cs="Times New Roman" w:eastAsiaTheme="minorEastAsia"/>
          <w:b/>
          <w:bCs/>
          <w:color w:val="000000" w:themeColor="text1"/>
          <w14:textFill>
            <w14:solidFill>
              <w14:schemeClr w14:val="tx1"/>
            </w14:solidFill>
          </w14:textFill>
        </w:rPr>
      </w:pPr>
    </w:p>
    <w:p w14:paraId="70E1ED4A">
      <w:pPr>
        <w:widowControl w:val="0"/>
        <w:spacing w:after="0" w:line="360" w:lineRule="auto"/>
        <w:ind w:firstLine="474" w:firstLineChars="200"/>
        <w:jc w:val="both"/>
        <w:rPr>
          <w:rFonts w:ascii="Times New Roman" w:hAnsi="Times New Roman" w:eastAsia="宋体" w:cs="Times New Roman"/>
          <w:b/>
          <w:bCs/>
          <w:color w:val="000000" w:themeColor="text1"/>
          <w:spacing w:val="-2"/>
          <w:sz w:val="24"/>
          <w:szCs w:val="20"/>
          <w14:textFill>
            <w14:solidFill>
              <w14:schemeClr w14:val="tx1"/>
            </w14:solidFill>
          </w14:textFill>
        </w:rPr>
      </w:pPr>
      <w:r>
        <w:rPr>
          <w:rFonts w:ascii="Times New Roman" w:hAnsi="Times New Roman" w:eastAsia="宋体" w:cs="Times New Roman"/>
          <w:b/>
          <w:bCs/>
          <w:color w:val="000000" w:themeColor="text1"/>
          <w:spacing w:val="-2"/>
          <w:sz w:val="24"/>
          <w:szCs w:val="20"/>
          <w14:textFill>
            <w14:solidFill>
              <w14:schemeClr w14:val="tx1"/>
            </w14:solidFill>
          </w14:textFill>
        </w:rPr>
        <w:t>（</w:t>
      </w:r>
      <w:r>
        <w:rPr>
          <w:rFonts w:hint="eastAsia" w:ascii="Times New Roman" w:hAnsi="Times New Roman" w:eastAsia="宋体" w:cs="Times New Roman"/>
          <w:b/>
          <w:bCs/>
          <w:color w:val="000000" w:themeColor="text1"/>
          <w:spacing w:val="-2"/>
          <w:sz w:val="24"/>
          <w:szCs w:val="20"/>
          <w14:textFill>
            <w14:solidFill>
              <w14:schemeClr w14:val="tx1"/>
            </w14:solidFill>
          </w14:textFill>
        </w:rPr>
        <w:t>3</w:t>
      </w:r>
      <w:r>
        <w:rPr>
          <w:rFonts w:ascii="Times New Roman" w:hAnsi="Times New Roman" w:eastAsia="宋体" w:cs="Times New Roman"/>
          <w:b/>
          <w:bCs/>
          <w:color w:val="000000" w:themeColor="text1"/>
          <w:spacing w:val="-2"/>
          <w:sz w:val="24"/>
          <w:szCs w:val="20"/>
          <w14:textFill>
            <w14:solidFill>
              <w14:schemeClr w14:val="tx1"/>
            </w14:solidFill>
          </w14:textFill>
        </w:rPr>
        <w:t>）吸入氡有效剂量估算</w:t>
      </w:r>
    </w:p>
    <w:p w14:paraId="26592226">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本项目工作人员吸入氡有效剂量按照公式</w:t>
      </w:r>
      <w:r>
        <w:rPr>
          <w:rFonts w:hint="eastAsia" w:ascii="Times New Roman" w:hAnsi="Times New Roman" w:eastAsia="宋体" w:cs="Times New Roman"/>
          <w:color w:val="000000" w:themeColor="text1"/>
          <w:spacing w:val="-2"/>
          <w:sz w:val="24"/>
          <w:szCs w:val="20"/>
          <w:lang w:eastAsia="zh-CN"/>
          <w14:textFill>
            <w14:solidFill>
              <w14:schemeClr w14:val="tx1"/>
            </w14:solidFill>
          </w14:textFill>
        </w:rPr>
        <w:t>（</w:t>
      </w:r>
      <w:r>
        <w:rPr>
          <w:rFonts w:ascii="Times New Roman" w:hAnsi="Times New Roman" w:eastAsia="宋体" w:cs="Times New Roman"/>
          <w:color w:val="000000" w:themeColor="text1"/>
          <w:spacing w:val="-2"/>
          <w:sz w:val="24"/>
          <w:szCs w:val="20"/>
          <w14:textFill>
            <w14:solidFill>
              <w14:schemeClr w14:val="tx1"/>
            </w14:solidFill>
          </w14:textFill>
        </w:rPr>
        <w:t>4.2-</w:t>
      </w:r>
      <w:r>
        <w:rPr>
          <w:rFonts w:hint="eastAsia" w:ascii="Times New Roman" w:hAnsi="Times New Roman" w:eastAsia="宋体" w:cs="Times New Roman"/>
          <w:color w:val="000000" w:themeColor="text1"/>
          <w:spacing w:val="-2"/>
          <w:sz w:val="24"/>
          <w:szCs w:val="20"/>
          <w14:textFill>
            <w14:solidFill>
              <w14:schemeClr w14:val="tx1"/>
            </w14:solidFill>
          </w14:textFill>
        </w:rPr>
        <w:t>6</w:t>
      </w:r>
      <w:r>
        <w:rPr>
          <w:rFonts w:ascii="Times New Roman" w:hAnsi="Times New Roman" w:eastAsia="宋体" w:cs="Times New Roman"/>
          <w:color w:val="000000" w:themeColor="text1"/>
          <w:spacing w:val="-2"/>
          <w:sz w:val="24"/>
          <w:szCs w:val="20"/>
          <w14:textFill>
            <w14:solidFill>
              <w14:schemeClr w14:val="tx1"/>
            </w14:solidFill>
          </w14:textFill>
        </w:rPr>
        <w:t>）计算。</w:t>
      </w:r>
      <w:r>
        <w:rPr>
          <w:rFonts w:hint="eastAsia" w:ascii="Times New Roman" w:hAnsi="Times New Roman" w:eastAsia="宋体" w:cs="Times New Roman"/>
          <w:color w:val="000000" w:themeColor="text1"/>
          <w:spacing w:val="-2"/>
          <w:sz w:val="24"/>
          <w:szCs w:val="20"/>
          <w14:textFill>
            <w14:solidFill>
              <w14:schemeClr w14:val="tx1"/>
            </w14:solidFill>
          </w14:textFill>
        </w:rPr>
        <w:t>根据项目所在区域的环境空气中氡浓度现状监测结果平均值45.90Bq/m</w:t>
      </w:r>
      <w:r>
        <w:rPr>
          <w:rFonts w:hint="eastAsia" w:ascii="Times New Roman" w:hAnsi="Times New Roman" w:eastAsia="宋体" w:cs="Times New Roman"/>
          <w:color w:val="000000" w:themeColor="text1"/>
          <w:spacing w:val="-2"/>
          <w:sz w:val="24"/>
          <w:szCs w:val="20"/>
          <w:vertAlign w:val="superscript"/>
          <w14:textFill>
            <w14:solidFill>
              <w14:schemeClr w14:val="tx1"/>
            </w14:solidFill>
          </w14:textFill>
        </w:rPr>
        <w:t>3</w:t>
      </w:r>
      <w:r>
        <w:rPr>
          <w:rFonts w:hint="eastAsia" w:ascii="Times New Roman" w:hAnsi="Times New Roman" w:eastAsia="宋体" w:cs="Times New Roman"/>
          <w:color w:val="000000" w:themeColor="text1"/>
          <w:spacing w:val="-2"/>
          <w:sz w:val="24"/>
          <w:szCs w:val="20"/>
          <w14:textFill>
            <w14:solidFill>
              <w14:schemeClr w14:val="tx1"/>
            </w14:solidFill>
          </w14:textFill>
        </w:rPr>
        <w:t>，计算</w:t>
      </w:r>
      <w:r>
        <w:rPr>
          <w:rFonts w:ascii="Times New Roman" w:hAnsi="Times New Roman" w:eastAsia="宋体" w:cs="Times New Roman"/>
          <w:color w:val="000000" w:themeColor="text1"/>
          <w:spacing w:val="-2"/>
          <w:sz w:val="24"/>
          <w:szCs w:val="20"/>
          <w14:textFill>
            <w14:solidFill>
              <w14:schemeClr w14:val="tx1"/>
            </w14:solidFill>
          </w14:textFill>
        </w:rPr>
        <w:t>工作人员吸入氡所致有效剂量</w:t>
      </w:r>
      <w:r>
        <w:rPr>
          <w:rFonts w:hint="eastAsia" w:ascii="Times New Roman" w:hAnsi="Times New Roman" w:eastAsia="宋体" w:cs="Times New Roman"/>
          <w:color w:val="000000" w:themeColor="text1"/>
          <w:spacing w:val="-2"/>
          <w:sz w:val="24"/>
          <w:szCs w:val="20"/>
          <w14:textFill>
            <w14:solidFill>
              <w14:schemeClr w14:val="tx1"/>
            </w14:solidFill>
          </w14:textFill>
        </w:rPr>
        <w:t>，</w:t>
      </w:r>
      <w:r>
        <w:rPr>
          <w:rFonts w:ascii="Times New Roman" w:hAnsi="Times New Roman" w:eastAsia="宋体" w:cs="Times New Roman"/>
          <w:color w:val="000000" w:themeColor="text1"/>
          <w:spacing w:val="-2"/>
          <w:sz w:val="24"/>
          <w:szCs w:val="20"/>
          <w14:textFill>
            <w14:solidFill>
              <w14:schemeClr w14:val="tx1"/>
            </w14:solidFill>
          </w14:textFill>
        </w:rPr>
        <w:t>估算</w:t>
      </w:r>
      <w:r>
        <w:rPr>
          <w:rFonts w:hint="eastAsia" w:ascii="Times New Roman" w:hAnsi="Times New Roman" w:eastAsia="宋体" w:cs="Times New Roman"/>
          <w:color w:val="000000" w:themeColor="text1"/>
          <w:spacing w:val="-2"/>
          <w:sz w:val="24"/>
          <w:szCs w:val="20"/>
          <w14:textFill>
            <w14:solidFill>
              <w14:schemeClr w14:val="tx1"/>
            </w14:solidFill>
          </w14:textFill>
        </w:rPr>
        <w:t>结果</w:t>
      </w:r>
      <w:r>
        <w:rPr>
          <w:rFonts w:ascii="Times New Roman" w:hAnsi="Times New Roman" w:eastAsia="宋体" w:cs="Times New Roman"/>
          <w:color w:val="000000" w:themeColor="text1"/>
          <w:spacing w:val="-2"/>
          <w:sz w:val="24"/>
          <w:szCs w:val="20"/>
          <w14:textFill>
            <w14:solidFill>
              <w14:schemeClr w14:val="tx1"/>
            </w14:solidFill>
          </w14:textFill>
        </w:rPr>
        <w:t>见表4.2</w:t>
      </w:r>
      <w:r>
        <w:rPr>
          <w:rFonts w:ascii="Times New Roman" w:hAnsi="Times New Roman" w:eastAsia="宋体" w:cs="Times New Roman"/>
          <w:color w:val="000000" w:themeColor="text1"/>
          <w:spacing w:val="-2"/>
          <w:sz w:val="24"/>
          <w:szCs w:val="20"/>
          <w14:textFill>
            <w14:solidFill>
              <w14:schemeClr w14:val="tx1"/>
            </w14:solidFill>
          </w14:textFill>
        </w:rPr>
        <w:noBreakHyphen/>
      </w:r>
      <w:r>
        <w:rPr>
          <w:rFonts w:ascii="Times New Roman" w:hAnsi="Times New Roman" w:eastAsia="宋体" w:cs="Times New Roman"/>
          <w:color w:val="000000" w:themeColor="text1"/>
          <w:spacing w:val="-2"/>
          <w:sz w:val="24"/>
          <w:szCs w:val="20"/>
          <w14:textFill>
            <w14:solidFill>
              <w14:schemeClr w14:val="tx1"/>
            </w14:solidFill>
          </w14:textFill>
        </w:rPr>
        <w:t>4。</w:t>
      </w:r>
    </w:p>
    <w:p w14:paraId="447FE5CB">
      <w:pPr>
        <w:widowControl w:val="0"/>
        <w:spacing w:after="0" w:line="360" w:lineRule="auto"/>
        <w:jc w:val="center"/>
        <w:rPr>
          <w:rFonts w:ascii="Times New Roman" w:hAnsi="Times New Roman" w:eastAsia="宋体" w:cs="Times New Roman"/>
          <w:b/>
          <w:bCs/>
          <w:color w:val="000000" w:themeColor="text1"/>
          <w:spacing w:val="-2"/>
          <w:sz w:val="24"/>
          <w:szCs w:val="20"/>
          <w14:textFill>
            <w14:solidFill>
              <w14:schemeClr w14:val="tx1"/>
            </w14:solidFill>
          </w14:textFill>
        </w:rPr>
      </w:pPr>
      <w:r>
        <w:rPr>
          <w:rFonts w:ascii="Times New Roman" w:hAnsi="Times New Roman" w:eastAsia="宋体" w:cs="Times New Roman"/>
          <w:b/>
          <w:bCs/>
          <w:color w:val="000000" w:themeColor="text1"/>
          <w:spacing w:val="-2"/>
          <w:sz w:val="24"/>
          <w:szCs w:val="20"/>
          <w14:textFill>
            <w14:solidFill>
              <w14:schemeClr w14:val="tx1"/>
            </w14:solidFill>
          </w14:textFill>
        </w:rPr>
        <w:t>表4.2</w:t>
      </w:r>
      <w:r>
        <w:rPr>
          <w:rFonts w:ascii="Times New Roman" w:hAnsi="Times New Roman" w:eastAsia="宋体" w:cs="Times New Roman"/>
          <w:b/>
          <w:bCs/>
          <w:color w:val="000000" w:themeColor="text1"/>
          <w:spacing w:val="-2"/>
          <w:sz w:val="24"/>
          <w:szCs w:val="20"/>
          <w14:textFill>
            <w14:solidFill>
              <w14:schemeClr w14:val="tx1"/>
            </w14:solidFill>
          </w14:textFill>
        </w:rPr>
        <w:noBreakHyphen/>
      </w:r>
      <w:r>
        <w:rPr>
          <w:rFonts w:ascii="Times New Roman" w:hAnsi="Times New Roman" w:eastAsia="宋体" w:cs="Times New Roman"/>
          <w:b/>
          <w:bCs/>
          <w:color w:val="000000" w:themeColor="text1"/>
          <w:spacing w:val="-2"/>
          <w:sz w:val="24"/>
          <w:szCs w:val="20"/>
          <w14:textFill>
            <w14:solidFill>
              <w14:schemeClr w14:val="tx1"/>
            </w14:solidFill>
          </w14:textFill>
        </w:rPr>
        <w:t>4 工作人员吸入氡有效剂量估算一览表</w:t>
      </w:r>
    </w:p>
    <w:tbl>
      <w:tblPr>
        <w:tblStyle w:val="4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15"/>
        <w:gridCol w:w="2920"/>
        <w:gridCol w:w="1747"/>
        <w:gridCol w:w="1311"/>
        <w:gridCol w:w="1829"/>
      </w:tblGrid>
      <w:tr w14:paraId="795BBF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0" w:type="pct"/>
            <w:vMerge w:val="restart"/>
            <w:vAlign w:val="center"/>
          </w:tcPr>
          <w:p w14:paraId="799F7C5A">
            <w:pPr>
              <w:pStyle w:val="242"/>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编号</w:t>
            </w:r>
          </w:p>
        </w:tc>
        <w:tc>
          <w:tcPr>
            <w:tcW w:w="1713" w:type="pct"/>
            <w:vMerge w:val="restart"/>
            <w:vAlign w:val="center"/>
          </w:tcPr>
          <w:p w14:paraId="76728034">
            <w:pPr>
              <w:pStyle w:val="242"/>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工作场所操作工位</w:t>
            </w:r>
          </w:p>
        </w:tc>
        <w:tc>
          <w:tcPr>
            <w:tcW w:w="1025" w:type="pct"/>
            <w:vAlign w:val="center"/>
          </w:tcPr>
          <w:p w14:paraId="21AD404E">
            <w:pPr>
              <w:pStyle w:val="242"/>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氡浓度</w:t>
            </w:r>
          </w:p>
        </w:tc>
        <w:tc>
          <w:tcPr>
            <w:tcW w:w="769" w:type="pct"/>
            <w:vAlign w:val="center"/>
          </w:tcPr>
          <w:p w14:paraId="0E88BC17">
            <w:pPr>
              <w:pStyle w:val="242"/>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时间</w:t>
            </w:r>
          </w:p>
        </w:tc>
        <w:tc>
          <w:tcPr>
            <w:tcW w:w="1073" w:type="pct"/>
            <w:vAlign w:val="center"/>
          </w:tcPr>
          <w:p w14:paraId="2EA48A56">
            <w:pPr>
              <w:pStyle w:val="242"/>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空气氡</w:t>
            </w:r>
            <w:r>
              <w:rPr>
                <w:rFonts w:ascii="Times New Roman" w:hAnsi="Times New Roman" w:cs="Times New Roman"/>
                <w:b/>
                <w:color w:val="000000" w:themeColor="text1"/>
                <w:kern w:val="0"/>
                <w:szCs w:val="21"/>
                <w14:textFill>
                  <w14:solidFill>
                    <w14:schemeClr w14:val="tx1"/>
                  </w14:solidFill>
                </w14:textFill>
              </w:rPr>
              <w:t>有效剂量</w:t>
            </w:r>
          </w:p>
        </w:tc>
      </w:tr>
      <w:tr w14:paraId="551700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0" w:type="pct"/>
            <w:vMerge w:val="continue"/>
            <w:vAlign w:val="center"/>
          </w:tcPr>
          <w:p w14:paraId="4FD8705C">
            <w:pPr>
              <w:spacing w:after="0" w:line="240" w:lineRule="auto"/>
              <w:jc w:val="center"/>
              <w:rPr>
                <w:rFonts w:ascii="Times New Roman" w:hAnsi="Times New Roman" w:cs="Times New Roman"/>
                <w:color w:val="000000" w:themeColor="text1"/>
                <w14:textFill>
                  <w14:solidFill>
                    <w14:schemeClr w14:val="tx1"/>
                  </w14:solidFill>
                </w14:textFill>
              </w:rPr>
            </w:pPr>
          </w:p>
        </w:tc>
        <w:tc>
          <w:tcPr>
            <w:tcW w:w="1713" w:type="pct"/>
            <w:vMerge w:val="continue"/>
            <w:vAlign w:val="center"/>
          </w:tcPr>
          <w:p w14:paraId="3D5B4F11">
            <w:pPr>
              <w:spacing w:after="0" w:line="240" w:lineRule="auto"/>
              <w:jc w:val="center"/>
              <w:rPr>
                <w:rFonts w:ascii="Times New Roman" w:hAnsi="Times New Roman" w:cs="Times New Roman"/>
                <w:color w:val="000000" w:themeColor="text1"/>
                <w14:textFill>
                  <w14:solidFill>
                    <w14:schemeClr w14:val="tx1"/>
                  </w14:solidFill>
                </w14:textFill>
              </w:rPr>
            </w:pPr>
          </w:p>
        </w:tc>
        <w:tc>
          <w:tcPr>
            <w:tcW w:w="1025" w:type="pct"/>
            <w:vAlign w:val="center"/>
          </w:tcPr>
          <w:p w14:paraId="72F50A40">
            <w:pPr>
              <w:pStyle w:val="242"/>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Bq/m</w:t>
            </w:r>
            <w:r>
              <w:rPr>
                <w:rFonts w:ascii="Times New Roman" w:hAnsi="Times New Roman" w:cs="Times New Roman"/>
                <w:b/>
                <w:color w:val="000000" w:themeColor="text1"/>
                <w:szCs w:val="21"/>
                <w:vertAlign w:val="superscript"/>
                <w14:textFill>
                  <w14:solidFill>
                    <w14:schemeClr w14:val="tx1"/>
                  </w14:solidFill>
                </w14:textFill>
              </w:rPr>
              <w:t>3</w:t>
            </w:r>
          </w:p>
        </w:tc>
        <w:tc>
          <w:tcPr>
            <w:tcW w:w="769" w:type="pct"/>
            <w:vAlign w:val="center"/>
          </w:tcPr>
          <w:p w14:paraId="3D97399A">
            <w:pPr>
              <w:pStyle w:val="242"/>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h</w:t>
            </w:r>
          </w:p>
        </w:tc>
        <w:tc>
          <w:tcPr>
            <w:tcW w:w="1073" w:type="pct"/>
            <w:vAlign w:val="center"/>
          </w:tcPr>
          <w:p w14:paraId="6D89A8A0">
            <w:pPr>
              <w:pStyle w:val="242"/>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kern w:val="0"/>
                <w:szCs w:val="21"/>
                <w14:textFill>
                  <w14:solidFill>
                    <w14:schemeClr w14:val="tx1"/>
                  </w14:solidFill>
                </w14:textFill>
              </w:rPr>
              <w:t>mSv/a</w:t>
            </w:r>
          </w:p>
        </w:tc>
      </w:tr>
      <w:tr w14:paraId="4A55DF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0" w:type="pct"/>
            <w:vAlign w:val="center"/>
          </w:tcPr>
          <w:p w14:paraId="6E7F0529">
            <w:pPr>
              <w:pStyle w:val="245"/>
              <w:spacing w:line="240" w:lineRule="auto"/>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w:t>
            </w:r>
          </w:p>
        </w:tc>
        <w:tc>
          <w:tcPr>
            <w:tcW w:w="1713" w:type="pct"/>
            <w:vAlign w:val="center"/>
          </w:tcPr>
          <w:p w14:paraId="19F5E158">
            <w:pPr>
              <w:pStyle w:val="245"/>
              <w:spacing w:line="240" w:lineRule="auto"/>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1#原料处理车间</w:t>
            </w:r>
          </w:p>
        </w:tc>
        <w:tc>
          <w:tcPr>
            <w:tcW w:w="1025" w:type="pct"/>
            <w:vAlign w:val="center"/>
          </w:tcPr>
          <w:p w14:paraId="08D2B2BB">
            <w:pPr>
              <w:pStyle w:val="245"/>
              <w:spacing w:line="240" w:lineRule="auto"/>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45.90</w:t>
            </w:r>
          </w:p>
        </w:tc>
        <w:tc>
          <w:tcPr>
            <w:tcW w:w="769" w:type="pct"/>
            <w:vAlign w:val="center"/>
          </w:tcPr>
          <w:p w14:paraId="161F6789">
            <w:pPr>
              <w:pStyle w:val="245"/>
              <w:spacing w:line="240" w:lineRule="auto"/>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2400</w:t>
            </w:r>
          </w:p>
        </w:tc>
        <w:tc>
          <w:tcPr>
            <w:tcW w:w="1073" w:type="pct"/>
            <w:vAlign w:val="center"/>
          </w:tcPr>
          <w:p w14:paraId="4DD39DB4">
            <w:pPr>
              <w:pStyle w:val="245"/>
              <w:spacing w:line="240" w:lineRule="auto"/>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0.0187</w:t>
            </w:r>
          </w:p>
        </w:tc>
      </w:tr>
      <w:tr w14:paraId="561F40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0" w:type="pct"/>
            <w:vAlign w:val="center"/>
          </w:tcPr>
          <w:p w14:paraId="5B646FCD">
            <w:pPr>
              <w:pStyle w:val="245"/>
              <w:spacing w:line="240" w:lineRule="auto"/>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2</w:t>
            </w:r>
          </w:p>
        </w:tc>
        <w:tc>
          <w:tcPr>
            <w:tcW w:w="1713" w:type="pct"/>
            <w:vAlign w:val="center"/>
          </w:tcPr>
          <w:p w14:paraId="3721FBB7">
            <w:pPr>
              <w:pStyle w:val="245"/>
              <w:spacing w:line="240" w:lineRule="auto"/>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2#分选车间</w:t>
            </w:r>
          </w:p>
        </w:tc>
        <w:tc>
          <w:tcPr>
            <w:tcW w:w="1025" w:type="pct"/>
            <w:vAlign w:val="center"/>
          </w:tcPr>
          <w:p w14:paraId="2DC27911">
            <w:pPr>
              <w:pStyle w:val="245"/>
              <w:spacing w:line="240" w:lineRule="auto"/>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45.90</w:t>
            </w:r>
          </w:p>
        </w:tc>
        <w:tc>
          <w:tcPr>
            <w:tcW w:w="769" w:type="pct"/>
            <w:vAlign w:val="center"/>
          </w:tcPr>
          <w:p w14:paraId="18AB55FF">
            <w:pPr>
              <w:pStyle w:val="245"/>
              <w:spacing w:line="240" w:lineRule="auto"/>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2400</w:t>
            </w:r>
          </w:p>
        </w:tc>
        <w:tc>
          <w:tcPr>
            <w:tcW w:w="1073" w:type="pct"/>
            <w:vAlign w:val="center"/>
          </w:tcPr>
          <w:p w14:paraId="000EE2CB">
            <w:pPr>
              <w:pStyle w:val="245"/>
              <w:spacing w:line="240" w:lineRule="auto"/>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0.0187</w:t>
            </w:r>
          </w:p>
        </w:tc>
      </w:tr>
    </w:tbl>
    <w:p w14:paraId="30C46687">
      <w:pPr>
        <w:pStyle w:val="2"/>
        <w:spacing w:line="360" w:lineRule="auto"/>
        <w:ind w:firstLine="482"/>
        <w:rPr>
          <w:rFonts w:ascii="Times New Roman" w:hAnsi="Times New Roman" w:cs="Times New Roman"/>
          <w:b/>
          <w:bCs/>
          <w:color w:val="000000" w:themeColor="text1"/>
          <w14:textFill>
            <w14:solidFill>
              <w14:schemeClr w14:val="tx1"/>
            </w14:solidFill>
          </w14:textFill>
        </w:rPr>
      </w:pPr>
    </w:p>
    <w:p w14:paraId="3C3FE8E1">
      <w:pPr>
        <w:widowControl w:val="0"/>
        <w:spacing w:after="0" w:line="360" w:lineRule="auto"/>
        <w:ind w:firstLine="474" w:firstLineChars="200"/>
        <w:jc w:val="both"/>
        <w:rPr>
          <w:rFonts w:ascii="Times New Roman" w:hAnsi="Times New Roman" w:eastAsia="宋体" w:cs="Times New Roman"/>
          <w:b/>
          <w:bCs/>
          <w:color w:val="000000" w:themeColor="text1"/>
          <w:spacing w:val="-2"/>
          <w:sz w:val="24"/>
          <w:szCs w:val="20"/>
          <w14:textFill>
            <w14:solidFill>
              <w14:schemeClr w14:val="tx1"/>
            </w14:solidFill>
          </w14:textFill>
        </w:rPr>
      </w:pPr>
      <w:r>
        <w:rPr>
          <w:rFonts w:ascii="Times New Roman" w:hAnsi="Times New Roman" w:eastAsia="宋体" w:cs="Times New Roman"/>
          <w:b/>
          <w:bCs/>
          <w:color w:val="000000" w:themeColor="text1"/>
          <w:spacing w:val="-2"/>
          <w:sz w:val="24"/>
          <w:szCs w:val="20"/>
          <w14:textFill>
            <w14:solidFill>
              <w14:schemeClr w14:val="tx1"/>
            </w14:solidFill>
          </w14:textFill>
        </w:rPr>
        <w:t>（</w:t>
      </w:r>
      <w:r>
        <w:rPr>
          <w:rFonts w:hint="eastAsia" w:ascii="Times New Roman" w:hAnsi="Times New Roman" w:eastAsia="宋体" w:cs="Times New Roman"/>
          <w:b/>
          <w:bCs/>
          <w:color w:val="000000" w:themeColor="text1"/>
          <w:spacing w:val="-2"/>
          <w:sz w:val="24"/>
          <w:szCs w:val="20"/>
          <w14:textFill>
            <w14:solidFill>
              <w14:schemeClr w14:val="tx1"/>
            </w14:solidFill>
          </w14:textFill>
        </w:rPr>
        <w:t>4</w:t>
      </w:r>
      <w:r>
        <w:rPr>
          <w:rFonts w:ascii="Times New Roman" w:hAnsi="Times New Roman" w:eastAsia="宋体" w:cs="Times New Roman"/>
          <w:b/>
          <w:bCs/>
          <w:color w:val="000000" w:themeColor="text1"/>
          <w:spacing w:val="-2"/>
          <w:sz w:val="24"/>
          <w:szCs w:val="20"/>
          <w14:textFill>
            <w14:solidFill>
              <w14:schemeClr w14:val="tx1"/>
            </w14:solidFill>
          </w14:textFill>
        </w:rPr>
        <w:t>）吸入放射性核素所致有效剂量估算</w:t>
      </w:r>
    </w:p>
    <w:p w14:paraId="7AD5CD70">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本项目工作人员吸入放射性核素所致有效剂量按照公式（式4.2-7），</w:t>
      </w:r>
      <w:r>
        <w:rPr>
          <w:rFonts w:hint="eastAsia" w:ascii="Times New Roman" w:hAnsi="Times New Roman" w:eastAsia="宋体" w:cs="Times New Roman"/>
          <w:color w:val="000000" w:themeColor="text1"/>
          <w:spacing w:val="-2"/>
          <w:sz w:val="24"/>
          <w:szCs w:val="20"/>
          <w14:textFill>
            <w14:solidFill>
              <w14:schemeClr w14:val="tx1"/>
            </w14:solidFill>
          </w14:textFill>
        </w:rPr>
        <w:t>项目工作场所的粉尘浓度按每班次无组织粉尘排放量/生产车间体积进行估算，</w:t>
      </w:r>
      <w:r>
        <w:rPr>
          <w:rFonts w:hint="eastAsia" w:ascii="Times New Roman" w:hAnsi="Times New Roman" w:eastAsia="宋体" w:cs="Times New Roman"/>
          <w:color w:val="000000" w:themeColor="text1"/>
          <w:spacing w:val="-2"/>
          <w:sz w:val="24"/>
          <w:szCs w:val="20"/>
          <w:u w:val="single"/>
          <w14:textFill>
            <w14:solidFill>
              <w14:schemeClr w14:val="tx1"/>
            </w14:solidFill>
          </w14:textFill>
        </w:rPr>
        <w:t>无组织粉尘排放量按项目环评报告书取值为0.5061t/a，即0.8435kg/班，项目车间内体积为21228.48m</w:t>
      </w:r>
      <w:r>
        <w:rPr>
          <w:rFonts w:hint="eastAsia" w:ascii="Times New Roman" w:hAnsi="Times New Roman" w:eastAsia="宋体" w:cs="Times New Roman"/>
          <w:color w:val="000000" w:themeColor="text1"/>
          <w:spacing w:val="-2"/>
          <w:sz w:val="24"/>
          <w:szCs w:val="20"/>
          <w:u w:val="single"/>
          <w:vertAlign w:val="superscript"/>
          <w14:textFill>
            <w14:solidFill>
              <w14:schemeClr w14:val="tx1"/>
            </w14:solidFill>
          </w14:textFill>
        </w:rPr>
        <w:t>3</w:t>
      </w:r>
      <w:r>
        <w:rPr>
          <w:rFonts w:hint="eastAsia" w:ascii="Times New Roman" w:hAnsi="Times New Roman" w:eastAsia="宋体" w:cs="Times New Roman"/>
          <w:color w:val="000000" w:themeColor="text1"/>
          <w:spacing w:val="-2"/>
          <w:sz w:val="24"/>
          <w:szCs w:val="20"/>
          <w:u w:val="single"/>
          <w14:textFill>
            <w14:solidFill>
              <w14:schemeClr w14:val="tx1"/>
            </w14:solidFill>
          </w14:textFill>
        </w:rPr>
        <w:t>，则工作场所粉尘浓度为39.7344mg/m</w:t>
      </w:r>
      <w:r>
        <w:rPr>
          <w:rFonts w:hint="eastAsia" w:ascii="Times New Roman" w:hAnsi="Times New Roman" w:eastAsia="宋体" w:cs="Times New Roman"/>
          <w:color w:val="000000" w:themeColor="text1"/>
          <w:spacing w:val="-2"/>
          <w:sz w:val="24"/>
          <w:szCs w:val="20"/>
          <w:u w:val="single"/>
          <w:vertAlign w:val="superscript"/>
          <w14:textFill>
            <w14:solidFill>
              <w14:schemeClr w14:val="tx1"/>
            </w14:solidFill>
          </w14:textFill>
        </w:rPr>
        <w:t>3</w:t>
      </w:r>
      <w:r>
        <w:rPr>
          <w:rFonts w:hint="eastAsia" w:ascii="Times New Roman" w:hAnsi="Times New Roman" w:eastAsia="宋体" w:cs="Times New Roman"/>
          <w:color w:val="000000" w:themeColor="text1"/>
          <w:spacing w:val="-2"/>
          <w:sz w:val="24"/>
          <w:szCs w:val="20"/>
          <w:u w:val="single"/>
          <w14:textFill>
            <w14:solidFill>
              <w14:schemeClr w14:val="tx1"/>
            </w14:solidFill>
          </w14:textFill>
        </w:rPr>
        <w:t>。</w:t>
      </w:r>
      <w:r>
        <w:rPr>
          <w:rFonts w:ascii="Times New Roman" w:hAnsi="Times New Roman" w:eastAsia="宋体" w:cs="Times New Roman"/>
          <w:color w:val="000000" w:themeColor="text1"/>
          <w:spacing w:val="-2"/>
          <w:sz w:val="24"/>
          <w:szCs w:val="20"/>
          <w14:textFill>
            <w14:solidFill>
              <w14:schemeClr w14:val="tx1"/>
            </w14:solidFill>
          </w14:textFill>
        </w:rPr>
        <w:t>工作人员吸入放射性核素所致有效剂量估算见表4.2</w:t>
      </w:r>
      <w:r>
        <w:rPr>
          <w:rFonts w:ascii="Times New Roman" w:hAnsi="Times New Roman" w:eastAsia="宋体" w:cs="Times New Roman"/>
          <w:color w:val="000000" w:themeColor="text1"/>
          <w:spacing w:val="-2"/>
          <w:sz w:val="24"/>
          <w:szCs w:val="20"/>
          <w14:textFill>
            <w14:solidFill>
              <w14:schemeClr w14:val="tx1"/>
            </w14:solidFill>
          </w14:textFill>
        </w:rPr>
        <w:noBreakHyphen/>
      </w:r>
      <w:r>
        <w:rPr>
          <w:rFonts w:ascii="Times New Roman" w:hAnsi="Times New Roman" w:eastAsia="宋体" w:cs="Times New Roman"/>
          <w:color w:val="000000" w:themeColor="text1"/>
          <w:spacing w:val="-2"/>
          <w:sz w:val="24"/>
          <w:szCs w:val="20"/>
          <w14:textFill>
            <w14:solidFill>
              <w14:schemeClr w14:val="tx1"/>
            </w14:solidFill>
          </w14:textFill>
        </w:rPr>
        <w:t>5。</w:t>
      </w:r>
    </w:p>
    <w:p w14:paraId="1E30129F">
      <w:pPr>
        <w:widowControl w:val="0"/>
        <w:spacing w:after="0" w:line="360" w:lineRule="auto"/>
        <w:jc w:val="center"/>
        <w:rPr>
          <w:rFonts w:ascii="Times New Roman" w:hAnsi="Times New Roman" w:eastAsia="宋体" w:cs="Times New Roman"/>
          <w:b/>
          <w:bCs/>
          <w:color w:val="000000" w:themeColor="text1"/>
          <w:spacing w:val="-2"/>
          <w:sz w:val="24"/>
          <w:szCs w:val="20"/>
          <w14:textFill>
            <w14:solidFill>
              <w14:schemeClr w14:val="tx1"/>
            </w14:solidFill>
          </w14:textFill>
        </w:rPr>
      </w:pPr>
      <w:r>
        <w:rPr>
          <w:rFonts w:ascii="Times New Roman" w:hAnsi="Times New Roman" w:eastAsia="宋体" w:cs="Times New Roman"/>
          <w:b/>
          <w:bCs/>
          <w:color w:val="000000" w:themeColor="text1"/>
          <w:spacing w:val="-2"/>
          <w:sz w:val="24"/>
          <w:szCs w:val="20"/>
          <w14:textFill>
            <w14:solidFill>
              <w14:schemeClr w14:val="tx1"/>
            </w14:solidFill>
          </w14:textFill>
        </w:rPr>
        <w:t>表4.2</w:t>
      </w:r>
      <w:r>
        <w:rPr>
          <w:rFonts w:ascii="Times New Roman" w:hAnsi="Times New Roman" w:eastAsia="宋体" w:cs="Times New Roman"/>
          <w:b/>
          <w:bCs/>
          <w:color w:val="000000" w:themeColor="text1"/>
          <w:spacing w:val="-2"/>
          <w:sz w:val="24"/>
          <w:szCs w:val="20"/>
          <w14:textFill>
            <w14:solidFill>
              <w14:schemeClr w14:val="tx1"/>
            </w14:solidFill>
          </w14:textFill>
        </w:rPr>
        <w:noBreakHyphen/>
      </w:r>
      <w:r>
        <w:rPr>
          <w:rFonts w:ascii="Times New Roman" w:hAnsi="Times New Roman" w:eastAsia="宋体" w:cs="Times New Roman"/>
          <w:b/>
          <w:bCs/>
          <w:color w:val="000000" w:themeColor="text1"/>
          <w:spacing w:val="-2"/>
          <w:sz w:val="24"/>
          <w:szCs w:val="20"/>
          <w14:textFill>
            <w14:solidFill>
              <w14:schemeClr w14:val="tx1"/>
            </w14:solidFill>
          </w14:textFill>
        </w:rPr>
        <w:t>5 工作人员吸入放射性核素所致有效剂量估算一览表</w:t>
      </w:r>
    </w:p>
    <w:tbl>
      <w:tblPr>
        <w:tblStyle w:val="46"/>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397"/>
        <w:gridCol w:w="970"/>
        <w:gridCol w:w="992"/>
        <w:gridCol w:w="1418"/>
        <w:gridCol w:w="1843"/>
        <w:gridCol w:w="794"/>
        <w:gridCol w:w="1276"/>
        <w:gridCol w:w="646"/>
      </w:tblGrid>
      <w:tr w14:paraId="23C14C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15" w:hRule="atLeast"/>
        </w:trPr>
        <w:tc>
          <w:tcPr>
            <w:tcW w:w="0" w:type="auto"/>
            <w:vMerge w:val="restart"/>
            <w:tcMar>
              <w:top w:w="15" w:type="dxa"/>
              <w:left w:w="15" w:type="dxa"/>
              <w:right w:w="15" w:type="dxa"/>
            </w:tcMar>
            <w:vAlign w:val="center"/>
          </w:tcPr>
          <w:p w14:paraId="35472638">
            <w:pPr>
              <w:pStyle w:val="249"/>
              <w:spacing w:line="240" w:lineRule="auto"/>
              <w:rPr>
                <w:rFonts w:ascii="Times New Roman" w:hAnsi="Times New Roman"/>
                <w:b/>
                <w:color w:val="000000" w:themeColor="text1"/>
                <w:szCs w:val="21"/>
                <w14:textFill>
                  <w14:solidFill>
                    <w14:schemeClr w14:val="tx1"/>
                  </w14:solidFill>
                </w14:textFill>
              </w:rPr>
            </w:pPr>
            <w:r>
              <w:rPr>
                <w:rFonts w:ascii="Times New Roman" w:hAnsi="Times New Roman"/>
                <w:b/>
                <w:color w:val="000000" w:themeColor="text1"/>
                <w:szCs w:val="21"/>
                <w14:textFill>
                  <w14:solidFill>
                    <w14:schemeClr w14:val="tx1"/>
                  </w14:solidFill>
                </w14:textFill>
              </w:rPr>
              <w:t>序号</w:t>
            </w:r>
          </w:p>
        </w:tc>
        <w:tc>
          <w:tcPr>
            <w:tcW w:w="970" w:type="dxa"/>
            <w:vMerge w:val="restart"/>
            <w:tcMar>
              <w:top w:w="15" w:type="dxa"/>
              <w:left w:w="15" w:type="dxa"/>
              <w:right w:w="15" w:type="dxa"/>
            </w:tcMar>
            <w:vAlign w:val="center"/>
          </w:tcPr>
          <w:p w14:paraId="0591FEA0">
            <w:pPr>
              <w:pStyle w:val="249"/>
              <w:spacing w:line="240" w:lineRule="auto"/>
              <w:rPr>
                <w:rFonts w:ascii="Times New Roman" w:hAnsi="Times New Roman"/>
                <w:b/>
                <w:color w:val="000000" w:themeColor="text1"/>
                <w:szCs w:val="21"/>
                <w14:textFill>
                  <w14:solidFill>
                    <w14:schemeClr w14:val="tx1"/>
                  </w14:solidFill>
                </w14:textFill>
              </w:rPr>
            </w:pPr>
            <w:r>
              <w:rPr>
                <w:rFonts w:ascii="Times New Roman" w:hAnsi="Times New Roman"/>
                <w:b/>
                <w:color w:val="000000" w:themeColor="text1"/>
                <w:szCs w:val="21"/>
                <w14:textFill>
                  <w14:solidFill>
                    <w14:schemeClr w14:val="tx1"/>
                  </w14:solidFill>
                </w14:textFill>
              </w:rPr>
              <w:t>工作场所操作工位</w:t>
            </w:r>
          </w:p>
        </w:tc>
        <w:tc>
          <w:tcPr>
            <w:tcW w:w="992" w:type="dxa"/>
            <w:vMerge w:val="restart"/>
            <w:tcMar>
              <w:top w:w="15" w:type="dxa"/>
              <w:left w:w="15" w:type="dxa"/>
              <w:right w:w="15" w:type="dxa"/>
            </w:tcMar>
            <w:vAlign w:val="center"/>
          </w:tcPr>
          <w:p w14:paraId="4CE1F027">
            <w:pPr>
              <w:pStyle w:val="249"/>
              <w:spacing w:line="240" w:lineRule="auto"/>
              <w:rPr>
                <w:rFonts w:ascii="Times New Roman" w:hAnsi="Times New Roman"/>
                <w:b/>
                <w:color w:val="000000" w:themeColor="text1"/>
                <w:szCs w:val="21"/>
                <w14:textFill>
                  <w14:solidFill>
                    <w14:schemeClr w14:val="tx1"/>
                  </w14:solidFill>
                </w14:textFill>
              </w:rPr>
            </w:pPr>
            <w:r>
              <w:rPr>
                <w:rFonts w:ascii="Times New Roman" w:hAnsi="Times New Roman"/>
                <w:b/>
                <w:color w:val="000000" w:themeColor="text1"/>
                <w:szCs w:val="21"/>
                <w14:textFill>
                  <w14:solidFill>
                    <w14:schemeClr w14:val="tx1"/>
                  </w14:solidFill>
                </w14:textFill>
              </w:rPr>
              <w:t>核素</w:t>
            </w:r>
          </w:p>
        </w:tc>
        <w:tc>
          <w:tcPr>
            <w:tcW w:w="1418" w:type="dxa"/>
            <w:noWrap/>
            <w:tcMar>
              <w:top w:w="15" w:type="dxa"/>
              <w:left w:w="15" w:type="dxa"/>
              <w:right w:w="15" w:type="dxa"/>
            </w:tcMar>
            <w:vAlign w:val="center"/>
          </w:tcPr>
          <w:p w14:paraId="12C6F292">
            <w:pPr>
              <w:pStyle w:val="249"/>
              <w:spacing w:line="240" w:lineRule="auto"/>
              <w:rPr>
                <w:rFonts w:ascii="Times New Roman" w:hAnsi="Times New Roman"/>
                <w:b/>
                <w:color w:val="000000" w:themeColor="text1"/>
                <w:szCs w:val="21"/>
                <w14:textFill>
                  <w14:solidFill>
                    <w14:schemeClr w14:val="tx1"/>
                  </w14:solidFill>
                </w14:textFill>
              </w:rPr>
            </w:pPr>
            <w:r>
              <w:rPr>
                <w:rFonts w:ascii="Times New Roman" w:hAnsi="Times New Roman"/>
                <w:b/>
                <w:color w:val="000000" w:themeColor="text1"/>
                <w:szCs w:val="21"/>
                <w14:textFill>
                  <w14:solidFill>
                    <w14:schemeClr w14:val="tx1"/>
                  </w14:solidFill>
                </w14:textFill>
              </w:rPr>
              <w:t>放射性比活度</w:t>
            </w:r>
          </w:p>
        </w:tc>
        <w:tc>
          <w:tcPr>
            <w:tcW w:w="2637" w:type="dxa"/>
            <w:gridSpan w:val="2"/>
            <w:noWrap/>
            <w:tcMar>
              <w:top w:w="15" w:type="dxa"/>
              <w:left w:w="15" w:type="dxa"/>
              <w:right w:w="15" w:type="dxa"/>
            </w:tcMar>
            <w:vAlign w:val="center"/>
          </w:tcPr>
          <w:p w14:paraId="75547BD1">
            <w:pPr>
              <w:pStyle w:val="249"/>
              <w:spacing w:line="240" w:lineRule="auto"/>
              <w:rPr>
                <w:rFonts w:ascii="Times New Roman" w:hAnsi="Times New Roman"/>
                <w:b/>
                <w:color w:val="000000" w:themeColor="text1"/>
                <w:szCs w:val="21"/>
                <w14:textFill>
                  <w14:solidFill>
                    <w14:schemeClr w14:val="tx1"/>
                  </w14:solidFill>
                </w14:textFill>
              </w:rPr>
            </w:pPr>
            <w:r>
              <w:rPr>
                <w:rFonts w:ascii="Times New Roman" w:hAnsi="Times New Roman"/>
                <w:b/>
                <w:color w:val="000000" w:themeColor="text1"/>
                <w:szCs w:val="21"/>
                <w14:textFill>
                  <w14:solidFill>
                    <w14:schemeClr w14:val="tx1"/>
                  </w14:solidFill>
                </w14:textFill>
              </w:rPr>
              <w:t>吸入粉尘中核素所致剂量（mSv/a）</w:t>
            </w:r>
          </w:p>
        </w:tc>
        <w:tc>
          <w:tcPr>
            <w:tcW w:w="1276" w:type="dxa"/>
            <w:noWrap/>
            <w:tcMar>
              <w:top w:w="15" w:type="dxa"/>
              <w:left w:w="15" w:type="dxa"/>
              <w:right w:w="15" w:type="dxa"/>
            </w:tcMar>
            <w:vAlign w:val="center"/>
          </w:tcPr>
          <w:p w14:paraId="451EE448">
            <w:pPr>
              <w:pStyle w:val="249"/>
              <w:spacing w:line="240" w:lineRule="auto"/>
              <w:rPr>
                <w:rFonts w:ascii="Times New Roman" w:hAnsi="Times New Roman"/>
                <w:b/>
                <w:color w:val="000000" w:themeColor="text1"/>
                <w:szCs w:val="21"/>
                <w14:textFill>
                  <w14:solidFill>
                    <w14:schemeClr w14:val="tx1"/>
                  </w14:solidFill>
                </w14:textFill>
              </w:rPr>
            </w:pPr>
            <w:r>
              <w:rPr>
                <w:rFonts w:ascii="Times New Roman" w:hAnsi="Times New Roman"/>
                <w:b/>
                <w:color w:val="000000" w:themeColor="text1"/>
                <w:szCs w:val="21"/>
                <w14:textFill>
                  <w14:solidFill>
                    <w14:schemeClr w14:val="tx1"/>
                  </w14:solidFill>
                </w14:textFill>
              </w:rPr>
              <w:t>工作场所粉尘浓度</w:t>
            </w:r>
          </w:p>
        </w:tc>
        <w:tc>
          <w:tcPr>
            <w:tcW w:w="646" w:type="dxa"/>
            <w:noWrap/>
            <w:tcMar>
              <w:top w:w="15" w:type="dxa"/>
              <w:left w:w="15" w:type="dxa"/>
              <w:right w:w="15" w:type="dxa"/>
            </w:tcMar>
            <w:vAlign w:val="center"/>
          </w:tcPr>
          <w:p w14:paraId="4D28729A">
            <w:pPr>
              <w:pStyle w:val="249"/>
              <w:spacing w:line="240" w:lineRule="auto"/>
              <w:rPr>
                <w:rFonts w:ascii="Times New Roman" w:hAnsi="Times New Roman"/>
                <w:b/>
                <w:color w:val="000000" w:themeColor="text1"/>
                <w:szCs w:val="21"/>
                <w14:textFill>
                  <w14:solidFill>
                    <w14:schemeClr w14:val="tx1"/>
                  </w14:solidFill>
                </w14:textFill>
              </w:rPr>
            </w:pPr>
            <w:r>
              <w:rPr>
                <w:rFonts w:ascii="Times New Roman" w:hAnsi="Times New Roman"/>
                <w:b/>
                <w:color w:val="000000" w:themeColor="text1"/>
                <w:szCs w:val="21"/>
                <w14:textFill>
                  <w14:solidFill>
                    <w14:schemeClr w14:val="tx1"/>
                  </w14:solidFill>
                </w14:textFill>
              </w:rPr>
              <w:t>时间</w:t>
            </w:r>
          </w:p>
        </w:tc>
      </w:tr>
      <w:tr w14:paraId="7EA885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15" w:hRule="atLeast"/>
        </w:trPr>
        <w:tc>
          <w:tcPr>
            <w:tcW w:w="0" w:type="auto"/>
            <w:vMerge w:val="continue"/>
            <w:tcMar>
              <w:top w:w="15" w:type="dxa"/>
              <w:left w:w="15" w:type="dxa"/>
              <w:right w:w="15" w:type="dxa"/>
            </w:tcMar>
            <w:vAlign w:val="center"/>
          </w:tcPr>
          <w:p w14:paraId="49A53EF6">
            <w:pPr>
              <w:pStyle w:val="249"/>
              <w:spacing w:line="240" w:lineRule="auto"/>
              <w:rPr>
                <w:rFonts w:ascii="Times New Roman" w:hAnsi="Times New Roman"/>
                <w:color w:val="000000" w:themeColor="text1"/>
                <w:szCs w:val="21"/>
                <w14:textFill>
                  <w14:solidFill>
                    <w14:schemeClr w14:val="tx1"/>
                  </w14:solidFill>
                </w14:textFill>
              </w:rPr>
            </w:pPr>
          </w:p>
        </w:tc>
        <w:tc>
          <w:tcPr>
            <w:tcW w:w="970" w:type="dxa"/>
            <w:vMerge w:val="continue"/>
            <w:tcMar>
              <w:top w:w="15" w:type="dxa"/>
              <w:left w:w="15" w:type="dxa"/>
              <w:right w:w="15" w:type="dxa"/>
            </w:tcMar>
            <w:vAlign w:val="center"/>
          </w:tcPr>
          <w:p w14:paraId="636D3CFB">
            <w:pPr>
              <w:pStyle w:val="249"/>
              <w:spacing w:line="240" w:lineRule="auto"/>
              <w:rPr>
                <w:rFonts w:ascii="Times New Roman" w:hAnsi="Times New Roman"/>
                <w:color w:val="000000" w:themeColor="text1"/>
                <w:szCs w:val="21"/>
                <w14:textFill>
                  <w14:solidFill>
                    <w14:schemeClr w14:val="tx1"/>
                  </w14:solidFill>
                </w14:textFill>
              </w:rPr>
            </w:pPr>
          </w:p>
        </w:tc>
        <w:tc>
          <w:tcPr>
            <w:tcW w:w="992" w:type="dxa"/>
            <w:vMerge w:val="continue"/>
            <w:tcMar>
              <w:top w:w="15" w:type="dxa"/>
              <w:left w:w="15" w:type="dxa"/>
              <w:right w:w="15" w:type="dxa"/>
            </w:tcMar>
            <w:vAlign w:val="center"/>
          </w:tcPr>
          <w:p w14:paraId="70C94C50">
            <w:pPr>
              <w:pStyle w:val="249"/>
              <w:spacing w:line="240" w:lineRule="auto"/>
              <w:rPr>
                <w:rFonts w:ascii="Times New Roman" w:hAnsi="Times New Roman"/>
                <w:color w:val="000000" w:themeColor="text1"/>
                <w:szCs w:val="21"/>
                <w14:textFill>
                  <w14:solidFill>
                    <w14:schemeClr w14:val="tx1"/>
                  </w14:solidFill>
                </w14:textFill>
              </w:rPr>
            </w:pPr>
          </w:p>
        </w:tc>
        <w:tc>
          <w:tcPr>
            <w:tcW w:w="1418" w:type="dxa"/>
            <w:noWrap/>
            <w:tcMar>
              <w:top w:w="15" w:type="dxa"/>
              <w:left w:w="15" w:type="dxa"/>
              <w:right w:w="15" w:type="dxa"/>
            </w:tcMar>
            <w:vAlign w:val="center"/>
          </w:tcPr>
          <w:p w14:paraId="75817ED0">
            <w:pPr>
              <w:pStyle w:val="249"/>
              <w:spacing w:line="240" w:lineRule="auto"/>
              <w:rPr>
                <w:rFonts w:ascii="Times New Roman" w:hAnsi="Times New Roman"/>
                <w:b/>
                <w:color w:val="000000" w:themeColor="text1"/>
                <w:szCs w:val="21"/>
                <w14:textFill>
                  <w14:solidFill>
                    <w14:schemeClr w14:val="tx1"/>
                  </w14:solidFill>
                </w14:textFill>
              </w:rPr>
            </w:pPr>
            <w:r>
              <w:rPr>
                <w:rFonts w:ascii="Times New Roman" w:hAnsi="Times New Roman"/>
                <w:b/>
                <w:color w:val="000000" w:themeColor="text1"/>
                <w:szCs w:val="21"/>
                <w14:textFill>
                  <w14:solidFill>
                    <w14:schemeClr w14:val="tx1"/>
                  </w14:solidFill>
                </w14:textFill>
              </w:rPr>
              <w:t>Bq/kg</w:t>
            </w:r>
          </w:p>
        </w:tc>
        <w:tc>
          <w:tcPr>
            <w:tcW w:w="1843" w:type="dxa"/>
            <w:noWrap/>
            <w:tcMar>
              <w:top w:w="15" w:type="dxa"/>
              <w:left w:w="15" w:type="dxa"/>
              <w:right w:w="15" w:type="dxa"/>
            </w:tcMar>
            <w:vAlign w:val="center"/>
          </w:tcPr>
          <w:p w14:paraId="03EAE52E">
            <w:pPr>
              <w:pStyle w:val="249"/>
              <w:spacing w:line="240" w:lineRule="auto"/>
              <w:rPr>
                <w:rFonts w:ascii="Times New Roman" w:hAnsi="Times New Roman"/>
                <w:b/>
                <w:color w:val="000000" w:themeColor="text1"/>
                <w:szCs w:val="21"/>
                <w14:textFill>
                  <w14:solidFill>
                    <w14:schemeClr w14:val="tx1"/>
                  </w14:solidFill>
                </w14:textFill>
              </w:rPr>
            </w:pPr>
            <w:r>
              <w:rPr>
                <w:rFonts w:ascii="Times New Roman" w:hAnsi="Times New Roman"/>
                <w:b/>
                <w:color w:val="000000" w:themeColor="text1"/>
                <w:szCs w:val="21"/>
                <w14:textFill>
                  <w14:solidFill>
                    <w14:schemeClr w14:val="tx1"/>
                  </w14:solidFill>
                </w14:textFill>
              </w:rPr>
              <w:t>单个核素所致剂量</w:t>
            </w:r>
          </w:p>
        </w:tc>
        <w:tc>
          <w:tcPr>
            <w:tcW w:w="794" w:type="dxa"/>
            <w:noWrap/>
            <w:tcMar>
              <w:top w:w="15" w:type="dxa"/>
              <w:left w:w="15" w:type="dxa"/>
              <w:right w:w="15" w:type="dxa"/>
            </w:tcMar>
            <w:vAlign w:val="center"/>
          </w:tcPr>
          <w:p w14:paraId="6566D3AD">
            <w:pPr>
              <w:pStyle w:val="249"/>
              <w:spacing w:line="240" w:lineRule="auto"/>
              <w:rPr>
                <w:rFonts w:ascii="Times New Roman" w:hAnsi="Times New Roman"/>
                <w:b/>
                <w:color w:val="000000" w:themeColor="text1"/>
                <w:szCs w:val="21"/>
                <w14:textFill>
                  <w14:solidFill>
                    <w14:schemeClr w14:val="tx1"/>
                  </w14:solidFill>
                </w14:textFill>
              </w:rPr>
            </w:pPr>
            <w:r>
              <w:rPr>
                <w:rFonts w:ascii="Times New Roman" w:hAnsi="Times New Roman"/>
                <w:b/>
                <w:color w:val="000000" w:themeColor="text1"/>
                <w:szCs w:val="21"/>
                <w14:textFill>
                  <w14:solidFill>
                    <w14:schemeClr w14:val="tx1"/>
                  </w14:solidFill>
                </w14:textFill>
              </w:rPr>
              <w:t>合计</w:t>
            </w:r>
          </w:p>
        </w:tc>
        <w:tc>
          <w:tcPr>
            <w:tcW w:w="1276" w:type="dxa"/>
            <w:noWrap/>
            <w:tcMar>
              <w:top w:w="15" w:type="dxa"/>
              <w:left w:w="15" w:type="dxa"/>
              <w:right w:w="15" w:type="dxa"/>
            </w:tcMar>
            <w:vAlign w:val="center"/>
          </w:tcPr>
          <w:p w14:paraId="34D37601">
            <w:pPr>
              <w:pStyle w:val="249"/>
              <w:spacing w:line="240" w:lineRule="auto"/>
              <w:rPr>
                <w:rFonts w:ascii="Times New Roman" w:hAnsi="Times New Roman"/>
                <w:b/>
                <w:color w:val="000000" w:themeColor="text1"/>
                <w:szCs w:val="21"/>
                <w14:textFill>
                  <w14:solidFill>
                    <w14:schemeClr w14:val="tx1"/>
                  </w14:solidFill>
                </w14:textFill>
              </w:rPr>
            </w:pPr>
            <w:r>
              <w:rPr>
                <w:rFonts w:ascii="Times New Roman" w:hAnsi="Times New Roman"/>
                <w:b/>
                <w:color w:val="000000" w:themeColor="text1"/>
                <w:szCs w:val="21"/>
                <w14:textFill>
                  <w14:solidFill>
                    <w14:schemeClr w14:val="tx1"/>
                  </w14:solidFill>
                </w14:textFill>
              </w:rPr>
              <w:t>mg/m</w:t>
            </w:r>
            <w:r>
              <w:rPr>
                <w:rFonts w:ascii="Times New Roman" w:hAnsi="Times New Roman"/>
                <w:b/>
                <w:color w:val="000000" w:themeColor="text1"/>
                <w:szCs w:val="21"/>
                <w:vertAlign w:val="superscript"/>
                <w14:textFill>
                  <w14:solidFill>
                    <w14:schemeClr w14:val="tx1"/>
                  </w14:solidFill>
                </w14:textFill>
              </w:rPr>
              <w:t>3</w:t>
            </w:r>
          </w:p>
        </w:tc>
        <w:tc>
          <w:tcPr>
            <w:tcW w:w="646" w:type="dxa"/>
            <w:noWrap/>
            <w:tcMar>
              <w:top w:w="15" w:type="dxa"/>
              <w:left w:w="15" w:type="dxa"/>
              <w:right w:w="15" w:type="dxa"/>
            </w:tcMar>
            <w:vAlign w:val="center"/>
          </w:tcPr>
          <w:p w14:paraId="2F62DC41">
            <w:pPr>
              <w:pStyle w:val="249"/>
              <w:spacing w:line="240" w:lineRule="auto"/>
              <w:rPr>
                <w:rFonts w:ascii="Times New Roman" w:hAnsi="Times New Roman"/>
                <w:b/>
                <w:color w:val="000000" w:themeColor="text1"/>
                <w:szCs w:val="21"/>
                <w14:textFill>
                  <w14:solidFill>
                    <w14:schemeClr w14:val="tx1"/>
                  </w14:solidFill>
                </w14:textFill>
              </w:rPr>
            </w:pPr>
            <w:r>
              <w:rPr>
                <w:rFonts w:ascii="Times New Roman" w:hAnsi="Times New Roman"/>
                <w:b/>
                <w:color w:val="000000" w:themeColor="text1"/>
                <w:szCs w:val="21"/>
                <w14:textFill>
                  <w14:solidFill>
                    <w14:schemeClr w14:val="tx1"/>
                  </w14:solidFill>
                </w14:textFill>
              </w:rPr>
              <w:t>h</w:t>
            </w:r>
          </w:p>
        </w:tc>
      </w:tr>
      <w:tr w14:paraId="0FD46C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15" w:hRule="atLeast"/>
        </w:trPr>
        <w:tc>
          <w:tcPr>
            <w:tcW w:w="0" w:type="auto"/>
            <w:vMerge w:val="restart"/>
            <w:tcMar>
              <w:top w:w="15" w:type="dxa"/>
              <w:left w:w="15" w:type="dxa"/>
              <w:right w:w="15" w:type="dxa"/>
            </w:tcMar>
            <w:vAlign w:val="center"/>
          </w:tcPr>
          <w:p w14:paraId="2226A68C">
            <w:pPr>
              <w:pStyle w:val="249"/>
              <w:spacing w:line="240" w:lineRule="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w:t>
            </w:r>
          </w:p>
        </w:tc>
        <w:tc>
          <w:tcPr>
            <w:tcW w:w="970" w:type="dxa"/>
            <w:vMerge w:val="restart"/>
            <w:tcMar>
              <w:top w:w="15" w:type="dxa"/>
              <w:left w:w="15" w:type="dxa"/>
              <w:right w:w="15" w:type="dxa"/>
            </w:tcMar>
            <w:vAlign w:val="center"/>
          </w:tcPr>
          <w:p w14:paraId="3FD00D6B">
            <w:pPr>
              <w:pStyle w:val="249"/>
              <w:spacing w:line="240" w:lineRule="auto"/>
              <w:rPr>
                <w:rFonts w:ascii="Times New Roman" w:hAnsi="Times New Roman"/>
                <w:color w:val="000000" w:themeColor="text1"/>
                <w:szCs w:val="2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1#原料处理车间</w:t>
            </w:r>
          </w:p>
        </w:tc>
        <w:tc>
          <w:tcPr>
            <w:tcW w:w="992" w:type="dxa"/>
            <w:tcMar>
              <w:top w:w="15" w:type="dxa"/>
              <w:left w:w="15" w:type="dxa"/>
              <w:right w:w="15" w:type="dxa"/>
            </w:tcMar>
            <w:vAlign w:val="center"/>
          </w:tcPr>
          <w:p w14:paraId="2B9FA36E">
            <w:pPr>
              <w:pStyle w:val="249"/>
              <w:spacing w:line="240" w:lineRule="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vertAlign w:val="superscript"/>
                <w14:textFill>
                  <w14:solidFill>
                    <w14:schemeClr w14:val="tx1"/>
                  </w14:solidFill>
                </w14:textFill>
              </w:rPr>
              <w:t>238</w:t>
            </w:r>
            <w:r>
              <w:rPr>
                <w:rFonts w:ascii="Times New Roman" w:hAnsi="Times New Roman"/>
                <w:color w:val="000000" w:themeColor="text1"/>
                <w:szCs w:val="21"/>
                <w14:textFill>
                  <w14:solidFill>
                    <w14:schemeClr w14:val="tx1"/>
                  </w14:solidFill>
                </w14:textFill>
              </w:rPr>
              <w:t>U</w:t>
            </w:r>
          </w:p>
        </w:tc>
        <w:tc>
          <w:tcPr>
            <w:tcW w:w="1418" w:type="dxa"/>
            <w:noWrap/>
            <w:tcMar>
              <w:top w:w="15" w:type="dxa"/>
              <w:left w:w="15" w:type="dxa"/>
              <w:right w:w="15" w:type="dxa"/>
            </w:tcMar>
            <w:vAlign w:val="center"/>
          </w:tcPr>
          <w:p w14:paraId="264D7978">
            <w:pPr>
              <w:pStyle w:val="249"/>
              <w:spacing w:line="240" w:lineRule="auto"/>
              <w:rPr>
                <w:rFonts w:ascii="Times New Roman" w:hAnsi="Times New Roman"/>
                <w:color w:val="000000" w:themeColor="text1"/>
                <w:szCs w:val="21"/>
                <w:u w:val="single"/>
                <w14:textFill>
                  <w14:solidFill>
                    <w14:schemeClr w14:val="tx1"/>
                  </w14:solidFill>
                </w14:textFill>
              </w:rPr>
            </w:pPr>
            <w:r>
              <w:rPr>
                <w:rFonts w:ascii="Times New Roman" w:hAnsi="Times New Roman" w:eastAsia="等线"/>
                <w:color w:val="000000" w:themeColor="text1"/>
                <w:szCs w:val="21"/>
                <w:u w:val="single"/>
                <w14:textFill>
                  <w14:solidFill>
                    <w14:schemeClr w14:val="tx1"/>
                  </w14:solidFill>
                </w14:textFill>
              </w:rPr>
              <w:t>1656.6</w:t>
            </w:r>
          </w:p>
        </w:tc>
        <w:tc>
          <w:tcPr>
            <w:tcW w:w="1843" w:type="dxa"/>
            <w:noWrap/>
            <w:tcMar>
              <w:top w:w="15" w:type="dxa"/>
              <w:left w:w="15" w:type="dxa"/>
              <w:right w:w="15" w:type="dxa"/>
            </w:tcMar>
            <w:vAlign w:val="center"/>
          </w:tcPr>
          <w:p w14:paraId="0539C784">
            <w:pPr>
              <w:pStyle w:val="249"/>
              <w:spacing w:line="240" w:lineRule="auto"/>
              <w:rPr>
                <w:rFonts w:ascii="Times New Roman" w:hAnsi="Times New Roman"/>
                <w:color w:val="000000" w:themeColor="text1"/>
                <w:szCs w:val="21"/>
                <w:u w:val="single"/>
                <w14:textFill>
                  <w14:solidFill>
                    <w14:schemeClr w14:val="tx1"/>
                  </w14:solidFill>
                </w14:textFill>
              </w:rPr>
            </w:pPr>
            <w:r>
              <w:rPr>
                <w:rFonts w:ascii="Times New Roman" w:hAnsi="Times New Roman" w:eastAsia="等线"/>
                <w:color w:val="000000" w:themeColor="text1"/>
                <w:szCs w:val="21"/>
                <w:u w:val="single"/>
                <w14:textFill>
                  <w14:solidFill>
                    <w14:schemeClr w14:val="tx1"/>
                  </w14:solidFill>
                </w14:textFill>
              </w:rPr>
              <w:t xml:space="preserve">0.0550 </w:t>
            </w:r>
          </w:p>
        </w:tc>
        <w:tc>
          <w:tcPr>
            <w:tcW w:w="794" w:type="dxa"/>
            <w:vMerge w:val="restart"/>
            <w:noWrap/>
            <w:tcMar>
              <w:top w:w="15" w:type="dxa"/>
              <w:left w:w="15" w:type="dxa"/>
              <w:right w:w="15" w:type="dxa"/>
            </w:tcMar>
            <w:vAlign w:val="center"/>
          </w:tcPr>
          <w:p w14:paraId="14A7BB0B">
            <w:pPr>
              <w:pStyle w:val="249"/>
              <w:spacing w:line="240" w:lineRule="auto"/>
              <w:rPr>
                <w:rFonts w:ascii="Times New Roman" w:hAnsi="Times New Roman"/>
                <w:color w:val="000000" w:themeColor="text1"/>
                <w:szCs w:val="21"/>
                <w:u w:val="single"/>
                <w14:textFill>
                  <w14:solidFill>
                    <w14:schemeClr w14:val="tx1"/>
                  </w14:solidFill>
                </w14:textFill>
              </w:rPr>
            </w:pPr>
            <w:r>
              <w:rPr>
                <w:rFonts w:hint="eastAsia" w:ascii="Times New Roman" w:hAnsi="Times New Roman"/>
                <w:color w:val="000000" w:themeColor="text1"/>
                <w:szCs w:val="21"/>
                <w:u w:val="single"/>
                <w14:textFill>
                  <w14:solidFill>
                    <w14:schemeClr w14:val="tx1"/>
                  </w14:solidFill>
                </w14:textFill>
              </w:rPr>
              <w:t>0.5452</w:t>
            </w:r>
          </w:p>
        </w:tc>
        <w:tc>
          <w:tcPr>
            <w:tcW w:w="1276" w:type="dxa"/>
            <w:vMerge w:val="restart"/>
            <w:noWrap/>
            <w:tcMar>
              <w:top w:w="15" w:type="dxa"/>
              <w:left w:w="15" w:type="dxa"/>
              <w:right w:w="15" w:type="dxa"/>
            </w:tcMar>
            <w:vAlign w:val="center"/>
          </w:tcPr>
          <w:p w14:paraId="01BF4F4B">
            <w:pPr>
              <w:pStyle w:val="249"/>
              <w:spacing w:line="240" w:lineRule="auto"/>
              <w:rPr>
                <w:rFonts w:ascii="Times New Roman" w:hAnsi="Times New Roman"/>
                <w:color w:val="000000" w:themeColor="text1"/>
                <w:szCs w:val="21"/>
                <w:u w:val="single"/>
                <w14:textFill>
                  <w14:solidFill>
                    <w14:schemeClr w14:val="tx1"/>
                  </w14:solidFill>
                </w14:textFill>
              </w:rPr>
            </w:pPr>
            <w:r>
              <w:rPr>
                <w:rFonts w:hint="eastAsia" w:ascii="Times New Roman" w:hAnsi="Times New Roman"/>
                <w:color w:val="000000" w:themeColor="text1"/>
                <w:szCs w:val="21"/>
                <w:u w:val="single"/>
                <w14:textFill>
                  <w14:solidFill>
                    <w14:schemeClr w14:val="tx1"/>
                  </w14:solidFill>
                </w14:textFill>
              </w:rPr>
              <w:t>39.7344</w:t>
            </w:r>
          </w:p>
        </w:tc>
        <w:tc>
          <w:tcPr>
            <w:tcW w:w="646" w:type="dxa"/>
            <w:vMerge w:val="restart"/>
            <w:noWrap/>
            <w:tcMar>
              <w:top w:w="15" w:type="dxa"/>
              <w:left w:w="15" w:type="dxa"/>
              <w:right w:w="15" w:type="dxa"/>
            </w:tcMar>
            <w:vAlign w:val="center"/>
          </w:tcPr>
          <w:p w14:paraId="2351AFDD">
            <w:pPr>
              <w:pStyle w:val="249"/>
              <w:spacing w:line="240" w:lineRule="auto"/>
              <w:rPr>
                <w:rFonts w:ascii="Times New Roman" w:hAnsi="Times New Roman"/>
                <w:color w:val="000000" w:themeColor="text1"/>
                <w:szCs w:val="2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2400</w:t>
            </w:r>
          </w:p>
        </w:tc>
      </w:tr>
      <w:tr w14:paraId="5245F3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15" w:hRule="atLeast"/>
        </w:trPr>
        <w:tc>
          <w:tcPr>
            <w:tcW w:w="0" w:type="auto"/>
            <w:vMerge w:val="continue"/>
            <w:tcMar>
              <w:top w:w="15" w:type="dxa"/>
              <w:left w:w="15" w:type="dxa"/>
              <w:right w:w="15" w:type="dxa"/>
            </w:tcMar>
            <w:vAlign w:val="center"/>
          </w:tcPr>
          <w:p w14:paraId="6363C76B">
            <w:pPr>
              <w:pStyle w:val="249"/>
              <w:spacing w:line="240" w:lineRule="auto"/>
              <w:rPr>
                <w:rFonts w:ascii="Times New Roman" w:hAnsi="Times New Roman"/>
                <w:color w:val="000000" w:themeColor="text1"/>
                <w:szCs w:val="21"/>
                <w14:textFill>
                  <w14:solidFill>
                    <w14:schemeClr w14:val="tx1"/>
                  </w14:solidFill>
                </w14:textFill>
              </w:rPr>
            </w:pPr>
          </w:p>
        </w:tc>
        <w:tc>
          <w:tcPr>
            <w:tcW w:w="970" w:type="dxa"/>
            <w:vMerge w:val="continue"/>
            <w:tcMar>
              <w:top w:w="15" w:type="dxa"/>
              <w:left w:w="15" w:type="dxa"/>
              <w:right w:w="15" w:type="dxa"/>
            </w:tcMar>
            <w:vAlign w:val="center"/>
          </w:tcPr>
          <w:p w14:paraId="05E62F5D">
            <w:pPr>
              <w:pStyle w:val="249"/>
              <w:spacing w:line="240" w:lineRule="auto"/>
              <w:rPr>
                <w:rFonts w:ascii="Times New Roman" w:hAnsi="Times New Roman"/>
                <w:color w:val="000000" w:themeColor="text1"/>
                <w:szCs w:val="21"/>
                <w14:textFill>
                  <w14:solidFill>
                    <w14:schemeClr w14:val="tx1"/>
                  </w14:solidFill>
                </w14:textFill>
              </w:rPr>
            </w:pPr>
          </w:p>
        </w:tc>
        <w:tc>
          <w:tcPr>
            <w:tcW w:w="992" w:type="dxa"/>
            <w:tcMar>
              <w:top w:w="15" w:type="dxa"/>
              <w:left w:w="15" w:type="dxa"/>
              <w:right w:w="15" w:type="dxa"/>
            </w:tcMar>
            <w:vAlign w:val="center"/>
          </w:tcPr>
          <w:p w14:paraId="6AB3ADF1">
            <w:pPr>
              <w:pStyle w:val="249"/>
              <w:spacing w:line="240" w:lineRule="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vertAlign w:val="superscript"/>
                <w14:textFill>
                  <w14:solidFill>
                    <w14:schemeClr w14:val="tx1"/>
                  </w14:solidFill>
                </w14:textFill>
              </w:rPr>
              <w:t>226</w:t>
            </w:r>
            <w:r>
              <w:rPr>
                <w:rFonts w:ascii="Times New Roman" w:hAnsi="Times New Roman"/>
                <w:color w:val="000000" w:themeColor="text1"/>
                <w:szCs w:val="21"/>
                <w14:textFill>
                  <w14:solidFill>
                    <w14:schemeClr w14:val="tx1"/>
                  </w14:solidFill>
                </w14:textFill>
              </w:rPr>
              <w:t>Ra</w:t>
            </w:r>
          </w:p>
        </w:tc>
        <w:tc>
          <w:tcPr>
            <w:tcW w:w="1418" w:type="dxa"/>
            <w:noWrap/>
            <w:tcMar>
              <w:top w:w="15" w:type="dxa"/>
              <w:left w:w="15" w:type="dxa"/>
              <w:right w:w="15" w:type="dxa"/>
            </w:tcMar>
            <w:vAlign w:val="center"/>
          </w:tcPr>
          <w:p w14:paraId="0A24E85F">
            <w:pPr>
              <w:pStyle w:val="249"/>
              <w:spacing w:line="240" w:lineRule="auto"/>
              <w:rPr>
                <w:rFonts w:ascii="Times New Roman" w:hAnsi="Times New Roman"/>
                <w:color w:val="000000" w:themeColor="text1"/>
                <w:szCs w:val="21"/>
                <w:u w:val="single"/>
                <w14:textFill>
                  <w14:solidFill>
                    <w14:schemeClr w14:val="tx1"/>
                  </w14:solidFill>
                </w14:textFill>
              </w:rPr>
            </w:pPr>
            <w:r>
              <w:rPr>
                <w:rFonts w:ascii="Times New Roman" w:hAnsi="Times New Roman" w:eastAsia="等线"/>
                <w:color w:val="000000" w:themeColor="text1"/>
                <w:szCs w:val="21"/>
                <w:u w:val="single"/>
                <w14:textFill>
                  <w14:solidFill>
                    <w14:schemeClr w14:val="tx1"/>
                  </w14:solidFill>
                </w14:textFill>
              </w:rPr>
              <w:t>1470.7</w:t>
            </w:r>
          </w:p>
        </w:tc>
        <w:tc>
          <w:tcPr>
            <w:tcW w:w="1843" w:type="dxa"/>
            <w:noWrap/>
            <w:tcMar>
              <w:top w:w="15" w:type="dxa"/>
              <w:left w:w="15" w:type="dxa"/>
              <w:right w:w="15" w:type="dxa"/>
            </w:tcMar>
            <w:vAlign w:val="center"/>
          </w:tcPr>
          <w:p w14:paraId="44F3349E">
            <w:pPr>
              <w:pStyle w:val="249"/>
              <w:spacing w:line="240" w:lineRule="auto"/>
              <w:rPr>
                <w:rFonts w:ascii="Times New Roman" w:hAnsi="Times New Roman"/>
                <w:color w:val="000000" w:themeColor="text1"/>
                <w:szCs w:val="21"/>
                <w:u w:val="single"/>
                <w14:textFill>
                  <w14:solidFill>
                    <w14:schemeClr w14:val="tx1"/>
                  </w14:solidFill>
                </w14:textFill>
              </w:rPr>
            </w:pPr>
            <w:r>
              <w:rPr>
                <w:rFonts w:ascii="Times New Roman" w:hAnsi="Times New Roman" w:eastAsia="等线"/>
                <w:color w:val="000000" w:themeColor="text1"/>
                <w:szCs w:val="21"/>
                <w:u w:val="single"/>
                <w14:textFill>
                  <w14:solidFill>
                    <w14:schemeClr w14:val="tx1"/>
                  </w14:solidFill>
                </w14:textFill>
              </w:rPr>
              <w:t xml:space="preserve">0.4207 </w:t>
            </w:r>
          </w:p>
        </w:tc>
        <w:tc>
          <w:tcPr>
            <w:tcW w:w="794" w:type="dxa"/>
            <w:vMerge w:val="continue"/>
            <w:noWrap/>
            <w:tcMar>
              <w:top w:w="15" w:type="dxa"/>
              <w:left w:w="15" w:type="dxa"/>
              <w:right w:w="15" w:type="dxa"/>
            </w:tcMar>
            <w:vAlign w:val="center"/>
          </w:tcPr>
          <w:p w14:paraId="41365C67">
            <w:pPr>
              <w:pStyle w:val="249"/>
              <w:spacing w:line="240" w:lineRule="auto"/>
              <w:rPr>
                <w:rFonts w:ascii="Times New Roman" w:hAnsi="Times New Roman"/>
                <w:color w:val="000000" w:themeColor="text1"/>
                <w:szCs w:val="21"/>
                <w:u w:val="single"/>
                <w14:textFill>
                  <w14:solidFill>
                    <w14:schemeClr w14:val="tx1"/>
                  </w14:solidFill>
                </w14:textFill>
              </w:rPr>
            </w:pPr>
          </w:p>
        </w:tc>
        <w:tc>
          <w:tcPr>
            <w:tcW w:w="1276" w:type="dxa"/>
            <w:vMerge w:val="continue"/>
            <w:noWrap/>
            <w:tcMar>
              <w:top w:w="15" w:type="dxa"/>
              <w:left w:w="15" w:type="dxa"/>
              <w:right w:w="15" w:type="dxa"/>
            </w:tcMar>
            <w:vAlign w:val="center"/>
          </w:tcPr>
          <w:p w14:paraId="5D83AE70">
            <w:pPr>
              <w:pStyle w:val="249"/>
              <w:spacing w:line="240" w:lineRule="auto"/>
              <w:rPr>
                <w:rFonts w:ascii="Times New Roman" w:hAnsi="Times New Roman"/>
                <w:color w:val="000000" w:themeColor="text1"/>
                <w:szCs w:val="21"/>
                <w14:textFill>
                  <w14:solidFill>
                    <w14:schemeClr w14:val="tx1"/>
                  </w14:solidFill>
                </w14:textFill>
              </w:rPr>
            </w:pPr>
          </w:p>
        </w:tc>
        <w:tc>
          <w:tcPr>
            <w:tcW w:w="646" w:type="dxa"/>
            <w:vMerge w:val="continue"/>
            <w:noWrap/>
            <w:tcMar>
              <w:top w:w="15" w:type="dxa"/>
              <w:left w:w="15" w:type="dxa"/>
              <w:right w:w="15" w:type="dxa"/>
            </w:tcMar>
            <w:vAlign w:val="center"/>
          </w:tcPr>
          <w:p w14:paraId="1FC7E26B">
            <w:pPr>
              <w:pStyle w:val="249"/>
              <w:spacing w:line="240" w:lineRule="auto"/>
              <w:rPr>
                <w:rFonts w:ascii="Times New Roman" w:hAnsi="Times New Roman"/>
                <w:color w:val="000000" w:themeColor="text1"/>
                <w:szCs w:val="21"/>
                <w14:textFill>
                  <w14:solidFill>
                    <w14:schemeClr w14:val="tx1"/>
                  </w14:solidFill>
                </w14:textFill>
              </w:rPr>
            </w:pPr>
          </w:p>
        </w:tc>
      </w:tr>
      <w:tr w14:paraId="5FC524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15" w:hRule="atLeast"/>
        </w:trPr>
        <w:tc>
          <w:tcPr>
            <w:tcW w:w="0" w:type="auto"/>
            <w:vMerge w:val="continue"/>
            <w:tcMar>
              <w:top w:w="15" w:type="dxa"/>
              <w:left w:w="15" w:type="dxa"/>
              <w:right w:w="15" w:type="dxa"/>
            </w:tcMar>
            <w:vAlign w:val="center"/>
          </w:tcPr>
          <w:p w14:paraId="60A0D370">
            <w:pPr>
              <w:pStyle w:val="249"/>
              <w:spacing w:line="240" w:lineRule="auto"/>
              <w:rPr>
                <w:rFonts w:ascii="Times New Roman" w:hAnsi="Times New Roman"/>
                <w:color w:val="000000" w:themeColor="text1"/>
                <w:szCs w:val="21"/>
                <w14:textFill>
                  <w14:solidFill>
                    <w14:schemeClr w14:val="tx1"/>
                  </w14:solidFill>
                </w14:textFill>
              </w:rPr>
            </w:pPr>
          </w:p>
        </w:tc>
        <w:tc>
          <w:tcPr>
            <w:tcW w:w="970" w:type="dxa"/>
            <w:vMerge w:val="continue"/>
            <w:tcMar>
              <w:top w:w="15" w:type="dxa"/>
              <w:left w:w="15" w:type="dxa"/>
              <w:right w:w="15" w:type="dxa"/>
            </w:tcMar>
            <w:vAlign w:val="center"/>
          </w:tcPr>
          <w:p w14:paraId="14DC4901">
            <w:pPr>
              <w:pStyle w:val="249"/>
              <w:spacing w:line="240" w:lineRule="auto"/>
              <w:rPr>
                <w:rFonts w:ascii="Times New Roman" w:hAnsi="Times New Roman"/>
                <w:color w:val="000000" w:themeColor="text1"/>
                <w:szCs w:val="21"/>
                <w14:textFill>
                  <w14:solidFill>
                    <w14:schemeClr w14:val="tx1"/>
                  </w14:solidFill>
                </w14:textFill>
              </w:rPr>
            </w:pPr>
          </w:p>
        </w:tc>
        <w:tc>
          <w:tcPr>
            <w:tcW w:w="992" w:type="dxa"/>
            <w:tcMar>
              <w:top w:w="15" w:type="dxa"/>
              <w:left w:w="15" w:type="dxa"/>
              <w:right w:w="15" w:type="dxa"/>
            </w:tcMar>
            <w:vAlign w:val="center"/>
          </w:tcPr>
          <w:p w14:paraId="61E9729E">
            <w:pPr>
              <w:pStyle w:val="249"/>
              <w:spacing w:line="240" w:lineRule="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vertAlign w:val="superscript"/>
                <w14:textFill>
                  <w14:solidFill>
                    <w14:schemeClr w14:val="tx1"/>
                  </w14:solidFill>
                </w14:textFill>
              </w:rPr>
              <w:t>232</w:t>
            </w:r>
            <w:r>
              <w:rPr>
                <w:rFonts w:ascii="Times New Roman" w:hAnsi="Times New Roman"/>
                <w:color w:val="000000" w:themeColor="text1"/>
                <w:szCs w:val="21"/>
                <w14:textFill>
                  <w14:solidFill>
                    <w14:schemeClr w14:val="tx1"/>
                  </w14:solidFill>
                </w14:textFill>
              </w:rPr>
              <w:t>Th</w:t>
            </w:r>
          </w:p>
        </w:tc>
        <w:tc>
          <w:tcPr>
            <w:tcW w:w="1418" w:type="dxa"/>
            <w:noWrap/>
            <w:tcMar>
              <w:top w:w="15" w:type="dxa"/>
              <w:left w:w="15" w:type="dxa"/>
              <w:right w:w="15" w:type="dxa"/>
            </w:tcMar>
            <w:vAlign w:val="center"/>
          </w:tcPr>
          <w:p w14:paraId="53DF0DA2">
            <w:pPr>
              <w:pStyle w:val="249"/>
              <w:spacing w:line="240" w:lineRule="auto"/>
              <w:rPr>
                <w:rFonts w:ascii="Times New Roman" w:hAnsi="Times New Roman"/>
                <w:color w:val="000000" w:themeColor="text1"/>
                <w:szCs w:val="21"/>
                <w:u w:val="single"/>
                <w14:textFill>
                  <w14:solidFill>
                    <w14:schemeClr w14:val="tx1"/>
                  </w14:solidFill>
                </w14:textFill>
              </w:rPr>
            </w:pPr>
            <w:r>
              <w:rPr>
                <w:rFonts w:ascii="Times New Roman" w:hAnsi="Times New Roman" w:eastAsia="等线"/>
                <w:color w:val="000000" w:themeColor="text1"/>
                <w:szCs w:val="21"/>
                <w:u w:val="single"/>
                <w14:textFill>
                  <w14:solidFill>
                    <w14:schemeClr w14:val="tx1"/>
                  </w14:solidFill>
                </w14:textFill>
              </w:rPr>
              <w:t>1734.8</w:t>
            </w:r>
          </w:p>
        </w:tc>
        <w:tc>
          <w:tcPr>
            <w:tcW w:w="1843" w:type="dxa"/>
            <w:noWrap/>
            <w:tcMar>
              <w:top w:w="15" w:type="dxa"/>
              <w:left w:w="15" w:type="dxa"/>
              <w:right w:w="15" w:type="dxa"/>
            </w:tcMar>
            <w:vAlign w:val="center"/>
          </w:tcPr>
          <w:p w14:paraId="2F1AF1D2">
            <w:pPr>
              <w:pStyle w:val="249"/>
              <w:spacing w:line="240" w:lineRule="auto"/>
              <w:rPr>
                <w:rFonts w:ascii="Times New Roman" w:hAnsi="Times New Roman"/>
                <w:color w:val="000000" w:themeColor="text1"/>
                <w:szCs w:val="21"/>
                <w:u w:val="single"/>
                <w14:textFill>
                  <w14:solidFill>
                    <w14:schemeClr w14:val="tx1"/>
                  </w14:solidFill>
                </w14:textFill>
              </w:rPr>
            </w:pPr>
            <w:r>
              <w:rPr>
                <w:rFonts w:ascii="Times New Roman" w:hAnsi="Times New Roman" w:eastAsia="等线"/>
                <w:color w:val="000000" w:themeColor="text1"/>
                <w:szCs w:val="21"/>
                <w:u w:val="single"/>
                <w14:textFill>
                  <w14:solidFill>
                    <w14:schemeClr w14:val="tx1"/>
                  </w14:solidFill>
                </w14:textFill>
              </w:rPr>
              <w:t xml:space="preserve">0.0695 </w:t>
            </w:r>
          </w:p>
        </w:tc>
        <w:tc>
          <w:tcPr>
            <w:tcW w:w="794" w:type="dxa"/>
            <w:vMerge w:val="continue"/>
            <w:noWrap/>
            <w:tcMar>
              <w:top w:w="15" w:type="dxa"/>
              <w:left w:w="15" w:type="dxa"/>
              <w:right w:w="15" w:type="dxa"/>
            </w:tcMar>
            <w:vAlign w:val="center"/>
          </w:tcPr>
          <w:p w14:paraId="37BBC355">
            <w:pPr>
              <w:pStyle w:val="249"/>
              <w:spacing w:line="240" w:lineRule="auto"/>
              <w:rPr>
                <w:rFonts w:ascii="Times New Roman" w:hAnsi="Times New Roman"/>
                <w:color w:val="000000" w:themeColor="text1"/>
                <w:szCs w:val="21"/>
                <w:u w:val="single"/>
                <w14:textFill>
                  <w14:solidFill>
                    <w14:schemeClr w14:val="tx1"/>
                  </w14:solidFill>
                </w14:textFill>
              </w:rPr>
            </w:pPr>
          </w:p>
        </w:tc>
        <w:tc>
          <w:tcPr>
            <w:tcW w:w="1276" w:type="dxa"/>
            <w:vMerge w:val="continue"/>
            <w:noWrap/>
            <w:tcMar>
              <w:top w:w="15" w:type="dxa"/>
              <w:left w:w="15" w:type="dxa"/>
              <w:right w:w="15" w:type="dxa"/>
            </w:tcMar>
            <w:vAlign w:val="center"/>
          </w:tcPr>
          <w:p w14:paraId="394156A4">
            <w:pPr>
              <w:pStyle w:val="249"/>
              <w:spacing w:line="240" w:lineRule="auto"/>
              <w:rPr>
                <w:rFonts w:ascii="Times New Roman" w:hAnsi="Times New Roman"/>
                <w:color w:val="000000" w:themeColor="text1"/>
                <w:szCs w:val="21"/>
                <w14:textFill>
                  <w14:solidFill>
                    <w14:schemeClr w14:val="tx1"/>
                  </w14:solidFill>
                </w14:textFill>
              </w:rPr>
            </w:pPr>
          </w:p>
        </w:tc>
        <w:tc>
          <w:tcPr>
            <w:tcW w:w="646" w:type="dxa"/>
            <w:vMerge w:val="continue"/>
            <w:noWrap/>
            <w:tcMar>
              <w:top w:w="15" w:type="dxa"/>
              <w:left w:w="15" w:type="dxa"/>
              <w:right w:w="15" w:type="dxa"/>
            </w:tcMar>
            <w:vAlign w:val="center"/>
          </w:tcPr>
          <w:p w14:paraId="1AA5A55A">
            <w:pPr>
              <w:pStyle w:val="249"/>
              <w:spacing w:line="240" w:lineRule="auto"/>
              <w:rPr>
                <w:rFonts w:ascii="Times New Roman" w:hAnsi="Times New Roman"/>
                <w:color w:val="000000" w:themeColor="text1"/>
                <w:szCs w:val="21"/>
                <w14:textFill>
                  <w14:solidFill>
                    <w14:schemeClr w14:val="tx1"/>
                  </w14:solidFill>
                </w14:textFill>
              </w:rPr>
            </w:pPr>
          </w:p>
        </w:tc>
      </w:tr>
      <w:tr w14:paraId="699601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15" w:hRule="atLeast"/>
        </w:trPr>
        <w:tc>
          <w:tcPr>
            <w:tcW w:w="0" w:type="auto"/>
            <w:vMerge w:val="restart"/>
            <w:tcMar>
              <w:top w:w="15" w:type="dxa"/>
              <w:left w:w="15" w:type="dxa"/>
              <w:right w:w="15" w:type="dxa"/>
            </w:tcMar>
            <w:vAlign w:val="center"/>
          </w:tcPr>
          <w:p w14:paraId="2903A1BE">
            <w:pPr>
              <w:pStyle w:val="249"/>
              <w:spacing w:line="240" w:lineRule="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w:t>
            </w:r>
          </w:p>
        </w:tc>
        <w:tc>
          <w:tcPr>
            <w:tcW w:w="970" w:type="dxa"/>
            <w:vMerge w:val="restart"/>
            <w:tcMar>
              <w:top w:w="15" w:type="dxa"/>
              <w:left w:w="15" w:type="dxa"/>
              <w:right w:w="15" w:type="dxa"/>
            </w:tcMar>
            <w:vAlign w:val="center"/>
          </w:tcPr>
          <w:p w14:paraId="0B60CC45">
            <w:pPr>
              <w:pStyle w:val="249"/>
              <w:spacing w:line="240" w:lineRule="auto"/>
              <w:rPr>
                <w:rFonts w:ascii="Times New Roman" w:hAnsi="Times New Roman"/>
                <w:color w:val="000000" w:themeColor="text1"/>
                <w:szCs w:val="2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2#分选车间</w:t>
            </w:r>
          </w:p>
        </w:tc>
        <w:tc>
          <w:tcPr>
            <w:tcW w:w="992" w:type="dxa"/>
            <w:tcMar>
              <w:top w:w="15" w:type="dxa"/>
              <w:left w:w="15" w:type="dxa"/>
              <w:right w:w="15" w:type="dxa"/>
            </w:tcMar>
            <w:vAlign w:val="center"/>
          </w:tcPr>
          <w:p w14:paraId="1B89292B">
            <w:pPr>
              <w:pStyle w:val="249"/>
              <w:spacing w:line="240" w:lineRule="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vertAlign w:val="superscript"/>
                <w14:textFill>
                  <w14:solidFill>
                    <w14:schemeClr w14:val="tx1"/>
                  </w14:solidFill>
                </w14:textFill>
              </w:rPr>
              <w:t>238</w:t>
            </w:r>
            <w:r>
              <w:rPr>
                <w:rFonts w:ascii="Times New Roman" w:hAnsi="Times New Roman"/>
                <w:color w:val="000000" w:themeColor="text1"/>
                <w:szCs w:val="21"/>
                <w14:textFill>
                  <w14:solidFill>
                    <w14:schemeClr w14:val="tx1"/>
                  </w14:solidFill>
                </w14:textFill>
              </w:rPr>
              <w:t>U</w:t>
            </w:r>
          </w:p>
        </w:tc>
        <w:tc>
          <w:tcPr>
            <w:tcW w:w="1418" w:type="dxa"/>
            <w:noWrap/>
            <w:tcMar>
              <w:top w:w="15" w:type="dxa"/>
              <w:left w:w="15" w:type="dxa"/>
              <w:right w:w="15" w:type="dxa"/>
            </w:tcMar>
            <w:vAlign w:val="center"/>
          </w:tcPr>
          <w:p w14:paraId="77FD0FA3">
            <w:pPr>
              <w:pStyle w:val="249"/>
              <w:spacing w:line="240" w:lineRule="auto"/>
              <w:rPr>
                <w:rFonts w:ascii="Times New Roman" w:hAnsi="Times New Roman"/>
                <w:color w:val="000000" w:themeColor="text1"/>
                <w:szCs w:val="21"/>
                <w:u w:val="single"/>
                <w14:textFill>
                  <w14:solidFill>
                    <w14:schemeClr w14:val="tx1"/>
                  </w14:solidFill>
                </w14:textFill>
              </w:rPr>
            </w:pPr>
            <w:r>
              <w:rPr>
                <w:rFonts w:ascii="Times New Roman" w:hAnsi="Times New Roman" w:eastAsia="等线"/>
                <w:color w:val="000000" w:themeColor="text1"/>
                <w:szCs w:val="21"/>
                <w:u w:val="single"/>
                <w14:textFill>
                  <w14:solidFill>
                    <w14:schemeClr w14:val="tx1"/>
                  </w14:solidFill>
                </w14:textFill>
              </w:rPr>
              <w:t>2933.2</w:t>
            </w:r>
          </w:p>
        </w:tc>
        <w:tc>
          <w:tcPr>
            <w:tcW w:w="1843" w:type="dxa"/>
            <w:noWrap/>
            <w:tcMar>
              <w:top w:w="15" w:type="dxa"/>
              <w:left w:w="15" w:type="dxa"/>
              <w:right w:w="15" w:type="dxa"/>
            </w:tcMar>
            <w:vAlign w:val="center"/>
          </w:tcPr>
          <w:p w14:paraId="424DE92F">
            <w:pPr>
              <w:pStyle w:val="249"/>
              <w:spacing w:line="240" w:lineRule="auto"/>
              <w:rPr>
                <w:rFonts w:ascii="Times New Roman" w:hAnsi="Times New Roman"/>
                <w:color w:val="000000" w:themeColor="text1"/>
                <w:szCs w:val="21"/>
                <w:u w:val="single"/>
                <w14:textFill>
                  <w14:solidFill>
                    <w14:schemeClr w14:val="tx1"/>
                  </w14:solidFill>
                </w14:textFill>
              </w:rPr>
            </w:pPr>
            <w:r>
              <w:rPr>
                <w:rFonts w:ascii="Times New Roman" w:hAnsi="Times New Roman" w:eastAsia="等线"/>
                <w:color w:val="000000" w:themeColor="text1"/>
                <w:szCs w:val="21"/>
                <w:u w:val="single"/>
                <w14:textFill>
                  <w14:solidFill>
                    <w14:schemeClr w14:val="tx1"/>
                  </w14:solidFill>
                </w14:textFill>
              </w:rPr>
              <w:t xml:space="preserve">0.0973 </w:t>
            </w:r>
          </w:p>
        </w:tc>
        <w:tc>
          <w:tcPr>
            <w:tcW w:w="794" w:type="dxa"/>
            <w:vMerge w:val="restart"/>
            <w:noWrap/>
            <w:tcMar>
              <w:top w:w="15" w:type="dxa"/>
              <w:left w:w="15" w:type="dxa"/>
              <w:right w:w="15" w:type="dxa"/>
            </w:tcMar>
            <w:vAlign w:val="center"/>
          </w:tcPr>
          <w:p w14:paraId="41F78B69">
            <w:pPr>
              <w:pStyle w:val="249"/>
              <w:spacing w:line="240" w:lineRule="auto"/>
              <w:rPr>
                <w:rFonts w:ascii="Times New Roman" w:hAnsi="Times New Roman"/>
                <w:color w:val="000000" w:themeColor="text1"/>
                <w:szCs w:val="21"/>
                <w:u w:val="single"/>
                <w14:textFill>
                  <w14:solidFill>
                    <w14:schemeClr w14:val="tx1"/>
                  </w14:solidFill>
                </w14:textFill>
              </w:rPr>
            </w:pPr>
            <w:r>
              <w:rPr>
                <w:rFonts w:hint="eastAsia" w:ascii="Times New Roman" w:hAnsi="Times New Roman"/>
                <w:color w:val="000000" w:themeColor="text1"/>
                <w:szCs w:val="21"/>
                <w:u w:val="single"/>
                <w14:textFill>
                  <w14:solidFill>
                    <w14:schemeClr w14:val="tx1"/>
                  </w14:solidFill>
                </w14:textFill>
              </w:rPr>
              <w:t>1.1165</w:t>
            </w:r>
          </w:p>
        </w:tc>
        <w:tc>
          <w:tcPr>
            <w:tcW w:w="1276" w:type="dxa"/>
            <w:vMerge w:val="continue"/>
            <w:noWrap/>
            <w:tcMar>
              <w:top w:w="15" w:type="dxa"/>
              <w:left w:w="15" w:type="dxa"/>
              <w:right w:w="15" w:type="dxa"/>
            </w:tcMar>
            <w:vAlign w:val="center"/>
          </w:tcPr>
          <w:p w14:paraId="50AC2518">
            <w:pPr>
              <w:pStyle w:val="249"/>
              <w:spacing w:line="240" w:lineRule="auto"/>
              <w:rPr>
                <w:rFonts w:ascii="Times New Roman" w:hAnsi="Times New Roman"/>
                <w:color w:val="000000" w:themeColor="text1"/>
                <w:szCs w:val="21"/>
                <w14:textFill>
                  <w14:solidFill>
                    <w14:schemeClr w14:val="tx1"/>
                  </w14:solidFill>
                </w14:textFill>
              </w:rPr>
            </w:pPr>
          </w:p>
        </w:tc>
        <w:tc>
          <w:tcPr>
            <w:tcW w:w="646" w:type="dxa"/>
            <w:vMerge w:val="restart"/>
            <w:noWrap/>
            <w:tcMar>
              <w:top w:w="15" w:type="dxa"/>
              <w:left w:w="15" w:type="dxa"/>
              <w:right w:w="15" w:type="dxa"/>
            </w:tcMar>
            <w:vAlign w:val="center"/>
          </w:tcPr>
          <w:p w14:paraId="7717DD69">
            <w:pPr>
              <w:pStyle w:val="249"/>
              <w:spacing w:line="240" w:lineRule="auto"/>
              <w:rPr>
                <w:rFonts w:ascii="Times New Roman" w:hAnsi="Times New Roman"/>
                <w:color w:val="000000" w:themeColor="text1"/>
                <w:szCs w:val="2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2400</w:t>
            </w:r>
          </w:p>
        </w:tc>
      </w:tr>
      <w:tr w14:paraId="1B7895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15" w:hRule="atLeast"/>
        </w:trPr>
        <w:tc>
          <w:tcPr>
            <w:tcW w:w="0" w:type="auto"/>
            <w:vMerge w:val="continue"/>
            <w:tcMar>
              <w:top w:w="15" w:type="dxa"/>
              <w:left w:w="15" w:type="dxa"/>
              <w:right w:w="15" w:type="dxa"/>
            </w:tcMar>
            <w:vAlign w:val="center"/>
          </w:tcPr>
          <w:p w14:paraId="3AB9E01E">
            <w:pPr>
              <w:pStyle w:val="249"/>
              <w:spacing w:line="240" w:lineRule="auto"/>
              <w:rPr>
                <w:rFonts w:ascii="Times New Roman" w:hAnsi="Times New Roman"/>
                <w:color w:val="000000" w:themeColor="text1"/>
                <w:szCs w:val="21"/>
                <w14:textFill>
                  <w14:solidFill>
                    <w14:schemeClr w14:val="tx1"/>
                  </w14:solidFill>
                </w14:textFill>
              </w:rPr>
            </w:pPr>
          </w:p>
        </w:tc>
        <w:tc>
          <w:tcPr>
            <w:tcW w:w="970" w:type="dxa"/>
            <w:vMerge w:val="continue"/>
            <w:tcMar>
              <w:top w:w="15" w:type="dxa"/>
              <w:left w:w="15" w:type="dxa"/>
              <w:right w:w="15" w:type="dxa"/>
            </w:tcMar>
            <w:vAlign w:val="center"/>
          </w:tcPr>
          <w:p w14:paraId="07D7B4C5">
            <w:pPr>
              <w:pStyle w:val="249"/>
              <w:spacing w:line="240" w:lineRule="auto"/>
              <w:rPr>
                <w:rFonts w:ascii="Times New Roman" w:hAnsi="Times New Roman"/>
                <w:color w:val="000000" w:themeColor="text1"/>
                <w:szCs w:val="21"/>
                <w14:textFill>
                  <w14:solidFill>
                    <w14:schemeClr w14:val="tx1"/>
                  </w14:solidFill>
                </w14:textFill>
              </w:rPr>
            </w:pPr>
          </w:p>
        </w:tc>
        <w:tc>
          <w:tcPr>
            <w:tcW w:w="992" w:type="dxa"/>
            <w:tcMar>
              <w:top w:w="15" w:type="dxa"/>
              <w:left w:w="15" w:type="dxa"/>
              <w:right w:w="15" w:type="dxa"/>
            </w:tcMar>
            <w:vAlign w:val="center"/>
          </w:tcPr>
          <w:p w14:paraId="793EA32F">
            <w:pPr>
              <w:pStyle w:val="249"/>
              <w:spacing w:line="240" w:lineRule="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vertAlign w:val="superscript"/>
                <w14:textFill>
                  <w14:solidFill>
                    <w14:schemeClr w14:val="tx1"/>
                  </w14:solidFill>
                </w14:textFill>
              </w:rPr>
              <w:t>226</w:t>
            </w:r>
            <w:r>
              <w:rPr>
                <w:rFonts w:ascii="Times New Roman" w:hAnsi="Times New Roman"/>
                <w:color w:val="000000" w:themeColor="text1"/>
                <w:szCs w:val="21"/>
                <w14:textFill>
                  <w14:solidFill>
                    <w14:schemeClr w14:val="tx1"/>
                  </w14:solidFill>
                </w14:textFill>
              </w:rPr>
              <w:t>Ra</w:t>
            </w:r>
          </w:p>
        </w:tc>
        <w:tc>
          <w:tcPr>
            <w:tcW w:w="1418" w:type="dxa"/>
            <w:noWrap/>
            <w:tcMar>
              <w:top w:w="15" w:type="dxa"/>
              <w:left w:w="15" w:type="dxa"/>
              <w:right w:w="15" w:type="dxa"/>
            </w:tcMar>
            <w:vAlign w:val="center"/>
          </w:tcPr>
          <w:p w14:paraId="7307360F">
            <w:pPr>
              <w:pStyle w:val="249"/>
              <w:spacing w:line="240" w:lineRule="auto"/>
              <w:rPr>
                <w:rFonts w:ascii="Times New Roman" w:hAnsi="Times New Roman"/>
                <w:color w:val="000000" w:themeColor="text1"/>
                <w:szCs w:val="21"/>
                <w:u w:val="single"/>
                <w14:textFill>
                  <w14:solidFill>
                    <w14:schemeClr w14:val="tx1"/>
                  </w14:solidFill>
                </w14:textFill>
              </w:rPr>
            </w:pPr>
            <w:r>
              <w:rPr>
                <w:rFonts w:ascii="Times New Roman" w:hAnsi="Times New Roman" w:eastAsia="等线"/>
                <w:color w:val="000000" w:themeColor="text1"/>
                <w:szCs w:val="21"/>
                <w:u w:val="single"/>
                <w14:textFill>
                  <w14:solidFill>
                    <w14:schemeClr w14:val="tx1"/>
                  </w14:solidFill>
                </w14:textFill>
              </w:rPr>
              <w:t>3258</w:t>
            </w:r>
          </w:p>
        </w:tc>
        <w:tc>
          <w:tcPr>
            <w:tcW w:w="1843" w:type="dxa"/>
            <w:noWrap/>
            <w:tcMar>
              <w:top w:w="15" w:type="dxa"/>
              <w:left w:w="15" w:type="dxa"/>
              <w:right w:w="15" w:type="dxa"/>
            </w:tcMar>
            <w:vAlign w:val="center"/>
          </w:tcPr>
          <w:p w14:paraId="76B1E48B">
            <w:pPr>
              <w:pStyle w:val="249"/>
              <w:spacing w:line="240" w:lineRule="auto"/>
              <w:rPr>
                <w:rFonts w:ascii="Times New Roman" w:hAnsi="Times New Roman"/>
                <w:color w:val="000000" w:themeColor="text1"/>
                <w:szCs w:val="21"/>
                <w:u w:val="single"/>
                <w14:textFill>
                  <w14:solidFill>
                    <w14:schemeClr w14:val="tx1"/>
                  </w14:solidFill>
                </w14:textFill>
              </w:rPr>
            </w:pPr>
            <w:r>
              <w:rPr>
                <w:rFonts w:ascii="Times New Roman" w:hAnsi="Times New Roman" w:eastAsia="等线"/>
                <w:color w:val="000000" w:themeColor="text1"/>
                <w:szCs w:val="21"/>
                <w:u w:val="single"/>
                <w14:textFill>
                  <w14:solidFill>
                    <w14:schemeClr w14:val="tx1"/>
                  </w14:solidFill>
                </w14:textFill>
              </w:rPr>
              <w:t xml:space="preserve">0.9321 </w:t>
            </w:r>
          </w:p>
        </w:tc>
        <w:tc>
          <w:tcPr>
            <w:tcW w:w="794" w:type="dxa"/>
            <w:vMerge w:val="continue"/>
            <w:noWrap/>
            <w:tcMar>
              <w:top w:w="15" w:type="dxa"/>
              <w:left w:w="15" w:type="dxa"/>
              <w:right w:w="15" w:type="dxa"/>
            </w:tcMar>
            <w:vAlign w:val="center"/>
          </w:tcPr>
          <w:p w14:paraId="21999585">
            <w:pPr>
              <w:pStyle w:val="249"/>
              <w:spacing w:line="240" w:lineRule="auto"/>
              <w:rPr>
                <w:rFonts w:ascii="Times New Roman" w:hAnsi="Times New Roman"/>
                <w:color w:val="000000" w:themeColor="text1"/>
                <w:szCs w:val="21"/>
                <w14:textFill>
                  <w14:solidFill>
                    <w14:schemeClr w14:val="tx1"/>
                  </w14:solidFill>
                </w14:textFill>
              </w:rPr>
            </w:pPr>
          </w:p>
        </w:tc>
        <w:tc>
          <w:tcPr>
            <w:tcW w:w="1276" w:type="dxa"/>
            <w:vMerge w:val="continue"/>
            <w:noWrap/>
            <w:tcMar>
              <w:top w:w="15" w:type="dxa"/>
              <w:left w:w="15" w:type="dxa"/>
              <w:right w:w="15" w:type="dxa"/>
            </w:tcMar>
            <w:vAlign w:val="center"/>
          </w:tcPr>
          <w:p w14:paraId="1C09CDE2">
            <w:pPr>
              <w:pStyle w:val="249"/>
              <w:spacing w:line="240" w:lineRule="auto"/>
              <w:rPr>
                <w:rFonts w:ascii="Times New Roman" w:hAnsi="Times New Roman"/>
                <w:color w:val="000000" w:themeColor="text1"/>
                <w:szCs w:val="21"/>
                <w14:textFill>
                  <w14:solidFill>
                    <w14:schemeClr w14:val="tx1"/>
                  </w14:solidFill>
                </w14:textFill>
              </w:rPr>
            </w:pPr>
          </w:p>
        </w:tc>
        <w:tc>
          <w:tcPr>
            <w:tcW w:w="646" w:type="dxa"/>
            <w:vMerge w:val="continue"/>
            <w:noWrap/>
            <w:tcMar>
              <w:top w:w="15" w:type="dxa"/>
              <w:left w:w="15" w:type="dxa"/>
              <w:right w:w="15" w:type="dxa"/>
            </w:tcMar>
            <w:vAlign w:val="center"/>
          </w:tcPr>
          <w:p w14:paraId="3F2C2447">
            <w:pPr>
              <w:pStyle w:val="249"/>
              <w:spacing w:line="240" w:lineRule="auto"/>
              <w:rPr>
                <w:rFonts w:ascii="Times New Roman" w:hAnsi="Times New Roman"/>
                <w:color w:val="000000" w:themeColor="text1"/>
                <w:szCs w:val="21"/>
                <w14:textFill>
                  <w14:solidFill>
                    <w14:schemeClr w14:val="tx1"/>
                  </w14:solidFill>
                </w14:textFill>
              </w:rPr>
            </w:pPr>
          </w:p>
        </w:tc>
      </w:tr>
      <w:tr w14:paraId="2BCB6F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15" w:hRule="atLeast"/>
        </w:trPr>
        <w:tc>
          <w:tcPr>
            <w:tcW w:w="0" w:type="auto"/>
            <w:vMerge w:val="continue"/>
            <w:tcMar>
              <w:top w:w="15" w:type="dxa"/>
              <w:left w:w="15" w:type="dxa"/>
              <w:right w:w="15" w:type="dxa"/>
            </w:tcMar>
            <w:vAlign w:val="center"/>
          </w:tcPr>
          <w:p w14:paraId="7BFBFF92">
            <w:pPr>
              <w:pStyle w:val="249"/>
              <w:spacing w:line="240" w:lineRule="auto"/>
              <w:rPr>
                <w:rFonts w:ascii="Times New Roman" w:hAnsi="Times New Roman"/>
                <w:color w:val="000000" w:themeColor="text1"/>
                <w:szCs w:val="21"/>
                <w14:textFill>
                  <w14:solidFill>
                    <w14:schemeClr w14:val="tx1"/>
                  </w14:solidFill>
                </w14:textFill>
              </w:rPr>
            </w:pPr>
          </w:p>
        </w:tc>
        <w:tc>
          <w:tcPr>
            <w:tcW w:w="970" w:type="dxa"/>
            <w:vMerge w:val="continue"/>
            <w:tcMar>
              <w:top w:w="15" w:type="dxa"/>
              <w:left w:w="15" w:type="dxa"/>
              <w:right w:w="15" w:type="dxa"/>
            </w:tcMar>
            <w:vAlign w:val="center"/>
          </w:tcPr>
          <w:p w14:paraId="0D88860B">
            <w:pPr>
              <w:pStyle w:val="249"/>
              <w:spacing w:line="240" w:lineRule="auto"/>
              <w:rPr>
                <w:rFonts w:ascii="Times New Roman" w:hAnsi="Times New Roman"/>
                <w:color w:val="000000" w:themeColor="text1"/>
                <w:szCs w:val="21"/>
                <w14:textFill>
                  <w14:solidFill>
                    <w14:schemeClr w14:val="tx1"/>
                  </w14:solidFill>
                </w14:textFill>
              </w:rPr>
            </w:pPr>
          </w:p>
        </w:tc>
        <w:tc>
          <w:tcPr>
            <w:tcW w:w="992" w:type="dxa"/>
            <w:tcMar>
              <w:top w:w="15" w:type="dxa"/>
              <w:left w:w="15" w:type="dxa"/>
              <w:right w:w="15" w:type="dxa"/>
            </w:tcMar>
            <w:vAlign w:val="center"/>
          </w:tcPr>
          <w:p w14:paraId="498B0D2B">
            <w:pPr>
              <w:pStyle w:val="249"/>
              <w:spacing w:line="240" w:lineRule="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vertAlign w:val="superscript"/>
                <w14:textFill>
                  <w14:solidFill>
                    <w14:schemeClr w14:val="tx1"/>
                  </w14:solidFill>
                </w14:textFill>
              </w:rPr>
              <w:t>232</w:t>
            </w:r>
            <w:r>
              <w:rPr>
                <w:rFonts w:ascii="Times New Roman" w:hAnsi="Times New Roman"/>
                <w:color w:val="000000" w:themeColor="text1"/>
                <w:szCs w:val="21"/>
                <w14:textFill>
                  <w14:solidFill>
                    <w14:schemeClr w14:val="tx1"/>
                  </w14:solidFill>
                </w14:textFill>
              </w:rPr>
              <w:t>Th</w:t>
            </w:r>
          </w:p>
        </w:tc>
        <w:tc>
          <w:tcPr>
            <w:tcW w:w="1418" w:type="dxa"/>
            <w:noWrap/>
            <w:tcMar>
              <w:top w:w="15" w:type="dxa"/>
              <w:left w:w="15" w:type="dxa"/>
              <w:right w:w="15" w:type="dxa"/>
            </w:tcMar>
            <w:vAlign w:val="center"/>
          </w:tcPr>
          <w:p w14:paraId="7684F4CC">
            <w:pPr>
              <w:pStyle w:val="249"/>
              <w:spacing w:line="240" w:lineRule="auto"/>
              <w:rPr>
                <w:rFonts w:ascii="Times New Roman" w:hAnsi="Times New Roman"/>
                <w:color w:val="000000" w:themeColor="text1"/>
                <w:szCs w:val="21"/>
                <w:u w:val="single"/>
                <w14:textFill>
                  <w14:solidFill>
                    <w14:schemeClr w14:val="tx1"/>
                  </w14:solidFill>
                </w14:textFill>
              </w:rPr>
            </w:pPr>
            <w:r>
              <w:rPr>
                <w:rFonts w:ascii="Times New Roman" w:hAnsi="Times New Roman" w:eastAsia="等线"/>
                <w:color w:val="000000" w:themeColor="text1"/>
                <w:szCs w:val="21"/>
                <w:u w:val="single"/>
                <w14:textFill>
                  <w14:solidFill>
                    <w14:schemeClr w14:val="tx1"/>
                  </w14:solidFill>
                </w14:textFill>
              </w:rPr>
              <w:t>2175.1</w:t>
            </w:r>
          </w:p>
        </w:tc>
        <w:tc>
          <w:tcPr>
            <w:tcW w:w="1843" w:type="dxa"/>
            <w:noWrap/>
            <w:tcMar>
              <w:top w:w="15" w:type="dxa"/>
              <w:left w:w="15" w:type="dxa"/>
              <w:right w:w="15" w:type="dxa"/>
            </w:tcMar>
            <w:vAlign w:val="center"/>
          </w:tcPr>
          <w:p w14:paraId="65B02F91">
            <w:pPr>
              <w:pStyle w:val="249"/>
              <w:spacing w:line="240" w:lineRule="auto"/>
              <w:rPr>
                <w:rFonts w:ascii="Times New Roman" w:hAnsi="Times New Roman"/>
                <w:color w:val="000000" w:themeColor="text1"/>
                <w:szCs w:val="21"/>
                <w:u w:val="single"/>
                <w14:textFill>
                  <w14:solidFill>
                    <w14:schemeClr w14:val="tx1"/>
                  </w14:solidFill>
                </w14:textFill>
              </w:rPr>
            </w:pPr>
            <w:r>
              <w:rPr>
                <w:rFonts w:ascii="Times New Roman" w:hAnsi="Times New Roman" w:eastAsia="等线"/>
                <w:color w:val="000000" w:themeColor="text1"/>
                <w:szCs w:val="21"/>
                <w:u w:val="single"/>
                <w14:textFill>
                  <w14:solidFill>
                    <w14:schemeClr w14:val="tx1"/>
                  </w14:solidFill>
                </w14:textFill>
              </w:rPr>
              <w:t xml:space="preserve">0.0871 </w:t>
            </w:r>
          </w:p>
        </w:tc>
        <w:tc>
          <w:tcPr>
            <w:tcW w:w="794" w:type="dxa"/>
            <w:vMerge w:val="continue"/>
            <w:noWrap/>
            <w:tcMar>
              <w:top w:w="15" w:type="dxa"/>
              <w:left w:w="15" w:type="dxa"/>
              <w:right w:w="15" w:type="dxa"/>
            </w:tcMar>
            <w:vAlign w:val="center"/>
          </w:tcPr>
          <w:p w14:paraId="331DB873">
            <w:pPr>
              <w:pStyle w:val="249"/>
              <w:spacing w:line="240" w:lineRule="auto"/>
              <w:rPr>
                <w:rFonts w:ascii="Times New Roman" w:hAnsi="Times New Roman"/>
                <w:color w:val="000000" w:themeColor="text1"/>
                <w:szCs w:val="21"/>
                <w14:textFill>
                  <w14:solidFill>
                    <w14:schemeClr w14:val="tx1"/>
                  </w14:solidFill>
                </w14:textFill>
              </w:rPr>
            </w:pPr>
          </w:p>
        </w:tc>
        <w:tc>
          <w:tcPr>
            <w:tcW w:w="1276" w:type="dxa"/>
            <w:vMerge w:val="continue"/>
            <w:noWrap/>
            <w:tcMar>
              <w:top w:w="15" w:type="dxa"/>
              <w:left w:w="15" w:type="dxa"/>
              <w:right w:w="15" w:type="dxa"/>
            </w:tcMar>
            <w:vAlign w:val="center"/>
          </w:tcPr>
          <w:p w14:paraId="1639E766">
            <w:pPr>
              <w:pStyle w:val="249"/>
              <w:spacing w:line="240" w:lineRule="auto"/>
              <w:rPr>
                <w:rFonts w:ascii="Times New Roman" w:hAnsi="Times New Roman"/>
                <w:color w:val="000000" w:themeColor="text1"/>
                <w:szCs w:val="21"/>
                <w14:textFill>
                  <w14:solidFill>
                    <w14:schemeClr w14:val="tx1"/>
                  </w14:solidFill>
                </w14:textFill>
              </w:rPr>
            </w:pPr>
          </w:p>
        </w:tc>
        <w:tc>
          <w:tcPr>
            <w:tcW w:w="646" w:type="dxa"/>
            <w:vMerge w:val="continue"/>
            <w:noWrap/>
            <w:tcMar>
              <w:top w:w="15" w:type="dxa"/>
              <w:left w:w="15" w:type="dxa"/>
              <w:right w:w="15" w:type="dxa"/>
            </w:tcMar>
            <w:vAlign w:val="center"/>
          </w:tcPr>
          <w:p w14:paraId="466F02CE">
            <w:pPr>
              <w:pStyle w:val="249"/>
              <w:spacing w:line="240" w:lineRule="auto"/>
              <w:rPr>
                <w:rFonts w:ascii="Times New Roman" w:hAnsi="Times New Roman"/>
                <w:color w:val="000000" w:themeColor="text1"/>
                <w:szCs w:val="21"/>
                <w14:textFill>
                  <w14:solidFill>
                    <w14:schemeClr w14:val="tx1"/>
                  </w14:solidFill>
                </w14:textFill>
              </w:rPr>
            </w:pPr>
          </w:p>
        </w:tc>
      </w:tr>
    </w:tbl>
    <w:p w14:paraId="366E4EDB">
      <w:pPr>
        <w:pStyle w:val="2"/>
        <w:rPr>
          <w:rFonts w:ascii="Times New Roman" w:hAnsi="Times New Roman" w:cs="Times New Roman" w:eastAsiaTheme="minorEastAsia"/>
          <w:color w:val="000000" w:themeColor="text1"/>
          <w:sz w:val="18"/>
          <w:szCs w:val="18"/>
          <w14:textFill>
            <w14:solidFill>
              <w14:schemeClr w14:val="tx1"/>
            </w14:solidFill>
          </w14:textFill>
        </w:rPr>
      </w:pPr>
      <w:r>
        <w:rPr>
          <w:rFonts w:ascii="Times New Roman" w:hAnsi="Times New Roman" w:cs="Times New Roman" w:eastAsiaTheme="minorEastAsia"/>
          <w:color w:val="000000" w:themeColor="text1"/>
          <w:sz w:val="18"/>
          <w:szCs w:val="18"/>
          <w14:textFill>
            <w14:solidFill>
              <w14:schemeClr w14:val="tx1"/>
            </w14:solidFill>
          </w14:textFill>
        </w:rPr>
        <w:t>注：在穿戴好个人防护用品后（如戴口罩等），工作人员吸入粉尘浓度按工作产生粉尘浓度的10%计算。</w:t>
      </w:r>
    </w:p>
    <w:p w14:paraId="40D40B10">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p>
    <w:p w14:paraId="21B9470C">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结合以上计算结果，本项目工作人员个人辐射剂量估算见4.2</w:t>
      </w:r>
      <w:r>
        <w:rPr>
          <w:rFonts w:ascii="Times New Roman" w:hAnsi="Times New Roman" w:eastAsia="宋体" w:cs="Times New Roman"/>
          <w:color w:val="000000" w:themeColor="text1"/>
          <w:spacing w:val="-2"/>
          <w:sz w:val="24"/>
          <w:szCs w:val="20"/>
          <w14:textFill>
            <w14:solidFill>
              <w14:schemeClr w14:val="tx1"/>
            </w14:solidFill>
          </w14:textFill>
        </w:rPr>
        <w:noBreakHyphen/>
      </w:r>
      <w:r>
        <w:rPr>
          <w:rFonts w:ascii="Times New Roman" w:hAnsi="Times New Roman" w:eastAsia="宋体" w:cs="Times New Roman"/>
          <w:color w:val="000000" w:themeColor="text1"/>
          <w:spacing w:val="-2"/>
          <w:sz w:val="24"/>
          <w:szCs w:val="20"/>
          <w14:textFill>
            <w14:solidFill>
              <w14:schemeClr w14:val="tx1"/>
            </w14:solidFill>
          </w14:textFill>
        </w:rPr>
        <w:t>6。</w:t>
      </w:r>
    </w:p>
    <w:p w14:paraId="5BE74FDB">
      <w:pPr>
        <w:widowControl w:val="0"/>
        <w:spacing w:after="0" w:line="360" w:lineRule="auto"/>
        <w:jc w:val="center"/>
        <w:rPr>
          <w:rFonts w:ascii="Times New Roman" w:hAnsi="Times New Roman" w:eastAsia="宋体" w:cs="Times New Roman"/>
          <w:b/>
          <w:bCs/>
          <w:color w:val="000000" w:themeColor="text1"/>
          <w:spacing w:val="-2"/>
          <w:sz w:val="24"/>
          <w:szCs w:val="20"/>
          <w14:textFill>
            <w14:solidFill>
              <w14:schemeClr w14:val="tx1"/>
            </w14:solidFill>
          </w14:textFill>
        </w:rPr>
      </w:pPr>
      <w:r>
        <w:rPr>
          <w:rFonts w:ascii="Times New Roman" w:hAnsi="Times New Roman" w:eastAsia="宋体" w:cs="Times New Roman"/>
          <w:b/>
          <w:bCs/>
          <w:color w:val="000000" w:themeColor="text1"/>
          <w:spacing w:val="-2"/>
          <w:sz w:val="24"/>
          <w:szCs w:val="20"/>
          <w14:textFill>
            <w14:solidFill>
              <w14:schemeClr w14:val="tx1"/>
            </w14:solidFill>
          </w14:textFill>
        </w:rPr>
        <w:t>表4.2</w:t>
      </w:r>
      <w:r>
        <w:rPr>
          <w:rFonts w:ascii="Times New Roman" w:hAnsi="Times New Roman" w:eastAsia="宋体" w:cs="Times New Roman"/>
          <w:b/>
          <w:bCs/>
          <w:color w:val="000000" w:themeColor="text1"/>
          <w:spacing w:val="-2"/>
          <w:sz w:val="24"/>
          <w:szCs w:val="20"/>
          <w14:textFill>
            <w14:solidFill>
              <w14:schemeClr w14:val="tx1"/>
            </w14:solidFill>
          </w14:textFill>
        </w:rPr>
        <w:noBreakHyphen/>
      </w:r>
      <w:r>
        <w:rPr>
          <w:rFonts w:ascii="Times New Roman" w:hAnsi="Times New Roman" w:eastAsia="宋体" w:cs="Times New Roman"/>
          <w:b/>
          <w:bCs/>
          <w:color w:val="000000" w:themeColor="text1"/>
          <w:spacing w:val="-2"/>
          <w:sz w:val="24"/>
          <w:szCs w:val="20"/>
          <w14:textFill>
            <w14:solidFill>
              <w14:schemeClr w14:val="tx1"/>
            </w14:solidFill>
          </w14:textFill>
        </w:rPr>
        <w:t xml:space="preserve">6 </w:t>
      </w:r>
      <w:bookmarkStart w:id="109" w:name="OLE_LINK34"/>
      <w:r>
        <w:rPr>
          <w:rFonts w:ascii="Times New Roman" w:hAnsi="Times New Roman" w:eastAsia="宋体" w:cs="Times New Roman"/>
          <w:b/>
          <w:bCs/>
          <w:color w:val="000000" w:themeColor="text1"/>
          <w:spacing w:val="-2"/>
          <w:sz w:val="24"/>
          <w:szCs w:val="20"/>
          <w14:textFill>
            <w14:solidFill>
              <w14:schemeClr w14:val="tx1"/>
            </w14:solidFill>
          </w14:textFill>
        </w:rPr>
        <w:t>工作人员个人辐射剂量估算一览表</w:t>
      </w:r>
      <w:bookmarkEnd w:id="109"/>
    </w:p>
    <w:tbl>
      <w:tblPr>
        <w:tblStyle w:val="46"/>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49"/>
        <w:gridCol w:w="2839"/>
        <w:gridCol w:w="1165"/>
        <w:gridCol w:w="1165"/>
        <w:gridCol w:w="1459"/>
        <w:gridCol w:w="1246"/>
      </w:tblGrid>
      <w:tr w14:paraId="491CDF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381" w:type="pct"/>
            <w:vMerge w:val="restart"/>
            <w:noWrap/>
            <w:vAlign w:val="center"/>
          </w:tcPr>
          <w:p w14:paraId="53EF5CC0">
            <w:pPr>
              <w:pStyle w:val="242"/>
              <w:rPr>
                <w:rFonts w:ascii="Times New Roman" w:hAnsi="Times New Roman" w:eastAsia="宋体" w:cs="Times New Roman"/>
                <w:b/>
                <w:color w:val="000000" w:themeColor="text1"/>
                <w:szCs w:val="21"/>
                <w14:textFill>
                  <w14:solidFill>
                    <w14:schemeClr w14:val="tx1"/>
                  </w14:solidFill>
                </w14:textFill>
              </w:rPr>
            </w:pPr>
            <w:bookmarkStart w:id="110" w:name="_Hlk52282131"/>
            <w:r>
              <w:rPr>
                <w:rFonts w:ascii="Times New Roman" w:hAnsi="Times New Roman" w:eastAsia="宋体" w:cs="Times New Roman"/>
                <w:b/>
                <w:color w:val="000000" w:themeColor="text1"/>
                <w:szCs w:val="21"/>
                <w14:textFill>
                  <w14:solidFill>
                    <w14:schemeClr w14:val="tx1"/>
                  </w14:solidFill>
                </w14:textFill>
              </w:rPr>
              <w:t>序号</w:t>
            </w:r>
          </w:p>
        </w:tc>
        <w:tc>
          <w:tcPr>
            <w:tcW w:w="1666" w:type="pct"/>
            <w:vMerge w:val="restart"/>
            <w:vAlign w:val="center"/>
          </w:tcPr>
          <w:p w14:paraId="20C60393">
            <w:pPr>
              <w:pStyle w:val="242"/>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工作场所描述</w:t>
            </w:r>
          </w:p>
        </w:tc>
        <w:tc>
          <w:tcPr>
            <w:tcW w:w="2954" w:type="pct"/>
            <w:gridSpan w:val="4"/>
            <w:noWrap/>
            <w:vAlign w:val="center"/>
          </w:tcPr>
          <w:p w14:paraId="6783DF5D">
            <w:pPr>
              <w:pStyle w:val="242"/>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个人辐射剂量（mSv/a）</w:t>
            </w:r>
          </w:p>
        </w:tc>
      </w:tr>
      <w:tr w14:paraId="18922E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381" w:type="pct"/>
            <w:vMerge w:val="continue"/>
            <w:noWrap/>
            <w:vAlign w:val="center"/>
          </w:tcPr>
          <w:p w14:paraId="73A8E7DA">
            <w:pPr>
              <w:pStyle w:val="242"/>
              <w:rPr>
                <w:rFonts w:ascii="Times New Roman" w:hAnsi="Times New Roman" w:eastAsia="宋体" w:cs="Times New Roman"/>
                <w:color w:val="000000" w:themeColor="text1"/>
                <w:szCs w:val="21"/>
                <w14:textFill>
                  <w14:solidFill>
                    <w14:schemeClr w14:val="tx1"/>
                  </w14:solidFill>
                </w14:textFill>
              </w:rPr>
            </w:pPr>
          </w:p>
        </w:tc>
        <w:tc>
          <w:tcPr>
            <w:tcW w:w="1666" w:type="pct"/>
            <w:vMerge w:val="continue"/>
            <w:vAlign w:val="center"/>
          </w:tcPr>
          <w:p w14:paraId="31D3817E">
            <w:pPr>
              <w:pStyle w:val="242"/>
              <w:rPr>
                <w:rFonts w:ascii="Times New Roman" w:hAnsi="Times New Roman" w:eastAsia="宋体" w:cs="Times New Roman"/>
                <w:color w:val="000000" w:themeColor="text1"/>
                <w:szCs w:val="21"/>
                <w14:textFill>
                  <w14:solidFill>
                    <w14:schemeClr w14:val="tx1"/>
                  </w14:solidFill>
                </w14:textFill>
              </w:rPr>
            </w:pPr>
          </w:p>
        </w:tc>
        <w:tc>
          <w:tcPr>
            <w:tcW w:w="683" w:type="pct"/>
            <w:noWrap/>
            <w:vAlign w:val="center"/>
          </w:tcPr>
          <w:p w14:paraId="1A1B9CD0">
            <w:pPr>
              <w:pStyle w:val="242"/>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外照射</w:t>
            </w:r>
          </w:p>
        </w:tc>
        <w:tc>
          <w:tcPr>
            <w:tcW w:w="683" w:type="pct"/>
            <w:noWrap/>
            <w:vAlign w:val="center"/>
          </w:tcPr>
          <w:p w14:paraId="305B8977">
            <w:pPr>
              <w:pStyle w:val="242"/>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空气氡</w:t>
            </w:r>
          </w:p>
        </w:tc>
        <w:tc>
          <w:tcPr>
            <w:tcW w:w="856" w:type="pct"/>
            <w:noWrap/>
            <w:vAlign w:val="center"/>
          </w:tcPr>
          <w:p w14:paraId="42B57305">
            <w:pPr>
              <w:pStyle w:val="242"/>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放射性核素（粉尘）</w:t>
            </w:r>
          </w:p>
        </w:tc>
        <w:tc>
          <w:tcPr>
            <w:tcW w:w="731" w:type="pct"/>
            <w:noWrap/>
            <w:vAlign w:val="center"/>
          </w:tcPr>
          <w:p w14:paraId="460A6A05">
            <w:pPr>
              <w:pStyle w:val="242"/>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合计</w:t>
            </w:r>
          </w:p>
        </w:tc>
      </w:tr>
      <w:tr w14:paraId="13E382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81" w:type="pct"/>
            <w:noWrap/>
            <w:vAlign w:val="center"/>
          </w:tcPr>
          <w:p w14:paraId="3B102D1D">
            <w:pPr>
              <w:pStyle w:val="245"/>
              <w:spacing w:line="240" w:lineRule="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w:t>
            </w:r>
          </w:p>
        </w:tc>
        <w:tc>
          <w:tcPr>
            <w:tcW w:w="1666" w:type="pct"/>
            <w:vAlign w:val="center"/>
          </w:tcPr>
          <w:p w14:paraId="769F8839">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1#原料处理车间</w:t>
            </w:r>
          </w:p>
        </w:tc>
        <w:tc>
          <w:tcPr>
            <w:tcW w:w="683" w:type="pct"/>
            <w:noWrap/>
            <w:vAlign w:val="center"/>
          </w:tcPr>
          <w:p w14:paraId="6139F8FA">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等线" w:cs="Times New Roman"/>
                <w:color w:val="000000" w:themeColor="text1"/>
                <w:sz w:val="22"/>
                <w:szCs w:val="22"/>
                <w14:textFill>
                  <w14:solidFill>
                    <w14:schemeClr w14:val="tx1"/>
                  </w14:solidFill>
                </w14:textFill>
              </w:rPr>
              <w:t>2.4595</w:t>
            </w:r>
          </w:p>
        </w:tc>
        <w:tc>
          <w:tcPr>
            <w:tcW w:w="683" w:type="pct"/>
            <w:noWrap/>
            <w:vAlign w:val="center"/>
          </w:tcPr>
          <w:p w14:paraId="08117BD8">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等线" w:cs="Times New Roman"/>
                <w:color w:val="000000" w:themeColor="text1"/>
                <w:sz w:val="22"/>
                <w:szCs w:val="22"/>
                <w14:textFill>
                  <w14:solidFill>
                    <w14:schemeClr w14:val="tx1"/>
                  </w14:solidFill>
                </w14:textFill>
              </w:rPr>
              <w:t>0.0187</w:t>
            </w:r>
          </w:p>
        </w:tc>
        <w:tc>
          <w:tcPr>
            <w:tcW w:w="856" w:type="pct"/>
            <w:noWrap/>
            <w:vAlign w:val="center"/>
          </w:tcPr>
          <w:p w14:paraId="21C8CBF6">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等线" w:cs="Times New Roman"/>
                <w:color w:val="000000" w:themeColor="text1"/>
                <w:sz w:val="22"/>
                <w:szCs w:val="22"/>
                <w:u w:val="single"/>
                <w14:textFill>
                  <w14:solidFill>
                    <w14:schemeClr w14:val="tx1"/>
                  </w14:solidFill>
                </w14:textFill>
              </w:rPr>
              <w:t>0.5452</w:t>
            </w:r>
          </w:p>
        </w:tc>
        <w:tc>
          <w:tcPr>
            <w:tcW w:w="731" w:type="pct"/>
            <w:noWrap/>
            <w:vAlign w:val="center"/>
          </w:tcPr>
          <w:p w14:paraId="2F456294">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等线" w:cs="Times New Roman"/>
                <w:color w:val="000000" w:themeColor="text1"/>
                <w:sz w:val="22"/>
                <w:szCs w:val="22"/>
                <w:u w:val="single"/>
                <w14:textFill>
                  <w14:solidFill>
                    <w14:schemeClr w14:val="tx1"/>
                  </w14:solidFill>
                </w14:textFill>
              </w:rPr>
              <w:t>3.0235</w:t>
            </w:r>
          </w:p>
        </w:tc>
      </w:tr>
      <w:tr w14:paraId="58D0A4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81" w:type="pct"/>
            <w:noWrap/>
            <w:vAlign w:val="center"/>
          </w:tcPr>
          <w:p w14:paraId="1A1E1E23">
            <w:pPr>
              <w:pStyle w:val="245"/>
              <w:spacing w:line="240" w:lineRule="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w:t>
            </w:r>
          </w:p>
        </w:tc>
        <w:tc>
          <w:tcPr>
            <w:tcW w:w="1666" w:type="pct"/>
            <w:vAlign w:val="center"/>
          </w:tcPr>
          <w:p w14:paraId="1076DD84">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2#分选车间</w:t>
            </w:r>
          </w:p>
        </w:tc>
        <w:tc>
          <w:tcPr>
            <w:tcW w:w="683" w:type="pct"/>
            <w:noWrap/>
            <w:vAlign w:val="center"/>
          </w:tcPr>
          <w:p w14:paraId="3B1CB84B">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等线" w:cs="Times New Roman"/>
                <w:color w:val="000000" w:themeColor="text1"/>
                <w:sz w:val="22"/>
                <w:szCs w:val="22"/>
                <w14:textFill>
                  <w14:solidFill>
                    <w14:schemeClr w14:val="tx1"/>
                  </w14:solidFill>
                </w14:textFill>
              </w:rPr>
              <w:t>2.2660</w:t>
            </w:r>
          </w:p>
        </w:tc>
        <w:tc>
          <w:tcPr>
            <w:tcW w:w="683" w:type="pct"/>
            <w:noWrap/>
            <w:vAlign w:val="center"/>
          </w:tcPr>
          <w:p w14:paraId="57D6D695">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等线" w:cs="Times New Roman"/>
                <w:color w:val="000000" w:themeColor="text1"/>
                <w:sz w:val="22"/>
                <w:szCs w:val="22"/>
                <w14:textFill>
                  <w14:solidFill>
                    <w14:schemeClr w14:val="tx1"/>
                  </w14:solidFill>
                </w14:textFill>
              </w:rPr>
              <w:t>0.0187</w:t>
            </w:r>
          </w:p>
        </w:tc>
        <w:tc>
          <w:tcPr>
            <w:tcW w:w="856" w:type="pct"/>
            <w:noWrap/>
            <w:vAlign w:val="center"/>
          </w:tcPr>
          <w:p w14:paraId="67F2FAF4">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等线" w:cs="Times New Roman"/>
                <w:color w:val="000000" w:themeColor="text1"/>
                <w:sz w:val="22"/>
                <w:szCs w:val="22"/>
                <w:u w:val="single"/>
                <w14:textFill>
                  <w14:solidFill>
                    <w14:schemeClr w14:val="tx1"/>
                  </w14:solidFill>
                </w14:textFill>
              </w:rPr>
              <w:t>1.1165</w:t>
            </w:r>
          </w:p>
        </w:tc>
        <w:tc>
          <w:tcPr>
            <w:tcW w:w="731" w:type="pct"/>
            <w:noWrap/>
            <w:vAlign w:val="center"/>
          </w:tcPr>
          <w:p w14:paraId="6F9240E6">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等线" w:cs="Times New Roman"/>
                <w:color w:val="000000" w:themeColor="text1"/>
                <w:sz w:val="22"/>
                <w:szCs w:val="22"/>
                <w:u w:val="single"/>
                <w14:textFill>
                  <w14:solidFill>
                    <w14:schemeClr w14:val="tx1"/>
                  </w14:solidFill>
                </w14:textFill>
              </w:rPr>
              <w:t>3.4012</w:t>
            </w:r>
          </w:p>
        </w:tc>
      </w:tr>
      <w:bookmarkEnd w:id="110"/>
    </w:tbl>
    <w:p w14:paraId="574C4012">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p>
    <w:p w14:paraId="2342DDD7">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从表4.2</w:t>
      </w:r>
      <w:r>
        <w:rPr>
          <w:rFonts w:ascii="Times New Roman" w:hAnsi="Times New Roman" w:eastAsia="宋体" w:cs="Times New Roman"/>
          <w:color w:val="000000" w:themeColor="text1"/>
          <w:spacing w:val="-2"/>
          <w:sz w:val="24"/>
          <w:szCs w:val="20"/>
          <w14:textFill>
            <w14:solidFill>
              <w14:schemeClr w14:val="tx1"/>
            </w14:solidFill>
          </w14:textFill>
        </w:rPr>
        <w:noBreakHyphen/>
      </w:r>
      <w:r>
        <w:rPr>
          <w:rFonts w:ascii="Times New Roman" w:hAnsi="Times New Roman" w:eastAsia="宋体" w:cs="Times New Roman"/>
          <w:color w:val="000000" w:themeColor="text1"/>
          <w:spacing w:val="-2"/>
          <w:sz w:val="24"/>
          <w:szCs w:val="20"/>
          <w14:textFill>
            <w14:solidFill>
              <w14:schemeClr w14:val="tx1"/>
            </w14:solidFill>
          </w14:textFill>
        </w:rPr>
        <w:t>6估算结果中可知，</w:t>
      </w:r>
      <w:r>
        <w:rPr>
          <w:rFonts w:ascii="Times New Roman" w:hAnsi="Times New Roman" w:eastAsia="宋体" w:cs="Times New Roman"/>
          <w:color w:val="000000" w:themeColor="text1"/>
          <w:spacing w:val="-2"/>
          <w:sz w:val="24"/>
          <w:szCs w:val="20"/>
          <w:u w:val="single"/>
          <w14:textFill>
            <w14:solidFill>
              <w14:schemeClr w14:val="tx1"/>
            </w14:solidFill>
          </w14:textFill>
        </w:rPr>
        <w:t>本项目工作人员个人辐射剂量最大值出现在</w:t>
      </w:r>
      <w:r>
        <w:rPr>
          <w:rFonts w:hint="eastAsia" w:ascii="Times New Roman" w:hAnsi="Times New Roman" w:eastAsia="宋体" w:cs="Times New Roman"/>
          <w:color w:val="000000" w:themeColor="text1"/>
          <w:spacing w:val="-2"/>
          <w:sz w:val="24"/>
          <w:szCs w:val="20"/>
          <w:u w:val="single"/>
          <w14:textFill>
            <w14:solidFill>
              <w14:schemeClr w14:val="tx1"/>
            </w14:solidFill>
          </w14:textFill>
        </w:rPr>
        <w:t>2#分选车间</w:t>
      </w:r>
      <w:r>
        <w:rPr>
          <w:rFonts w:ascii="Times New Roman" w:hAnsi="Times New Roman" w:eastAsia="宋体" w:cs="Times New Roman"/>
          <w:color w:val="000000" w:themeColor="text1"/>
          <w:spacing w:val="-2"/>
          <w:sz w:val="24"/>
          <w:szCs w:val="20"/>
          <w:u w:val="single"/>
          <w14:textFill>
            <w14:solidFill>
              <w14:schemeClr w14:val="tx1"/>
            </w14:solidFill>
          </w14:textFill>
        </w:rPr>
        <w:t>操作工位工作人员，个人有效剂量为</w:t>
      </w:r>
      <w:r>
        <w:rPr>
          <w:rFonts w:hint="eastAsia" w:ascii="Times New Roman" w:hAnsi="Times New Roman" w:eastAsia="宋体" w:cs="Times New Roman"/>
          <w:color w:val="000000" w:themeColor="text1"/>
          <w:spacing w:val="-2"/>
          <w:sz w:val="24"/>
          <w:szCs w:val="20"/>
          <w:u w:val="single"/>
          <w14:textFill>
            <w14:solidFill>
              <w14:schemeClr w14:val="tx1"/>
            </w14:solidFill>
          </w14:textFill>
        </w:rPr>
        <w:t>3.4012</w:t>
      </w:r>
      <w:r>
        <w:rPr>
          <w:rFonts w:ascii="Times New Roman" w:hAnsi="Times New Roman" w:eastAsia="宋体" w:cs="Times New Roman"/>
          <w:color w:val="000000" w:themeColor="text1"/>
          <w:spacing w:val="-2"/>
          <w:sz w:val="24"/>
          <w:szCs w:val="20"/>
          <w:u w:val="single"/>
          <w14:textFill>
            <w14:solidFill>
              <w14:schemeClr w14:val="tx1"/>
            </w14:solidFill>
          </w14:textFill>
        </w:rPr>
        <w:t>mSv/a，</w:t>
      </w:r>
      <w:r>
        <w:rPr>
          <w:rFonts w:ascii="Times New Roman" w:hAnsi="Times New Roman" w:eastAsia="宋体" w:cs="Times New Roman"/>
          <w:color w:val="000000" w:themeColor="text1"/>
          <w:spacing w:val="-2"/>
          <w:sz w:val="24"/>
          <w:szCs w:val="20"/>
          <w14:textFill>
            <w14:solidFill>
              <w14:schemeClr w14:val="tx1"/>
            </w14:solidFill>
          </w14:textFill>
        </w:rPr>
        <w:t>小于本项目的管理限值5mSv/a。</w:t>
      </w:r>
    </w:p>
    <w:bookmarkEnd w:id="107"/>
    <w:p w14:paraId="574538C7">
      <w:pPr>
        <w:pStyle w:val="4"/>
        <w:widowControl w:val="0"/>
        <w:numPr>
          <w:ilvl w:val="1"/>
          <w:numId w:val="1"/>
        </w:numPr>
        <w:spacing w:before="0" w:line="360" w:lineRule="auto"/>
        <w:ind w:left="0" w:firstLine="0"/>
        <w:jc w:val="both"/>
        <w:rPr>
          <w:rFonts w:ascii="Times New Roman" w:hAnsi="Times New Roman" w:eastAsia="黑体" w:cs="Times New Roman"/>
          <w:b/>
          <w:bCs/>
          <w:color w:val="000000" w:themeColor="text1"/>
          <w:kern w:val="2"/>
          <w:sz w:val="28"/>
          <w:szCs w:val="32"/>
          <w14:textFill>
            <w14:solidFill>
              <w14:schemeClr w14:val="tx1"/>
            </w14:solidFill>
          </w14:textFill>
        </w:rPr>
      </w:pPr>
      <w:bookmarkStart w:id="111" w:name="_Toc187653472"/>
      <w:bookmarkStart w:id="112" w:name="_Toc78822670"/>
      <w:r>
        <w:rPr>
          <w:rFonts w:ascii="Times New Roman" w:hAnsi="Times New Roman" w:eastAsia="黑体" w:cs="Times New Roman"/>
          <w:b/>
          <w:bCs/>
          <w:color w:val="000000" w:themeColor="text1"/>
          <w:kern w:val="2"/>
          <w:sz w:val="28"/>
          <w:szCs w:val="32"/>
          <w14:textFill>
            <w14:solidFill>
              <w14:schemeClr w14:val="tx1"/>
            </w14:solidFill>
          </w14:textFill>
        </w:rPr>
        <w:t>正常工况地表水辐射环境影响分析</w:t>
      </w:r>
      <w:bookmarkEnd w:id="111"/>
      <w:bookmarkEnd w:id="112"/>
    </w:p>
    <w:p w14:paraId="15A00290">
      <w:pPr>
        <w:spacing w:after="0" w:line="360" w:lineRule="auto"/>
        <w:ind w:firstLine="472"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olor w:val="000000" w:themeColor="text1"/>
          <w:spacing w:val="-2"/>
          <w:sz w:val="24"/>
          <w:szCs w:val="24"/>
          <w14:textFill>
            <w14:solidFill>
              <w14:schemeClr w14:val="tx1"/>
            </w14:solidFill>
          </w14:textFill>
        </w:rPr>
        <w:t>项目采用干式磁选工艺对原料进行分选加工，原料毛矿无需进行清洗，生产过程中无需用水，</w:t>
      </w:r>
      <w:r>
        <w:rPr>
          <w:rFonts w:hint="eastAsia" w:ascii="Times New Roman" w:hAnsi="Times New Roman"/>
          <w:color w:val="000000" w:themeColor="text1"/>
          <w:spacing w:val="-2"/>
          <w:sz w:val="24"/>
          <w:szCs w:val="24"/>
          <w14:textFill>
            <w14:solidFill>
              <w14:schemeClr w14:val="tx1"/>
            </w14:solidFill>
          </w14:textFill>
        </w:rPr>
        <w:t>不产生生产废水；项目评价范围内周边无地表水体，项目</w:t>
      </w:r>
      <w:r>
        <w:rPr>
          <w:rFonts w:ascii="Times New Roman" w:hAnsi="Times New Roman" w:cs="Times New Roman"/>
          <w:color w:val="000000" w:themeColor="text1"/>
          <w:sz w:val="24"/>
          <w:szCs w:val="24"/>
          <w14:textFill>
            <w14:solidFill>
              <w14:schemeClr w14:val="tx1"/>
            </w14:solidFill>
          </w14:textFill>
        </w:rPr>
        <w:t>不会对周围地表水环境造成影响。</w:t>
      </w:r>
    </w:p>
    <w:p w14:paraId="368F00BD">
      <w:pPr>
        <w:pStyle w:val="4"/>
        <w:widowControl w:val="0"/>
        <w:numPr>
          <w:ilvl w:val="1"/>
          <w:numId w:val="1"/>
        </w:numPr>
        <w:spacing w:before="0" w:line="360" w:lineRule="auto"/>
        <w:ind w:left="0" w:firstLine="0"/>
        <w:jc w:val="both"/>
        <w:rPr>
          <w:rFonts w:ascii="Times New Roman" w:hAnsi="Times New Roman" w:eastAsia="黑体" w:cs="Times New Roman"/>
          <w:b/>
          <w:bCs/>
          <w:color w:val="000000" w:themeColor="text1"/>
          <w:kern w:val="2"/>
          <w:sz w:val="28"/>
          <w:szCs w:val="32"/>
          <w14:textFill>
            <w14:solidFill>
              <w14:schemeClr w14:val="tx1"/>
            </w14:solidFill>
          </w14:textFill>
        </w:rPr>
      </w:pPr>
      <w:bookmarkStart w:id="113" w:name="_Toc78822671"/>
      <w:bookmarkStart w:id="114" w:name="_Toc187653473"/>
      <w:r>
        <w:rPr>
          <w:rFonts w:ascii="Times New Roman" w:hAnsi="Times New Roman" w:eastAsia="黑体" w:cs="Times New Roman"/>
          <w:b/>
          <w:bCs/>
          <w:color w:val="000000" w:themeColor="text1"/>
          <w:kern w:val="2"/>
          <w:sz w:val="28"/>
          <w:szCs w:val="32"/>
          <w14:textFill>
            <w14:solidFill>
              <w14:schemeClr w14:val="tx1"/>
            </w14:solidFill>
          </w14:textFill>
        </w:rPr>
        <w:t>地下水辐射环境影响分析</w:t>
      </w:r>
      <w:bookmarkEnd w:id="113"/>
      <w:bookmarkEnd w:id="114"/>
    </w:p>
    <w:p w14:paraId="271C35DE">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项目生产过程中不产生生产废水，且项目</w:t>
      </w:r>
      <w:r>
        <w:rPr>
          <w:rFonts w:ascii="Times New Roman" w:hAnsi="Times New Roman" w:cs="Times New Roman"/>
          <w:color w:val="000000" w:themeColor="text1"/>
          <w:sz w:val="24"/>
          <w:szCs w:val="24"/>
          <w14:textFill>
            <w14:solidFill>
              <w14:schemeClr w14:val="tx1"/>
            </w14:solidFill>
          </w14:textFill>
        </w:rPr>
        <w:t>厂区设计有分区防渗措施，</w:t>
      </w:r>
      <w:r>
        <w:rPr>
          <w:rFonts w:hint="eastAsia" w:ascii="Times New Roman" w:hAnsi="Times New Roman" w:cs="Times New Roman"/>
          <w:color w:val="000000" w:themeColor="text1"/>
          <w:sz w:val="24"/>
          <w:szCs w:val="24"/>
          <w14:textFill>
            <w14:solidFill>
              <w14:schemeClr w14:val="tx1"/>
            </w14:solidFill>
          </w14:textFill>
        </w:rPr>
        <w:t>根据项目毛矿、产品、副产品等物料特性，</w:t>
      </w:r>
      <w:r>
        <w:rPr>
          <w:rFonts w:ascii="Times New Roman" w:hAnsi="Times New Roman" w:cs="Times New Roman"/>
          <w:color w:val="000000" w:themeColor="text1"/>
          <w:sz w:val="24"/>
          <w:szCs w:val="24"/>
          <w14:textFill>
            <w14:solidFill>
              <w14:schemeClr w14:val="tx1"/>
            </w14:solidFill>
          </w14:textFill>
        </w:rPr>
        <w:t>物料中</w:t>
      </w:r>
      <w:r>
        <w:rPr>
          <w:rFonts w:ascii="Times New Roman" w:hAnsi="Times New Roman" w:cs="Times New Roman"/>
          <w:bCs/>
          <w:color w:val="000000" w:themeColor="text1"/>
          <w:sz w:val="24"/>
          <w:szCs w:val="24"/>
          <w14:textFill>
            <w14:solidFill>
              <w14:schemeClr w14:val="tx1"/>
            </w14:solidFill>
          </w14:textFill>
        </w:rPr>
        <w:t>放射性核素</w:t>
      </w:r>
      <w:r>
        <w:rPr>
          <w:rFonts w:ascii="Times New Roman" w:hAnsi="Times New Roman" w:cs="Times New Roman"/>
          <w:color w:val="000000" w:themeColor="text1"/>
          <w:sz w:val="24"/>
          <w:szCs w:val="24"/>
          <w:vertAlign w:val="superscript"/>
          <w14:textFill>
            <w14:solidFill>
              <w14:schemeClr w14:val="tx1"/>
            </w14:solidFill>
          </w14:textFill>
        </w:rPr>
        <w:t>238</w:t>
      </w:r>
      <w:r>
        <w:rPr>
          <w:rFonts w:ascii="Times New Roman" w:hAnsi="Times New Roman" w:cs="Times New Roman"/>
          <w:color w:val="000000" w:themeColor="text1"/>
          <w:sz w:val="24"/>
          <w:szCs w:val="24"/>
          <w14:textFill>
            <w14:solidFill>
              <w14:schemeClr w14:val="tx1"/>
            </w14:solidFill>
          </w14:textFill>
        </w:rPr>
        <w:t>U、</w:t>
      </w:r>
      <w:r>
        <w:rPr>
          <w:rFonts w:ascii="Times New Roman" w:hAnsi="Times New Roman" w:cs="Times New Roman"/>
          <w:color w:val="000000" w:themeColor="text1"/>
          <w:sz w:val="24"/>
          <w:szCs w:val="24"/>
          <w:vertAlign w:val="superscript"/>
          <w14:textFill>
            <w14:solidFill>
              <w14:schemeClr w14:val="tx1"/>
            </w14:solidFill>
          </w14:textFill>
        </w:rPr>
        <w:t>232</w:t>
      </w:r>
      <w:r>
        <w:rPr>
          <w:rFonts w:ascii="Times New Roman" w:hAnsi="Times New Roman" w:cs="Times New Roman"/>
          <w:color w:val="000000" w:themeColor="text1"/>
          <w:sz w:val="24"/>
          <w:szCs w:val="24"/>
          <w14:textFill>
            <w14:solidFill>
              <w14:schemeClr w14:val="tx1"/>
            </w14:solidFill>
          </w14:textFill>
        </w:rPr>
        <w:t>Th、</w:t>
      </w:r>
      <w:r>
        <w:rPr>
          <w:rFonts w:ascii="Times New Roman" w:hAnsi="Times New Roman" w:cs="Times New Roman"/>
          <w:color w:val="000000" w:themeColor="text1"/>
          <w:sz w:val="24"/>
          <w:szCs w:val="24"/>
          <w:vertAlign w:val="superscript"/>
          <w14:textFill>
            <w14:solidFill>
              <w14:schemeClr w14:val="tx1"/>
            </w14:solidFill>
          </w14:textFill>
        </w:rPr>
        <w:t>226</w:t>
      </w:r>
      <w:r>
        <w:rPr>
          <w:rFonts w:ascii="Times New Roman" w:hAnsi="Times New Roman" w:cs="Times New Roman"/>
          <w:color w:val="000000" w:themeColor="text1"/>
          <w:sz w:val="24"/>
          <w:szCs w:val="24"/>
          <w14:textFill>
            <w14:solidFill>
              <w14:schemeClr w14:val="tx1"/>
            </w14:solidFill>
          </w14:textFill>
        </w:rPr>
        <w:t>Ra向工艺水转移的量极小，正常状况下各污染物存贮构筑物基本不会有污水的泄漏情况发生，从而在源头上杜绝了放射性核素进入含水层的途径。正常状况下，项目对地下水的影响较小。</w:t>
      </w:r>
    </w:p>
    <w:p w14:paraId="004B4C03">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根据工程分析以及调研同类型企业的工况，项目可能对地下水造成污染的主要来源是项目原料堆放场地，由于降雨淋滤导致的淋滤液下渗造成的地下水污染。项目建成后生产区均在厂房内，厂房采用封闭式设计，地面均进行了硬化及防渗处理，物料堆存</w:t>
      </w:r>
      <w:r>
        <w:rPr>
          <w:rFonts w:hint="eastAsia" w:ascii="Times New Roman" w:hAnsi="Times New Roman" w:eastAsia="宋体" w:cs="Times New Roman"/>
          <w:color w:val="000000" w:themeColor="text1"/>
          <w:spacing w:val="-2"/>
          <w:sz w:val="24"/>
          <w:szCs w:val="20"/>
          <w14:textFill>
            <w14:solidFill>
              <w14:schemeClr w14:val="tx1"/>
            </w14:solidFill>
          </w14:textFill>
        </w:rPr>
        <w:t>不设置露天堆场，物料堆存</w:t>
      </w:r>
      <w:r>
        <w:rPr>
          <w:rFonts w:ascii="Times New Roman" w:hAnsi="Times New Roman" w:eastAsia="宋体" w:cs="Times New Roman"/>
          <w:color w:val="000000" w:themeColor="text1"/>
          <w:spacing w:val="-2"/>
          <w:sz w:val="24"/>
          <w:szCs w:val="20"/>
          <w14:textFill>
            <w14:solidFill>
              <w14:schemeClr w14:val="tx1"/>
            </w14:solidFill>
          </w14:textFill>
        </w:rPr>
        <w:t>均在车间内无雨水淋溶情况，并且项目生产过程中无需用水，仅有少量的工作人员的生活污水产生。</w:t>
      </w:r>
    </w:p>
    <w:p w14:paraId="63AFB1B4">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项目实施地下水污染</w:t>
      </w:r>
      <w:r>
        <w:rPr>
          <w:rFonts w:ascii="Times New Roman" w:hAnsi="Times New Roman" w:eastAsia="宋体" w:cs="Times New Roman"/>
          <w:color w:val="000000" w:themeColor="text1"/>
          <w:spacing w:val="-2"/>
          <w:sz w:val="24"/>
          <w:szCs w:val="20"/>
          <w14:textFill>
            <w14:solidFill>
              <w14:schemeClr w14:val="tx1"/>
            </w14:solidFill>
          </w14:textFill>
        </w:rPr>
        <w:t>分区防控措施</w:t>
      </w:r>
      <w:r>
        <w:rPr>
          <w:rFonts w:hint="eastAsia" w:ascii="Times New Roman" w:hAnsi="Times New Roman" w:eastAsia="宋体" w:cs="Times New Roman"/>
          <w:color w:val="000000" w:themeColor="text1"/>
          <w:spacing w:val="-2"/>
          <w:sz w:val="24"/>
          <w:szCs w:val="20"/>
          <w14:textFill>
            <w14:solidFill>
              <w14:schemeClr w14:val="tx1"/>
            </w14:solidFill>
          </w14:textFill>
        </w:rPr>
        <w:t>，</w:t>
      </w:r>
      <w:r>
        <w:rPr>
          <w:rFonts w:ascii="Times New Roman" w:hAnsi="Times New Roman" w:eastAsia="宋体" w:cs="Times New Roman"/>
          <w:color w:val="000000" w:themeColor="text1"/>
          <w:spacing w:val="-2"/>
          <w:sz w:val="24"/>
          <w:szCs w:val="20"/>
          <w14:textFill>
            <w14:solidFill>
              <w14:schemeClr w14:val="tx1"/>
            </w14:solidFill>
          </w14:textFill>
        </w:rPr>
        <w:t>将本项目整个厂房</w:t>
      </w:r>
      <w:r>
        <w:rPr>
          <w:rFonts w:hint="eastAsia" w:ascii="Times New Roman" w:hAnsi="Times New Roman" w:eastAsia="宋体" w:cs="Times New Roman"/>
          <w:color w:val="000000" w:themeColor="text1"/>
          <w:spacing w:val="-2"/>
          <w:sz w:val="24"/>
          <w:szCs w:val="20"/>
          <w14:textFill>
            <w14:solidFill>
              <w14:schemeClr w14:val="tx1"/>
            </w14:solidFill>
          </w14:textFill>
        </w:rPr>
        <w:t>（除危废暂存间外）</w:t>
      </w:r>
      <w:r>
        <w:rPr>
          <w:rFonts w:ascii="Times New Roman" w:hAnsi="Times New Roman" w:eastAsia="宋体" w:cs="Times New Roman"/>
          <w:color w:val="000000" w:themeColor="text1"/>
          <w:spacing w:val="-2"/>
          <w:sz w:val="24"/>
          <w:szCs w:val="20"/>
          <w14:textFill>
            <w14:solidFill>
              <w14:schemeClr w14:val="tx1"/>
            </w14:solidFill>
          </w14:textFill>
        </w:rPr>
        <w:t>作为</w:t>
      </w:r>
      <w:r>
        <w:rPr>
          <w:rFonts w:hint="eastAsia" w:ascii="Times New Roman" w:hAnsi="Times New Roman" w:eastAsia="宋体" w:cs="Times New Roman"/>
          <w:color w:val="000000" w:themeColor="text1"/>
          <w:spacing w:val="-2"/>
          <w:sz w:val="24"/>
          <w:szCs w:val="20"/>
          <w14:textFill>
            <w14:solidFill>
              <w14:schemeClr w14:val="tx1"/>
            </w14:solidFill>
          </w14:textFill>
        </w:rPr>
        <w:t>1</w:t>
      </w:r>
      <w:r>
        <w:rPr>
          <w:rFonts w:ascii="Times New Roman" w:hAnsi="Times New Roman" w:eastAsia="宋体" w:cs="Times New Roman"/>
          <w:color w:val="000000" w:themeColor="text1"/>
          <w:spacing w:val="-2"/>
          <w:sz w:val="24"/>
          <w:szCs w:val="20"/>
          <w14:textFill>
            <w14:solidFill>
              <w14:schemeClr w14:val="tx1"/>
            </w14:solidFill>
          </w14:textFill>
        </w:rPr>
        <w:t>个防渗分区</w:t>
      </w:r>
      <w:r>
        <w:rPr>
          <w:rFonts w:hint="eastAsia" w:ascii="Times New Roman" w:hAnsi="Times New Roman" w:eastAsia="宋体" w:cs="Times New Roman"/>
          <w:color w:val="000000" w:themeColor="text1"/>
          <w:spacing w:val="-2"/>
          <w:sz w:val="24"/>
          <w:szCs w:val="20"/>
          <w14:textFill>
            <w14:solidFill>
              <w14:schemeClr w14:val="tx1"/>
            </w14:solidFill>
          </w14:textFill>
        </w:rPr>
        <w:t>，厂房设置为一般防渗区；危废暂存间为1个防渗分区，设置为重点防渗区。项目</w:t>
      </w:r>
      <w:r>
        <w:rPr>
          <w:rFonts w:ascii="Times New Roman" w:hAnsi="Times New Roman" w:eastAsia="宋体" w:cs="Times New Roman"/>
          <w:color w:val="000000" w:themeColor="text1"/>
          <w:spacing w:val="-2"/>
          <w:sz w:val="24"/>
          <w:szCs w:val="20"/>
          <w14:textFill>
            <w14:solidFill>
              <w14:schemeClr w14:val="tx1"/>
            </w14:solidFill>
          </w14:textFill>
        </w:rPr>
        <w:t>采用合理的施工方法、选用质量过关的建筑材料、防渗材料进行本项目的施工</w:t>
      </w:r>
      <w:r>
        <w:rPr>
          <w:rFonts w:hint="eastAsia" w:ascii="Times New Roman" w:hAnsi="Times New Roman" w:eastAsia="宋体" w:cs="Times New Roman"/>
          <w:color w:val="000000" w:themeColor="text1"/>
          <w:spacing w:val="-2"/>
          <w:sz w:val="24"/>
          <w:szCs w:val="20"/>
          <w14:textFill>
            <w14:solidFill>
              <w14:schemeClr w14:val="tx1"/>
            </w14:solidFill>
          </w14:textFill>
        </w:rPr>
        <w:t>，使厂房</w:t>
      </w:r>
      <w:r>
        <w:rPr>
          <w:rFonts w:ascii="Times New Roman" w:hAnsi="Times New Roman" w:eastAsia="宋体" w:cs="Times New Roman"/>
          <w:color w:val="000000" w:themeColor="text1"/>
          <w:spacing w:val="-2"/>
          <w:sz w:val="24"/>
          <w:szCs w:val="20"/>
          <w14:textFill>
            <w14:solidFill>
              <w14:schemeClr w14:val="tx1"/>
            </w14:solidFill>
          </w14:textFill>
        </w:rPr>
        <w:t>达到防渗要求</w:t>
      </w:r>
      <w:r>
        <w:rPr>
          <w:rFonts w:hint="eastAsia" w:ascii="Times New Roman" w:hAnsi="Times New Roman" w:eastAsia="宋体" w:cs="Times New Roman"/>
          <w:color w:val="000000" w:themeColor="text1"/>
          <w:spacing w:val="-2"/>
          <w:sz w:val="24"/>
          <w:szCs w:val="20"/>
          <w14:textFill>
            <w14:solidFill>
              <w14:schemeClr w14:val="tx1"/>
            </w14:solidFill>
          </w14:textFill>
        </w:rPr>
        <w:t>，</w:t>
      </w:r>
      <w:r>
        <w:rPr>
          <w:rFonts w:ascii="Times New Roman" w:hAnsi="Times New Roman" w:eastAsia="宋体" w:cs="Times New Roman"/>
          <w:color w:val="000000" w:themeColor="text1"/>
          <w:spacing w:val="-2"/>
          <w:sz w:val="24"/>
          <w:szCs w:val="20"/>
          <w14:textFill>
            <w14:solidFill>
              <w14:schemeClr w14:val="tx1"/>
            </w14:solidFill>
          </w14:textFill>
        </w:rPr>
        <w:t>降低项目污染地下水环境的可能性。</w:t>
      </w:r>
    </w:p>
    <w:p w14:paraId="66414372">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综上，厂内采取防渗措施后，项目对地下水环境影响较小。</w:t>
      </w:r>
    </w:p>
    <w:p w14:paraId="70C55AB5">
      <w:pPr>
        <w:pStyle w:val="4"/>
        <w:widowControl w:val="0"/>
        <w:numPr>
          <w:ilvl w:val="1"/>
          <w:numId w:val="1"/>
        </w:numPr>
        <w:spacing w:before="0" w:line="360" w:lineRule="auto"/>
        <w:ind w:left="0" w:firstLine="0"/>
        <w:jc w:val="both"/>
        <w:rPr>
          <w:rFonts w:ascii="Times New Roman" w:hAnsi="Times New Roman" w:eastAsia="黑体" w:cs="Times New Roman"/>
          <w:b/>
          <w:bCs/>
          <w:color w:val="000000" w:themeColor="text1"/>
          <w:kern w:val="2"/>
          <w:sz w:val="28"/>
          <w:szCs w:val="32"/>
          <w14:textFill>
            <w14:solidFill>
              <w14:schemeClr w14:val="tx1"/>
            </w14:solidFill>
          </w14:textFill>
        </w:rPr>
      </w:pPr>
      <w:bookmarkStart w:id="115" w:name="_Toc78822672"/>
      <w:r>
        <w:rPr>
          <w:rFonts w:ascii="Times New Roman" w:hAnsi="Times New Roman" w:eastAsia="黑体" w:cs="Times New Roman"/>
          <w:b/>
          <w:bCs/>
          <w:color w:val="000000" w:themeColor="text1"/>
          <w:kern w:val="2"/>
          <w:sz w:val="28"/>
          <w:szCs w:val="32"/>
          <w14:textFill>
            <w14:solidFill>
              <w14:schemeClr w14:val="tx1"/>
            </w14:solidFill>
          </w14:textFill>
        </w:rPr>
        <w:t xml:space="preserve"> </w:t>
      </w:r>
      <w:bookmarkStart w:id="116" w:name="_Toc187653474"/>
      <w:r>
        <w:rPr>
          <w:rFonts w:ascii="Times New Roman" w:hAnsi="Times New Roman" w:eastAsia="黑体" w:cs="Times New Roman"/>
          <w:b/>
          <w:bCs/>
          <w:color w:val="000000" w:themeColor="text1"/>
          <w:kern w:val="2"/>
          <w:sz w:val="28"/>
          <w:szCs w:val="32"/>
          <w14:textFill>
            <w14:solidFill>
              <w14:schemeClr w14:val="tx1"/>
            </w14:solidFill>
          </w14:textFill>
        </w:rPr>
        <w:t>“三关键”分析</w:t>
      </w:r>
      <w:bookmarkEnd w:id="115"/>
      <w:bookmarkEnd w:id="116"/>
    </w:p>
    <w:p w14:paraId="5E35B9FA">
      <w:pPr>
        <w:pStyle w:val="5"/>
        <w:widowControl w:val="0"/>
        <w:numPr>
          <w:ilvl w:val="2"/>
          <w:numId w:val="1"/>
        </w:numPr>
        <w:spacing w:before="0" w:line="360" w:lineRule="auto"/>
        <w:jc w:val="both"/>
        <w:rPr>
          <w:rFonts w:ascii="Times New Roman" w:hAnsi="Times New Roman" w:eastAsia="黑体" w:cs="Times New Roman"/>
          <w:b/>
          <w:bCs/>
          <w:caps w:val="0"/>
          <w:color w:val="000000" w:themeColor="text1"/>
          <w:kern w:val="2"/>
          <w:sz w:val="24"/>
          <w:szCs w:val="32"/>
          <w14:textFill>
            <w14:solidFill>
              <w14:schemeClr w14:val="tx1"/>
            </w14:solidFill>
          </w14:textFill>
        </w:rPr>
      </w:pPr>
      <w:bookmarkStart w:id="117" w:name="_Toc390162907"/>
      <w:bookmarkStart w:id="118" w:name="_Toc51255248"/>
      <w:bookmarkStart w:id="119" w:name="_Toc78822673"/>
      <w:r>
        <w:rPr>
          <w:rFonts w:ascii="Times New Roman" w:hAnsi="Times New Roman" w:eastAsia="黑体" w:cs="Times New Roman"/>
          <w:b/>
          <w:bCs/>
          <w:caps w:val="0"/>
          <w:color w:val="000000" w:themeColor="text1"/>
          <w:kern w:val="2"/>
          <w:sz w:val="24"/>
          <w:szCs w:val="32"/>
          <w14:textFill>
            <w14:solidFill>
              <w14:schemeClr w14:val="tx1"/>
            </w14:solidFill>
          </w14:textFill>
        </w:rPr>
        <w:t>照射途径</w:t>
      </w:r>
      <w:bookmarkEnd w:id="117"/>
      <w:r>
        <w:rPr>
          <w:rFonts w:ascii="Times New Roman" w:hAnsi="Times New Roman" w:eastAsia="黑体" w:cs="Times New Roman"/>
          <w:b/>
          <w:bCs/>
          <w:caps w:val="0"/>
          <w:color w:val="000000" w:themeColor="text1"/>
          <w:kern w:val="2"/>
          <w:sz w:val="24"/>
          <w:szCs w:val="32"/>
          <w14:textFill>
            <w14:solidFill>
              <w14:schemeClr w14:val="tx1"/>
            </w14:solidFill>
          </w14:textFill>
        </w:rPr>
        <w:t>分析</w:t>
      </w:r>
      <w:bookmarkEnd w:id="118"/>
      <w:bookmarkEnd w:id="119"/>
    </w:p>
    <w:p w14:paraId="4E2C9F22">
      <w:pPr>
        <w:pStyle w:val="6"/>
        <w:widowControl w:val="0"/>
        <w:numPr>
          <w:ilvl w:val="3"/>
          <w:numId w:val="1"/>
        </w:numPr>
        <w:spacing w:before="0" w:line="360" w:lineRule="auto"/>
        <w:ind w:left="0" w:firstLine="0"/>
        <w:jc w:val="both"/>
        <w:rPr>
          <w:rFonts w:ascii="Times New Roman" w:hAnsi="Times New Roman" w:eastAsia="黑体" w:cs="Times New Roman"/>
          <w:bCs/>
          <w:i w:val="0"/>
          <w:iCs w:val="0"/>
          <w:color w:val="000000" w:themeColor="text1"/>
          <w:kern w:val="2"/>
          <w:sz w:val="24"/>
          <w14:textFill>
            <w14:solidFill>
              <w14:schemeClr w14:val="tx1"/>
            </w14:solidFill>
          </w14:textFill>
        </w:rPr>
      </w:pPr>
      <w:bookmarkStart w:id="120" w:name="_Toc390162908"/>
      <w:r>
        <w:rPr>
          <w:rFonts w:ascii="Times New Roman" w:hAnsi="Times New Roman" w:eastAsia="黑体" w:cs="Times New Roman"/>
          <w:bCs/>
          <w:i w:val="0"/>
          <w:iCs w:val="0"/>
          <w:color w:val="000000" w:themeColor="text1"/>
          <w:kern w:val="2"/>
          <w:sz w:val="24"/>
          <w14:textFill>
            <w14:solidFill>
              <w14:schemeClr w14:val="tx1"/>
            </w14:solidFill>
          </w14:textFill>
        </w:rPr>
        <w:t>气态途径</w:t>
      </w:r>
      <w:bookmarkEnd w:id="120"/>
    </w:p>
    <w:p w14:paraId="20E1CA19">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气载放射性流出物排放对公众造成辐射照射的途径见图4.5-1。</w:t>
      </w:r>
    </w:p>
    <w:p w14:paraId="1112E665">
      <w:pPr>
        <w:autoSpaceDE w:val="0"/>
        <w:autoSpaceDN w:val="0"/>
        <w:jc w:val="center"/>
        <w:rPr>
          <w:rFonts w:ascii="Times New Roman" w:hAnsi="Times New Roman" w:cs="Times New Roman"/>
          <w:color w:val="000000" w:themeColor="text1"/>
          <w:sz w:val="28"/>
          <w14:textFill>
            <w14:solidFill>
              <w14:schemeClr w14:val="tx1"/>
            </w14:solidFill>
          </w14:textFill>
        </w:rPr>
      </w:pPr>
      <w:r>
        <w:rPr>
          <w:rFonts w:ascii="Times New Roman" w:hAnsi="Times New Roman" w:cs="Times New Roman"/>
          <w:color w:val="000000" w:themeColor="text1"/>
          <w:sz w:val="28"/>
          <w14:textFill>
            <w14:solidFill>
              <w14:schemeClr w14:val="tx1"/>
            </w14:solidFill>
          </w14:textFill>
        </w:rPr>
        <w:drawing>
          <wp:inline distT="0" distB="0" distL="0" distR="0">
            <wp:extent cx="4500245" cy="3195955"/>
            <wp:effectExtent l="0" t="0" r="0" b="4445"/>
            <wp:docPr id="64" name="图片 64" descr="气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气态"/>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4509875" cy="3202656"/>
                    </a:xfrm>
                    <a:prstGeom prst="rect">
                      <a:avLst/>
                    </a:prstGeom>
                    <a:noFill/>
                    <a:ln>
                      <a:noFill/>
                    </a:ln>
                  </pic:spPr>
                </pic:pic>
              </a:graphicData>
            </a:graphic>
          </wp:inline>
        </w:drawing>
      </w:r>
    </w:p>
    <w:p w14:paraId="1D1D64D8">
      <w:pPr>
        <w:spacing w:after="0" w:line="360" w:lineRule="auto"/>
        <w:jc w:val="center"/>
        <w:rPr>
          <w:rFonts w:ascii="Times New Roman" w:hAnsi="Times New Roman" w:cs="Times New Roman"/>
          <w:b/>
          <w:color w:val="000000" w:themeColor="text1"/>
          <w:spacing w:val="-2"/>
          <w:sz w:val="24"/>
          <w:szCs w:val="24"/>
          <w14:textFill>
            <w14:solidFill>
              <w14:schemeClr w14:val="tx1"/>
            </w14:solidFill>
          </w14:textFill>
        </w:rPr>
      </w:pPr>
      <w:r>
        <w:rPr>
          <w:rFonts w:ascii="Times New Roman" w:hAnsi="Times New Roman" w:cs="Times New Roman"/>
          <w:b/>
          <w:color w:val="000000" w:themeColor="text1"/>
          <w:spacing w:val="-2"/>
          <w:sz w:val="24"/>
          <w:szCs w:val="24"/>
          <w14:textFill>
            <w14:solidFill>
              <w14:schemeClr w14:val="tx1"/>
            </w14:solidFill>
          </w14:textFill>
        </w:rPr>
        <w:t>图4.5-1  气态照射途径示意图</w:t>
      </w:r>
    </w:p>
    <w:p w14:paraId="0BB27622">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 xml:space="preserve">本项目气载放射性流出物对公众造成的辐射影响，主要考虑如下四种照射途径： </w:t>
      </w:r>
    </w:p>
    <w:p w14:paraId="586AAAA6">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（1）</w:t>
      </w:r>
      <w:r>
        <w:rPr>
          <w:rFonts w:ascii="Times New Roman" w:hAnsi="Times New Roman" w:eastAsia="宋体" w:cs="Times New Roman"/>
          <w:color w:val="000000" w:themeColor="text1"/>
          <w:spacing w:val="-2"/>
          <w:sz w:val="24"/>
          <w:szCs w:val="20"/>
          <w14:textFill>
            <w14:solidFill>
              <w14:schemeClr w14:val="tx1"/>
            </w14:solidFill>
          </w14:textFill>
        </w:rPr>
        <w:t>空气浸没外照射；</w:t>
      </w:r>
    </w:p>
    <w:p w14:paraId="0F219A45">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（2）</w:t>
      </w:r>
      <w:r>
        <w:rPr>
          <w:rFonts w:ascii="Times New Roman" w:hAnsi="Times New Roman" w:eastAsia="宋体" w:cs="Times New Roman"/>
          <w:color w:val="000000" w:themeColor="text1"/>
          <w:spacing w:val="-2"/>
          <w:sz w:val="24"/>
          <w:szCs w:val="20"/>
          <w14:textFill>
            <w14:solidFill>
              <w14:schemeClr w14:val="tx1"/>
            </w14:solidFill>
          </w14:textFill>
        </w:rPr>
        <w:t>地面沉积物外照射；</w:t>
      </w:r>
    </w:p>
    <w:p w14:paraId="1727F521">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（3）</w:t>
      </w:r>
      <w:r>
        <w:rPr>
          <w:rFonts w:ascii="Times New Roman" w:hAnsi="Times New Roman" w:eastAsia="宋体" w:cs="Times New Roman"/>
          <w:color w:val="000000" w:themeColor="text1"/>
          <w:spacing w:val="-2"/>
          <w:sz w:val="24"/>
          <w:szCs w:val="20"/>
          <w14:textFill>
            <w14:solidFill>
              <w14:schemeClr w14:val="tx1"/>
            </w14:solidFill>
          </w14:textFill>
        </w:rPr>
        <w:t>吸入污染空气内照射；</w:t>
      </w:r>
    </w:p>
    <w:p w14:paraId="72F39EF8">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（4）</w:t>
      </w:r>
      <w:r>
        <w:rPr>
          <w:rFonts w:ascii="Times New Roman" w:hAnsi="Times New Roman" w:eastAsia="宋体" w:cs="Times New Roman"/>
          <w:color w:val="000000" w:themeColor="text1"/>
          <w:spacing w:val="-2"/>
          <w:sz w:val="24"/>
          <w:szCs w:val="20"/>
          <w14:textFill>
            <w14:solidFill>
              <w14:schemeClr w14:val="tx1"/>
            </w14:solidFill>
          </w14:textFill>
        </w:rPr>
        <w:t>食入污染陆生食品内照射。</w:t>
      </w:r>
    </w:p>
    <w:p w14:paraId="072681D7">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从预测结果可知，厂界矿尘中放射性核素含量极低，可以忽略不计，不存在空气浸没外照射、地面沉积物外照射及食入污染陆生食品内照射，本项目</w:t>
      </w:r>
      <w:r>
        <w:rPr>
          <w:rFonts w:hint="eastAsia" w:ascii="Times New Roman" w:hAnsi="Times New Roman" w:eastAsia="宋体" w:cs="Times New Roman"/>
          <w:color w:val="000000" w:themeColor="text1"/>
          <w:spacing w:val="-2"/>
          <w:sz w:val="24"/>
          <w:szCs w:val="20"/>
          <w:lang w:eastAsia="zh-CN"/>
          <w14:textFill>
            <w14:solidFill>
              <w14:schemeClr w14:val="tx1"/>
            </w14:solidFill>
          </w14:textFill>
        </w:rPr>
        <w:t>工作</w:t>
      </w:r>
      <w:r>
        <w:rPr>
          <w:rFonts w:ascii="Times New Roman" w:hAnsi="Times New Roman" w:eastAsia="宋体" w:cs="Times New Roman"/>
          <w:color w:val="000000" w:themeColor="text1"/>
          <w:spacing w:val="-2"/>
          <w:sz w:val="24"/>
          <w:szCs w:val="20"/>
          <w14:textFill>
            <w14:solidFill>
              <w14:schemeClr w14:val="tx1"/>
            </w14:solidFill>
          </w14:textFill>
        </w:rPr>
        <w:t>人员主要为吸入含氡空气内照射。</w:t>
      </w:r>
    </w:p>
    <w:p w14:paraId="6B4FBE63">
      <w:pPr>
        <w:pStyle w:val="5"/>
        <w:widowControl w:val="0"/>
        <w:numPr>
          <w:ilvl w:val="2"/>
          <w:numId w:val="1"/>
        </w:numPr>
        <w:spacing w:before="0" w:line="360" w:lineRule="auto"/>
        <w:jc w:val="both"/>
        <w:rPr>
          <w:rFonts w:ascii="Times New Roman" w:hAnsi="Times New Roman" w:eastAsia="黑体" w:cs="Times New Roman"/>
          <w:b/>
          <w:bCs/>
          <w:caps w:val="0"/>
          <w:color w:val="000000" w:themeColor="text1"/>
          <w:kern w:val="2"/>
          <w:sz w:val="24"/>
          <w:szCs w:val="32"/>
          <w14:textFill>
            <w14:solidFill>
              <w14:schemeClr w14:val="tx1"/>
            </w14:solidFill>
          </w14:textFill>
        </w:rPr>
      </w:pPr>
      <w:bookmarkStart w:id="121" w:name="_Toc78822674"/>
      <w:bookmarkStart w:id="122" w:name="_Toc51255249"/>
      <w:r>
        <w:rPr>
          <w:rFonts w:ascii="Times New Roman" w:hAnsi="Times New Roman" w:eastAsia="黑体" w:cs="Times New Roman"/>
          <w:b/>
          <w:bCs/>
          <w:caps w:val="0"/>
          <w:color w:val="000000" w:themeColor="text1"/>
          <w:kern w:val="2"/>
          <w:sz w:val="24"/>
          <w:szCs w:val="32"/>
          <w14:textFill>
            <w14:solidFill>
              <w14:schemeClr w14:val="tx1"/>
            </w14:solidFill>
          </w14:textFill>
        </w:rPr>
        <w:t>放射性核素</w:t>
      </w:r>
      <w:bookmarkEnd w:id="121"/>
      <w:bookmarkEnd w:id="122"/>
    </w:p>
    <w:p w14:paraId="6D47DF63">
      <w:pPr>
        <w:spacing w:after="0" w:line="360" w:lineRule="auto"/>
        <w:ind w:firstLine="480" w:firstLineChars="200"/>
        <w:rPr>
          <w:color w:val="000000" w:themeColor="text1"/>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根据工程概况，项目运行中，对人员受照剂量贡献的主要放射性核素见表4.5-1。</w:t>
      </w:r>
    </w:p>
    <w:p w14:paraId="7951C9E1">
      <w:pPr>
        <w:widowControl w:val="0"/>
        <w:spacing w:after="0" w:line="360" w:lineRule="auto"/>
        <w:jc w:val="center"/>
        <w:rPr>
          <w:rFonts w:ascii="Times New Roman" w:hAnsi="Times New Roman" w:eastAsia="宋体" w:cs="Times New Roman"/>
          <w:b/>
          <w:bCs/>
          <w:color w:val="000000" w:themeColor="text1"/>
          <w:spacing w:val="-2"/>
          <w:sz w:val="24"/>
          <w:szCs w:val="20"/>
          <w14:textFill>
            <w14:solidFill>
              <w14:schemeClr w14:val="tx1"/>
            </w14:solidFill>
          </w14:textFill>
        </w:rPr>
      </w:pPr>
      <w:r>
        <w:rPr>
          <w:rFonts w:ascii="Times New Roman" w:hAnsi="Times New Roman" w:eastAsia="宋体" w:cs="Times New Roman"/>
          <w:b/>
          <w:bCs/>
          <w:color w:val="000000" w:themeColor="text1"/>
          <w:spacing w:val="-2"/>
          <w:sz w:val="24"/>
          <w:szCs w:val="20"/>
          <w14:textFill>
            <w14:solidFill>
              <w14:schemeClr w14:val="tx1"/>
            </w14:solidFill>
          </w14:textFill>
        </w:rPr>
        <w:t>表4.5-1</w:t>
      </w:r>
      <w:r>
        <w:rPr>
          <w:rFonts w:hint="eastAsia" w:ascii="Times New Roman" w:hAnsi="Times New Roman" w:eastAsia="宋体" w:cs="Times New Roman"/>
          <w:b/>
          <w:bCs/>
          <w:color w:val="000000" w:themeColor="text1"/>
          <w:spacing w:val="-2"/>
          <w:sz w:val="24"/>
          <w:szCs w:val="20"/>
          <w14:textFill>
            <w14:solidFill>
              <w14:schemeClr w14:val="tx1"/>
            </w14:solidFill>
          </w14:textFill>
        </w:rPr>
        <w:t xml:space="preserve">  </w:t>
      </w:r>
      <w:r>
        <w:rPr>
          <w:rFonts w:ascii="Times New Roman" w:hAnsi="Times New Roman" w:eastAsia="宋体" w:cs="Times New Roman"/>
          <w:b/>
          <w:bCs/>
          <w:color w:val="000000" w:themeColor="text1"/>
          <w:spacing w:val="-2"/>
          <w:sz w:val="24"/>
          <w:szCs w:val="20"/>
          <w14:textFill>
            <w14:solidFill>
              <w14:schemeClr w14:val="tx1"/>
            </w14:solidFill>
          </w14:textFill>
        </w:rPr>
        <w:t>主要放射性核素</w:t>
      </w:r>
    </w:p>
    <w:tbl>
      <w:tblPr>
        <w:tblStyle w:val="4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130"/>
        <w:gridCol w:w="2130"/>
        <w:gridCol w:w="2131"/>
        <w:gridCol w:w="2131"/>
      </w:tblGrid>
      <w:tr w14:paraId="284783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50" w:type="pct"/>
            <w:vAlign w:val="center"/>
          </w:tcPr>
          <w:p w14:paraId="51BAB2C0">
            <w:pPr>
              <w:spacing w:after="0" w:line="240" w:lineRule="auto"/>
              <w:jc w:val="cente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空气浸没照射</w:t>
            </w:r>
          </w:p>
        </w:tc>
        <w:tc>
          <w:tcPr>
            <w:tcW w:w="1250" w:type="pct"/>
            <w:vAlign w:val="center"/>
          </w:tcPr>
          <w:p w14:paraId="02684CE4">
            <w:pPr>
              <w:spacing w:after="0" w:line="240" w:lineRule="auto"/>
              <w:jc w:val="cente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地表沉积外照射</w:t>
            </w:r>
          </w:p>
        </w:tc>
        <w:tc>
          <w:tcPr>
            <w:tcW w:w="1250" w:type="pct"/>
            <w:vAlign w:val="center"/>
          </w:tcPr>
          <w:p w14:paraId="765A71D5">
            <w:pPr>
              <w:spacing w:after="0" w:line="240" w:lineRule="auto"/>
              <w:jc w:val="cente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吸入</w:t>
            </w:r>
          </w:p>
        </w:tc>
        <w:tc>
          <w:tcPr>
            <w:tcW w:w="1250" w:type="pct"/>
            <w:vAlign w:val="center"/>
          </w:tcPr>
          <w:p w14:paraId="06CE02A1">
            <w:pPr>
              <w:spacing w:after="0" w:line="240" w:lineRule="auto"/>
              <w:jc w:val="cente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食入</w:t>
            </w:r>
          </w:p>
        </w:tc>
      </w:tr>
      <w:tr w14:paraId="66FF1F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50" w:type="pct"/>
            <w:vAlign w:val="center"/>
          </w:tcPr>
          <w:p w14:paraId="5A8BA082">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vertAlign w:val="superscript"/>
                <w14:textFill>
                  <w14:solidFill>
                    <w14:schemeClr w14:val="tx1"/>
                  </w14:solidFill>
                </w14:textFill>
              </w:rPr>
              <w:t>238</w:t>
            </w:r>
            <w:r>
              <w:rPr>
                <w:rFonts w:ascii="Times New Roman" w:hAnsi="Times New Roman" w:eastAsia="宋体" w:cs="Times New Roman"/>
                <w:color w:val="000000" w:themeColor="text1"/>
                <w14:textFill>
                  <w14:solidFill>
                    <w14:schemeClr w14:val="tx1"/>
                  </w14:solidFill>
                </w14:textFill>
              </w:rPr>
              <w:t>U</w:t>
            </w:r>
          </w:p>
          <w:p w14:paraId="3999761E">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vertAlign w:val="superscript"/>
                <w14:textFill>
                  <w14:solidFill>
                    <w14:schemeClr w14:val="tx1"/>
                  </w14:solidFill>
                </w14:textFill>
              </w:rPr>
              <w:t>232</w:t>
            </w:r>
            <w:r>
              <w:rPr>
                <w:rFonts w:ascii="Times New Roman" w:hAnsi="Times New Roman" w:eastAsia="宋体" w:cs="Times New Roman"/>
                <w:color w:val="000000" w:themeColor="text1"/>
                <w14:textFill>
                  <w14:solidFill>
                    <w14:schemeClr w14:val="tx1"/>
                  </w14:solidFill>
                </w14:textFill>
              </w:rPr>
              <w:t>Th</w:t>
            </w:r>
          </w:p>
          <w:p w14:paraId="4F551D09">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vertAlign w:val="superscript"/>
                <w14:textFill>
                  <w14:solidFill>
                    <w14:schemeClr w14:val="tx1"/>
                  </w14:solidFill>
                </w14:textFill>
              </w:rPr>
              <w:t>226</w:t>
            </w:r>
            <w:r>
              <w:rPr>
                <w:rFonts w:ascii="Times New Roman" w:hAnsi="Times New Roman" w:eastAsia="宋体" w:cs="Times New Roman"/>
                <w:color w:val="000000" w:themeColor="text1"/>
                <w14:textFill>
                  <w14:solidFill>
                    <w14:schemeClr w14:val="tx1"/>
                  </w14:solidFill>
                </w14:textFill>
              </w:rPr>
              <w:t>Ra</w:t>
            </w:r>
          </w:p>
        </w:tc>
        <w:tc>
          <w:tcPr>
            <w:tcW w:w="1250" w:type="pct"/>
            <w:vAlign w:val="center"/>
          </w:tcPr>
          <w:p w14:paraId="0F47CEB2">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vertAlign w:val="superscript"/>
                <w14:textFill>
                  <w14:solidFill>
                    <w14:schemeClr w14:val="tx1"/>
                  </w14:solidFill>
                </w14:textFill>
              </w:rPr>
              <w:t>238</w:t>
            </w:r>
            <w:r>
              <w:rPr>
                <w:rFonts w:ascii="Times New Roman" w:hAnsi="Times New Roman" w:eastAsia="宋体" w:cs="Times New Roman"/>
                <w:color w:val="000000" w:themeColor="text1"/>
                <w14:textFill>
                  <w14:solidFill>
                    <w14:schemeClr w14:val="tx1"/>
                  </w14:solidFill>
                </w14:textFill>
              </w:rPr>
              <w:t>U</w:t>
            </w:r>
          </w:p>
          <w:p w14:paraId="50D12FC5">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vertAlign w:val="superscript"/>
                <w14:textFill>
                  <w14:solidFill>
                    <w14:schemeClr w14:val="tx1"/>
                  </w14:solidFill>
                </w14:textFill>
              </w:rPr>
              <w:t>232</w:t>
            </w:r>
            <w:r>
              <w:rPr>
                <w:rFonts w:ascii="Times New Roman" w:hAnsi="Times New Roman" w:eastAsia="宋体" w:cs="Times New Roman"/>
                <w:color w:val="000000" w:themeColor="text1"/>
                <w14:textFill>
                  <w14:solidFill>
                    <w14:schemeClr w14:val="tx1"/>
                  </w14:solidFill>
                </w14:textFill>
              </w:rPr>
              <w:t>Th</w:t>
            </w:r>
          </w:p>
          <w:p w14:paraId="04227FBF">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vertAlign w:val="superscript"/>
                <w14:textFill>
                  <w14:solidFill>
                    <w14:schemeClr w14:val="tx1"/>
                  </w14:solidFill>
                </w14:textFill>
              </w:rPr>
              <w:t>226</w:t>
            </w:r>
            <w:r>
              <w:rPr>
                <w:rFonts w:ascii="Times New Roman" w:hAnsi="Times New Roman" w:eastAsia="宋体" w:cs="Times New Roman"/>
                <w:color w:val="000000" w:themeColor="text1"/>
                <w14:textFill>
                  <w14:solidFill>
                    <w14:schemeClr w14:val="tx1"/>
                  </w14:solidFill>
                </w14:textFill>
              </w:rPr>
              <w:t>Ra</w:t>
            </w:r>
          </w:p>
        </w:tc>
        <w:tc>
          <w:tcPr>
            <w:tcW w:w="1250" w:type="pct"/>
            <w:vAlign w:val="center"/>
          </w:tcPr>
          <w:p w14:paraId="3A8B7A6F">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vertAlign w:val="superscript"/>
                <w14:textFill>
                  <w14:solidFill>
                    <w14:schemeClr w14:val="tx1"/>
                  </w14:solidFill>
                </w14:textFill>
              </w:rPr>
              <w:t>238</w:t>
            </w:r>
            <w:r>
              <w:rPr>
                <w:rFonts w:ascii="Times New Roman" w:hAnsi="Times New Roman" w:eastAsia="宋体" w:cs="Times New Roman"/>
                <w:color w:val="000000" w:themeColor="text1"/>
                <w14:textFill>
                  <w14:solidFill>
                    <w14:schemeClr w14:val="tx1"/>
                  </w14:solidFill>
                </w14:textFill>
              </w:rPr>
              <w:t>U</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vertAlign w:val="superscript"/>
                <w14:textFill>
                  <w14:solidFill>
                    <w14:schemeClr w14:val="tx1"/>
                  </w14:solidFill>
                </w14:textFill>
              </w:rPr>
              <w:t>232</w:t>
            </w:r>
            <w:r>
              <w:rPr>
                <w:rFonts w:ascii="Times New Roman" w:hAnsi="Times New Roman" w:eastAsia="宋体" w:cs="Times New Roman"/>
                <w:color w:val="000000" w:themeColor="text1"/>
                <w14:textFill>
                  <w14:solidFill>
                    <w14:schemeClr w14:val="tx1"/>
                  </w14:solidFill>
                </w14:textFill>
              </w:rPr>
              <w:t>Th</w:t>
            </w:r>
          </w:p>
          <w:p w14:paraId="13E4C912">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vertAlign w:val="superscript"/>
                <w14:textFill>
                  <w14:solidFill>
                    <w14:schemeClr w14:val="tx1"/>
                  </w14:solidFill>
                </w14:textFill>
              </w:rPr>
              <w:t>226</w:t>
            </w:r>
            <w:r>
              <w:rPr>
                <w:rFonts w:ascii="Times New Roman" w:hAnsi="Times New Roman" w:eastAsia="宋体" w:cs="Times New Roman"/>
                <w:color w:val="000000" w:themeColor="text1"/>
                <w14:textFill>
                  <w14:solidFill>
                    <w14:schemeClr w14:val="tx1"/>
                  </w14:solidFill>
                </w14:textFill>
              </w:rPr>
              <w:t>Ra</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vertAlign w:val="superscript"/>
                <w14:textFill>
                  <w14:solidFill>
                    <w14:schemeClr w14:val="tx1"/>
                  </w14:solidFill>
                </w14:textFill>
              </w:rPr>
              <w:t>222</w:t>
            </w:r>
            <w:r>
              <w:rPr>
                <w:rFonts w:ascii="Times New Roman" w:hAnsi="Times New Roman" w:eastAsia="宋体" w:cs="Times New Roman"/>
                <w:color w:val="000000" w:themeColor="text1"/>
                <w14:textFill>
                  <w14:solidFill>
                    <w14:schemeClr w14:val="tx1"/>
                  </w14:solidFill>
                </w14:textFill>
              </w:rPr>
              <w:t>Rn</w:t>
            </w:r>
          </w:p>
          <w:p w14:paraId="4B027BB9">
            <w:pPr>
              <w:pStyle w:val="2"/>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vertAlign w:val="superscript"/>
                <w14:textFill>
                  <w14:solidFill>
                    <w14:schemeClr w14:val="tx1"/>
                  </w14:solidFill>
                </w14:textFill>
              </w:rPr>
              <w:t>218</w:t>
            </w:r>
            <w:r>
              <w:rPr>
                <w:rFonts w:ascii="Times New Roman" w:hAnsi="Times New Roman" w:cs="Times New Roman"/>
                <w:color w:val="000000" w:themeColor="text1"/>
                <w:sz w:val="21"/>
                <w:szCs w:val="21"/>
                <w14:textFill>
                  <w14:solidFill>
                    <w14:schemeClr w14:val="tx1"/>
                  </w14:solidFill>
                </w14:textFill>
              </w:rPr>
              <w:t>Po</w: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vertAlign w:val="superscript"/>
                <w14:textFill>
                  <w14:solidFill>
                    <w14:schemeClr w14:val="tx1"/>
                  </w14:solidFill>
                </w14:textFill>
              </w:rPr>
              <w:t>214</w:t>
            </w:r>
            <w:r>
              <w:rPr>
                <w:rFonts w:ascii="Times New Roman" w:hAnsi="Times New Roman" w:cs="Times New Roman"/>
                <w:color w:val="000000" w:themeColor="text1"/>
                <w:sz w:val="21"/>
                <w:szCs w:val="21"/>
                <w14:textFill>
                  <w14:solidFill>
                    <w14:schemeClr w14:val="tx1"/>
                  </w14:solidFill>
                </w14:textFill>
              </w:rPr>
              <w:t>Pb</w:t>
            </w:r>
          </w:p>
          <w:p w14:paraId="39514D49">
            <w:pPr>
              <w:pStyle w:val="2"/>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1"/>
                <w:szCs w:val="21"/>
                <w:vertAlign w:val="superscript"/>
                <w14:textFill>
                  <w14:solidFill>
                    <w14:schemeClr w14:val="tx1"/>
                  </w14:solidFill>
                </w14:textFill>
              </w:rPr>
              <w:t>214</w:t>
            </w:r>
            <w:r>
              <w:rPr>
                <w:rFonts w:ascii="Times New Roman" w:hAnsi="Times New Roman" w:cs="Times New Roman"/>
                <w:color w:val="000000" w:themeColor="text1"/>
                <w:sz w:val="21"/>
                <w:szCs w:val="21"/>
                <w14:textFill>
                  <w14:solidFill>
                    <w14:schemeClr w14:val="tx1"/>
                  </w14:solidFill>
                </w14:textFill>
              </w:rPr>
              <w:t>Bi</w:t>
            </w:r>
          </w:p>
        </w:tc>
        <w:tc>
          <w:tcPr>
            <w:tcW w:w="1250" w:type="pct"/>
            <w:vAlign w:val="center"/>
          </w:tcPr>
          <w:p w14:paraId="7F0EC4A1">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vertAlign w:val="superscript"/>
                <w14:textFill>
                  <w14:solidFill>
                    <w14:schemeClr w14:val="tx1"/>
                  </w14:solidFill>
                </w14:textFill>
              </w:rPr>
              <w:t>238</w:t>
            </w:r>
            <w:r>
              <w:rPr>
                <w:rFonts w:ascii="Times New Roman" w:hAnsi="Times New Roman" w:eastAsia="宋体" w:cs="Times New Roman"/>
                <w:color w:val="000000" w:themeColor="text1"/>
                <w14:textFill>
                  <w14:solidFill>
                    <w14:schemeClr w14:val="tx1"/>
                  </w14:solidFill>
                </w14:textFill>
              </w:rPr>
              <w:t>U</w:t>
            </w:r>
          </w:p>
          <w:p w14:paraId="749A4FE4">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vertAlign w:val="superscript"/>
                <w14:textFill>
                  <w14:solidFill>
                    <w14:schemeClr w14:val="tx1"/>
                  </w14:solidFill>
                </w14:textFill>
              </w:rPr>
              <w:t>232</w:t>
            </w:r>
            <w:r>
              <w:rPr>
                <w:rFonts w:ascii="Times New Roman" w:hAnsi="Times New Roman" w:eastAsia="宋体" w:cs="Times New Roman"/>
                <w:color w:val="000000" w:themeColor="text1"/>
                <w14:textFill>
                  <w14:solidFill>
                    <w14:schemeClr w14:val="tx1"/>
                  </w14:solidFill>
                </w14:textFill>
              </w:rPr>
              <w:t>Th</w:t>
            </w:r>
          </w:p>
          <w:p w14:paraId="5EF7E453">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vertAlign w:val="superscript"/>
                <w14:textFill>
                  <w14:solidFill>
                    <w14:schemeClr w14:val="tx1"/>
                  </w14:solidFill>
                </w14:textFill>
              </w:rPr>
              <w:t>226</w:t>
            </w:r>
            <w:r>
              <w:rPr>
                <w:rFonts w:ascii="Times New Roman" w:hAnsi="Times New Roman" w:eastAsia="宋体" w:cs="Times New Roman"/>
                <w:color w:val="000000" w:themeColor="text1"/>
                <w14:textFill>
                  <w14:solidFill>
                    <w14:schemeClr w14:val="tx1"/>
                  </w14:solidFill>
                </w14:textFill>
              </w:rPr>
              <w:t>Ra</w:t>
            </w:r>
          </w:p>
        </w:tc>
      </w:tr>
    </w:tbl>
    <w:p w14:paraId="647367D7">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p>
    <w:p w14:paraId="3A638CAE">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从前面途径分析可知，本项目人员主要受照途径为吸入照射。从预测结果可知，厂界矿尘中放射性核素浓度水平极低，不会对环境造成辐射影响。即可以认为吸入途径的关键核素为氡-222。</w:t>
      </w:r>
    </w:p>
    <w:p w14:paraId="1818C66E">
      <w:pPr>
        <w:pStyle w:val="5"/>
        <w:widowControl w:val="0"/>
        <w:numPr>
          <w:ilvl w:val="2"/>
          <w:numId w:val="1"/>
        </w:numPr>
        <w:spacing w:before="0" w:line="360" w:lineRule="auto"/>
        <w:jc w:val="both"/>
        <w:rPr>
          <w:rFonts w:ascii="Times New Roman" w:hAnsi="Times New Roman" w:eastAsia="黑体" w:cs="Times New Roman"/>
          <w:b/>
          <w:bCs/>
          <w:caps w:val="0"/>
          <w:color w:val="000000" w:themeColor="text1"/>
          <w:kern w:val="2"/>
          <w:sz w:val="24"/>
          <w:szCs w:val="32"/>
          <w14:textFill>
            <w14:solidFill>
              <w14:schemeClr w14:val="tx1"/>
            </w14:solidFill>
          </w14:textFill>
        </w:rPr>
      </w:pPr>
      <w:bookmarkStart w:id="123" w:name="_Toc390162913"/>
      <w:bookmarkStart w:id="124" w:name="_Toc78822675"/>
      <w:bookmarkStart w:id="125" w:name="_Toc51255250"/>
      <w:r>
        <w:rPr>
          <w:rFonts w:ascii="宋体" w:hAnsi="宋体" w:eastAsia="宋体" w:cs="Times New Roman"/>
          <w:b/>
          <w:bCs/>
          <w:caps w:val="0"/>
          <w:color w:val="000000" w:themeColor="text1"/>
          <w:kern w:val="2"/>
          <w:sz w:val="24"/>
          <w:szCs w:val="32"/>
          <w14:textFill>
            <w14:solidFill>
              <w14:schemeClr w14:val="tx1"/>
            </w14:solidFill>
          </w14:textFill>
        </w:rPr>
        <w:t>“三关键”</w:t>
      </w:r>
      <w:r>
        <w:rPr>
          <w:rFonts w:ascii="Times New Roman" w:hAnsi="Times New Roman" w:eastAsia="黑体" w:cs="Times New Roman"/>
          <w:b/>
          <w:bCs/>
          <w:caps w:val="0"/>
          <w:color w:val="000000" w:themeColor="text1"/>
          <w:kern w:val="2"/>
          <w:sz w:val="24"/>
          <w:szCs w:val="32"/>
          <w14:textFill>
            <w14:solidFill>
              <w14:schemeClr w14:val="tx1"/>
            </w14:solidFill>
          </w14:textFill>
        </w:rPr>
        <w:t>分析结果</w:t>
      </w:r>
      <w:bookmarkEnd w:id="123"/>
      <w:bookmarkEnd w:id="124"/>
      <w:bookmarkEnd w:id="125"/>
    </w:p>
    <w:p w14:paraId="09812DED">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本项目评价范围内，放射性核素照射途径主要通过气态流出物照射，无放射性废水外排，</w:t>
      </w:r>
      <w:r>
        <w:rPr>
          <w:rFonts w:hint="eastAsia" w:ascii="Times New Roman" w:hAnsi="Times New Roman" w:eastAsia="宋体" w:cs="Times New Roman"/>
          <w:color w:val="000000" w:themeColor="text1"/>
          <w:spacing w:val="-2"/>
          <w:sz w:val="24"/>
          <w:szCs w:val="20"/>
          <w14:textFill>
            <w14:solidFill>
              <w14:schemeClr w14:val="tx1"/>
            </w14:solidFill>
          </w14:textFill>
        </w:rPr>
        <w:t>无堆场渗滤液产生，生活污水</w:t>
      </w:r>
      <w:r>
        <w:rPr>
          <w:rFonts w:ascii="Times New Roman" w:hAnsi="Times New Roman" w:eastAsia="宋体" w:cs="Times New Roman"/>
          <w:color w:val="000000" w:themeColor="text1"/>
          <w:spacing w:val="-2"/>
          <w:sz w:val="24"/>
          <w:szCs w:val="20"/>
          <w14:textFill>
            <w14:solidFill>
              <w14:schemeClr w14:val="tx1"/>
            </w14:solidFill>
          </w14:textFill>
        </w:rPr>
        <w:t>渗透至地下水可能性小，液态途径的照射极小</w:t>
      </w:r>
      <w:r>
        <w:rPr>
          <w:rFonts w:hint="eastAsia" w:ascii="Times New Roman" w:hAnsi="Times New Roman" w:eastAsia="宋体" w:cs="Times New Roman"/>
          <w:color w:val="000000" w:themeColor="text1"/>
          <w:spacing w:val="-2"/>
          <w:sz w:val="24"/>
          <w:szCs w:val="20"/>
          <w14:textFill>
            <w14:solidFill>
              <w14:schemeClr w14:val="tx1"/>
            </w14:solidFill>
          </w14:textFill>
        </w:rPr>
        <w:t>。</w:t>
      </w:r>
      <w:r>
        <w:rPr>
          <w:rFonts w:ascii="Times New Roman" w:hAnsi="Times New Roman" w:eastAsia="宋体" w:cs="Times New Roman"/>
          <w:color w:val="000000" w:themeColor="text1"/>
          <w:spacing w:val="-2"/>
          <w:sz w:val="24"/>
          <w:szCs w:val="20"/>
          <w14:textFill>
            <w14:solidFill>
              <w14:schemeClr w14:val="tx1"/>
            </w14:solidFill>
          </w14:textFill>
        </w:rPr>
        <w:t>通过4.2</w:t>
      </w:r>
      <w:r>
        <w:rPr>
          <w:rFonts w:hint="eastAsia" w:ascii="Times New Roman" w:hAnsi="Times New Roman" w:eastAsia="宋体" w:cs="Times New Roman"/>
          <w:color w:val="000000" w:themeColor="text1"/>
          <w:spacing w:val="-2"/>
          <w:sz w:val="24"/>
          <w:szCs w:val="20"/>
          <w14:textFill>
            <w14:solidFill>
              <w14:schemeClr w14:val="tx1"/>
            </w14:solidFill>
          </w14:textFill>
        </w:rPr>
        <w:t>章节</w:t>
      </w:r>
      <w:r>
        <w:rPr>
          <w:rFonts w:ascii="Times New Roman" w:hAnsi="Times New Roman" w:eastAsia="宋体" w:cs="Times New Roman"/>
          <w:color w:val="000000" w:themeColor="text1"/>
          <w:spacing w:val="-2"/>
          <w:sz w:val="24"/>
          <w:szCs w:val="20"/>
          <w14:textFill>
            <w14:solidFill>
              <w14:schemeClr w14:val="tx1"/>
            </w14:solidFill>
          </w14:textFill>
        </w:rPr>
        <w:t>正常情况下气载流出物的辐射环境分析结果</w:t>
      </w:r>
      <w:bookmarkStart w:id="126" w:name="_Hlk37686838"/>
      <w:r>
        <w:rPr>
          <w:rFonts w:hint="eastAsia" w:ascii="Times New Roman" w:hAnsi="Times New Roman" w:eastAsia="宋体" w:cs="Times New Roman"/>
          <w:color w:val="000000" w:themeColor="text1"/>
          <w:spacing w:val="-2"/>
          <w:sz w:val="24"/>
          <w:szCs w:val="20"/>
          <w14:textFill>
            <w14:solidFill>
              <w14:schemeClr w14:val="tx1"/>
            </w14:solidFill>
          </w14:textFill>
        </w:rPr>
        <w:t>：</w:t>
      </w:r>
    </w:p>
    <w:p w14:paraId="3BCB86E9">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u w:val="single"/>
          <w14:textFill>
            <w14:solidFill>
              <w14:schemeClr w14:val="tx1"/>
            </w14:solidFill>
          </w14:textFill>
        </w:rPr>
      </w:pPr>
      <w:r>
        <w:rPr>
          <w:rFonts w:hint="eastAsia" w:ascii="Times New Roman" w:hAnsi="Times New Roman" w:eastAsia="宋体" w:cs="Times New Roman"/>
          <w:color w:val="000000" w:themeColor="text1"/>
          <w:spacing w:val="-2"/>
          <w:sz w:val="24"/>
          <w:szCs w:val="20"/>
          <w:u w:val="single"/>
          <w14:textFill>
            <w14:solidFill>
              <w14:schemeClr w14:val="tx1"/>
            </w14:solidFill>
          </w14:textFill>
        </w:rPr>
        <w:t>1#原料处理车间操作工位人员</w:t>
      </w:r>
      <w:r>
        <w:rPr>
          <w:rFonts w:ascii="Times New Roman" w:hAnsi="Times New Roman" w:eastAsia="宋体" w:cs="Times New Roman"/>
          <w:color w:val="000000" w:themeColor="text1"/>
          <w:spacing w:val="-2"/>
          <w:sz w:val="24"/>
          <w:szCs w:val="20"/>
          <w:u w:val="single"/>
          <w14:textFill>
            <w14:solidFill>
              <w14:schemeClr w14:val="tx1"/>
            </w14:solidFill>
          </w14:textFill>
        </w:rPr>
        <w:t>γ</w:t>
      </w:r>
      <w:r>
        <w:rPr>
          <w:rFonts w:hint="eastAsia" w:ascii="Times New Roman" w:hAnsi="Times New Roman" w:eastAsia="宋体" w:cs="Times New Roman"/>
          <w:color w:val="000000" w:themeColor="text1"/>
          <w:spacing w:val="-2"/>
          <w:sz w:val="24"/>
          <w:szCs w:val="20"/>
          <w:u w:val="single"/>
          <w14:textFill>
            <w14:solidFill>
              <w14:schemeClr w14:val="tx1"/>
            </w14:solidFill>
          </w14:textFill>
        </w:rPr>
        <w:t>辐射剂量率外照射剂量2.4595mSv/a；吸入氡所致剂量为0.0187mSv/a；吸入放射性核素所致有效剂量为0.5452mSv/a，其中，吸入钍所致剂量为0.00695mSv/a。</w:t>
      </w:r>
    </w:p>
    <w:p w14:paraId="0A0359C3">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u w:val="single"/>
          <w14:textFill>
            <w14:solidFill>
              <w14:schemeClr w14:val="tx1"/>
            </w14:solidFill>
          </w14:textFill>
        </w:rPr>
      </w:pPr>
      <w:r>
        <w:rPr>
          <w:rFonts w:hint="eastAsia" w:ascii="Times New Roman" w:hAnsi="Times New Roman" w:eastAsia="宋体" w:cs="Times New Roman"/>
          <w:color w:val="000000" w:themeColor="text1"/>
          <w:spacing w:val="-2"/>
          <w:sz w:val="24"/>
          <w:szCs w:val="20"/>
          <w:u w:val="single"/>
          <w14:textFill>
            <w14:solidFill>
              <w14:schemeClr w14:val="tx1"/>
            </w14:solidFill>
          </w14:textFill>
        </w:rPr>
        <w:t>2#分选车间操作工位人员</w:t>
      </w:r>
      <w:r>
        <w:rPr>
          <w:rFonts w:ascii="Times New Roman" w:hAnsi="Times New Roman" w:eastAsia="宋体" w:cs="Times New Roman"/>
          <w:color w:val="000000" w:themeColor="text1"/>
          <w:spacing w:val="-2"/>
          <w:sz w:val="24"/>
          <w:szCs w:val="20"/>
          <w:u w:val="single"/>
          <w14:textFill>
            <w14:solidFill>
              <w14:schemeClr w14:val="tx1"/>
            </w14:solidFill>
          </w14:textFill>
        </w:rPr>
        <w:t>γ</w:t>
      </w:r>
      <w:r>
        <w:rPr>
          <w:rFonts w:hint="eastAsia" w:ascii="Times New Roman" w:hAnsi="Times New Roman" w:eastAsia="宋体" w:cs="Times New Roman"/>
          <w:color w:val="000000" w:themeColor="text1"/>
          <w:spacing w:val="-2"/>
          <w:sz w:val="24"/>
          <w:szCs w:val="20"/>
          <w:u w:val="single"/>
          <w14:textFill>
            <w14:solidFill>
              <w14:schemeClr w14:val="tx1"/>
            </w14:solidFill>
          </w14:textFill>
        </w:rPr>
        <w:t>辐射剂量率外照射剂量2.2660mSv/a；吸入氡所致剂量为0.0187mSv/a；吸入放射性核素所致有效剂量为1.1165mSv/a，其中，吸入钍所致剂量为0.0871mSv/a。</w:t>
      </w:r>
    </w:p>
    <w:p w14:paraId="3D973B66">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因此，本</w:t>
      </w:r>
      <w:r>
        <w:rPr>
          <w:rFonts w:ascii="Times New Roman" w:hAnsi="Times New Roman" w:eastAsia="宋体" w:cs="Times New Roman"/>
          <w:color w:val="000000" w:themeColor="text1"/>
          <w:spacing w:val="-2"/>
          <w:sz w:val="24"/>
          <w:szCs w:val="20"/>
          <w14:textFill>
            <w14:solidFill>
              <w14:schemeClr w14:val="tx1"/>
            </w14:solidFill>
          </w14:textFill>
        </w:rPr>
        <w:t>项目人员受照</w:t>
      </w:r>
      <w:r>
        <w:rPr>
          <w:rFonts w:hint="eastAsia" w:ascii="Times New Roman" w:hAnsi="Times New Roman" w:eastAsia="宋体" w:cs="Times New Roman"/>
          <w:color w:val="000000" w:themeColor="text1"/>
          <w:spacing w:val="-2"/>
          <w:sz w:val="24"/>
          <w:szCs w:val="20"/>
          <w14:textFill>
            <w14:solidFill>
              <w14:schemeClr w14:val="tx1"/>
            </w14:solidFill>
          </w14:textFill>
        </w:rPr>
        <w:t>的</w:t>
      </w:r>
      <w:r>
        <w:rPr>
          <w:rFonts w:ascii="Times New Roman" w:hAnsi="Times New Roman" w:eastAsia="宋体" w:cs="Times New Roman"/>
          <w:color w:val="000000" w:themeColor="text1"/>
          <w:spacing w:val="-2"/>
          <w:sz w:val="24"/>
          <w:szCs w:val="20"/>
          <w14:textFill>
            <w14:solidFill>
              <w14:schemeClr w14:val="tx1"/>
            </w14:solidFill>
          </w14:textFill>
        </w:rPr>
        <w:t>关键核素为</w:t>
      </w:r>
      <w:r>
        <w:rPr>
          <w:rFonts w:hint="eastAsia" w:ascii="Times New Roman" w:hAnsi="Times New Roman" w:eastAsia="宋体" w:cs="Times New Roman"/>
          <w:color w:val="000000" w:themeColor="text1"/>
          <w:spacing w:val="-2"/>
          <w:sz w:val="24"/>
          <w:szCs w:val="20"/>
          <w14:textFill>
            <w14:solidFill>
              <w14:schemeClr w14:val="tx1"/>
            </w14:solidFill>
          </w14:textFill>
        </w:rPr>
        <w:t>氡-222</w:t>
      </w:r>
      <w:r>
        <w:rPr>
          <w:rFonts w:ascii="Times New Roman" w:hAnsi="Times New Roman" w:eastAsia="宋体" w:cs="Times New Roman"/>
          <w:color w:val="000000" w:themeColor="text1"/>
          <w:spacing w:val="-2"/>
          <w:sz w:val="24"/>
          <w:szCs w:val="20"/>
          <w14:textFill>
            <w14:solidFill>
              <w14:schemeClr w14:val="tx1"/>
            </w14:solidFill>
          </w14:textFill>
        </w:rPr>
        <w:t>，关键照射途径为吸入</w:t>
      </w:r>
      <w:r>
        <w:rPr>
          <w:rFonts w:hint="eastAsia" w:ascii="Times New Roman" w:hAnsi="Times New Roman" w:eastAsia="宋体" w:cs="Times New Roman"/>
          <w:color w:val="000000" w:themeColor="text1"/>
          <w:spacing w:val="-2"/>
          <w:sz w:val="24"/>
          <w:szCs w:val="20"/>
          <w14:textFill>
            <w14:solidFill>
              <w14:schemeClr w14:val="tx1"/>
            </w14:solidFill>
          </w14:textFill>
        </w:rPr>
        <w:t>、</w:t>
      </w:r>
      <w:r>
        <w:rPr>
          <w:rFonts w:ascii="Times New Roman" w:hAnsi="Times New Roman" w:eastAsia="宋体" w:cs="Times New Roman"/>
          <w:color w:val="000000" w:themeColor="text1"/>
          <w:spacing w:val="-2"/>
          <w:sz w:val="24"/>
          <w:szCs w:val="20"/>
          <w14:textFill>
            <w14:solidFill>
              <w14:schemeClr w14:val="tx1"/>
            </w14:solidFill>
          </w14:textFill>
        </w:rPr>
        <w:t>关键</w:t>
      </w:r>
      <w:r>
        <w:rPr>
          <w:rFonts w:hint="eastAsia" w:ascii="Times New Roman" w:hAnsi="Times New Roman" w:eastAsia="宋体" w:cs="Times New Roman"/>
          <w:color w:val="000000" w:themeColor="text1"/>
          <w:spacing w:val="-2"/>
          <w:sz w:val="24"/>
          <w:szCs w:val="20"/>
          <w14:textFill>
            <w14:solidFill>
              <w14:schemeClr w14:val="tx1"/>
            </w14:solidFill>
          </w14:textFill>
        </w:rPr>
        <w:t>人</w:t>
      </w:r>
      <w:r>
        <w:rPr>
          <w:rFonts w:ascii="Times New Roman" w:hAnsi="Times New Roman" w:eastAsia="宋体" w:cs="Times New Roman"/>
          <w:color w:val="000000" w:themeColor="text1"/>
          <w:spacing w:val="-2"/>
          <w:sz w:val="24"/>
          <w:szCs w:val="20"/>
          <w14:textFill>
            <w14:solidFill>
              <w14:schemeClr w14:val="tx1"/>
            </w14:solidFill>
          </w14:textFill>
        </w:rPr>
        <w:t>群组为</w:t>
      </w:r>
      <w:r>
        <w:rPr>
          <w:rFonts w:hint="eastAsia" w:ascii="Times New Roman" w:hAnsi="Times New Roman" w:eastAsia="宋体" w:cs="Times New Roman"/>
          <w:color w:val="000000" w:themeColor="text1"/>
          <w:spacing w:val="-2"/>
          <w:sz w:val="24"/>
          <w:szCs w:val="20"/>
          <w14:textFill>
            <w14:solidFill>
              <w14:schemeClr w14:val="tx1"/>
            </w14:solidFill>
          </w14:textFill>
        </w:rPr>
        <w:t>车间内的操作</w:t>
      </w:r>
      <w:r>
        <w:rPr>
          <w:rFonts w:ascii="Times New Roman" w:hAnsi="Times New Roman" w:eastAsia="宋体" w:cs="Times New Roman"/>
          <w:color w:val="000000" w:themeColor="text1"/>
          <w:spacing w:val="-2"/>
          <w:sz w:val="24"/>
          <w:szCs w:val="20"/>
          <w14:textFill>
            <w14:solidFill>
              <w14:schemeClr w14:val="tx1"/>
            </w14:solidFill>
          </w14:textFill>
        </w:rPr>
        <w:t>工</w:t>
      </w:r>
      <w:r>
        <w:rPr>
          <w:rFonts w:hint="eastAsia" w:ascii="Times New Roman" w:hAnsi="Times New Roman" w:eastAsia="宋体" w:cs="Times New Roman"/>
          <w:color w:val="000000" w:themeColor="text1"/>
          <w:spacing w:val="-2"/>
          <w:sz w:val="24"/>
          <w:szCs w:val="20"/>
          <w14:textFill>
            <w14:solidFill>
              <w14:schemeClr w14:val="tx1"/>
            </w14:solidFill>
          </w14:textFill>
        </w:rPr>
        <w:t>位</w:t>
      </w:r>
      <w:r>
        <w:rPr>
          <w:rFonts w:ascii="Times New Roman" w:hAnsi="Times New Roman" w:eastAsia="宋体" w:cs="Times New Roman"/>
          <w:color w:val="000000" w:themeColor="text1"/>
          <w:spacing w:val="-2"/>
          <w:sz w:val="24"/>
          <w:szCs w:val="20"/>
          <w14:textFill>
            <w14:solidFill>
              <w14:schemeClr w14:val="tx1"/>
            </w14:solidFill>
          </w14:textFill>
        </w:rPr>
        <w:t>人员。</w:t>
      </w:r>
      <w:bookmarkEnd w:id="126"/>
    </w:p>
    <w:p w14:paraId="6DCE7C50">
      <w:pPr>
        <w:pStyle w:val="4"/>
        <w:widowControl w:val="0"/>
        <w:numPr>
          <w:ilvl w:val="1"/>
          <w:numId w:val="1"/>
        </w:numPr>
        <w:spacing w:before="0" w:line="360" w:lineRule="auto"/>
        <w:ind w:left="0" w:firstLine="0"/>
        <w:jc w:val="both"/>
        <w:rPr>
          <w:rFonts w:ascii="Times New Roman" w:hAnsi="Times New Roman" w:cs="Times New Roman" w:eastAsiaTheme="minorEastAsia"/>
          <w:b/>
          <w:color w:val="000000" w:themeColor="text1"/>
          <w:sz w:val="28"/>
          <w:szCs w:val="28"/>
          <w14:textFill>
            <w14:solidFill>
              <w14:schemeClr w14:val="tx1"/>
            </w14:solidFill>
          </w14:textFill>
        </w:rPr>
      </w:pPr>
      <w:bookmarkStart w:id="127" w:name="_Toc78822676"/>
      <w:bookmarkStart w:id="128" w:name="_Toc187653475"/>
      <w:r>
        <w:rPr>
          <w:rFonts w:ascii="Times New Roman" w:hAnsi="Times New Roman" w:eastAsia="黑体" w:cs="Times New Roman"/>
          <w:b/>
          <w:bCs/>
          <w:color w:val="000000" w:themeColor="text1"/>
          <w:kern w:val="2"/>
          <w:sz w:val="28"/>
          <w:szCs w:val="32"/>
          <w14:textFill>
            <w14:solidFill>
              <w14:schemeClr w14:val="tx1"/>
            </w14:solidFill>
          </w14:textFill>
        </w:rPr>
        <w:t>非正常工况辐射环境影响分析</w:t>
      </w:r>
      <w:bookmarkEnd w:id="127"/>
      <w:bookmarkEnd w:id="128"/>
    </w:p>
    <w:p w14:paraId="2583F51C">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bookmarkStart w:id="129" w:name="_Hlk54962354"/>
      <w:r>
        <w:rPr>
          <w:rFonts w:ascii="Times New Roman" w:hAnsi="Times New Roman" w:eastAsia="宋体" w:cs="Times New Roman"/>
          <w:color w:val="000000" w:themeColor="text1"/>
          <w:spacing w:val="-2"/>
          <w:sz w:val="24"/>
          <w:szCs w:val="20"/>
          <w14:textFill>
            <w14:solidFill>
              <w14:schemeClr w14:val="tx1"/>
            </w14:solidFill>
          </w14:textFill>
        </w:rPr>
        <w:t>根据工程分析，本项目非正常排放的情景为除尘系统失效事故。</w:t>
      </w:r>
    </w:p>
    <w:p w14:paraId="525F0A50">
      <w:pPr>
        <w:pStyle w:val="5"/>
        <w:widowControl w:val="0"/>
        <w:numPr>
          <w:ilvl w:val="2"/>
          <w:numId w:val="1"/>
        </w:numPr>
        <w:spacing w:before="0" w:line="360" w:lineRule="auto"/>
        <w:jc w:val="both"/>
        <w:rPr>
          <w:rFonts w:ascii="Times New Roman" w:hAnsi="Times New Roman" w:eastAsia="黑体" w:cs="Times New Roman"/>
          <w:b/>
          <w:bCs/>
          <w:caps w:val="0"/>
          <w:color w:val="000000" w:themeColor="text1"/>
          <w:kern w:val="2"/>
          <w:sz w:val="24"/>
          <w:szCs w:val="32"/>
          <w14:textFill>
            <w14:solidFill>
              <w14:schemeClr w14:val="tx1"/>
            </w14:solidFill>
          </w14:textFill>
        </w:rPr>
      </w:pPr>
      <w:bookmarkStart w:id="130" w:name="_Toc78822677"/>
      <w:r>
        <w:rPr>
          <w:rFonts w:ascii="Times New Roman" w:hAnsi="Times New Roman" w:eastAsia="黑体" w:cs="Times New Roman"/>
          <w:b/>
          <w:bCs/>
          <w:caps w:val="0"/>
          <w:color w:val="000000" w:themeColor="text1"/>
          <w:kern w:val="2"/>
          <w:sz w:val="24"/>
          <w:szCs w:val="32"/>
          <w14:textFill>
            <w14:solidFill>
              <w14:schemeClr w14:val="tx1"/>
            </w14:solidFill>
          </w14:textFill>
        </w:rPr>
        <w:t>除尘系统失效辐射环境影响分析</w:t>
      </w:r>
      <w:bookmarkEnd w:id="130"/>
    </w:p>
    <w:p w14:paraId="231B826B">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项目主要大气环境风险为除尘器事故排放，烘干炉烟气采用袋式除尘系统处理，</w:t>
      </w:r>
      <w:r>
        <w:rPr>
          <w:rFonts w:ascii="Times New Roman" w:hAnsi="Times New Roman" w:cs="Times New Roman"/>
          <w:color w:val="000000" w:themeColor="text1"/>
          <w:sz w:val="24"/>
          <w:szCs w:val="24"/>
          <w14:textFill>
            <w14:solidFill>
              <w14:schemeClr w14:val="tx1"/>
            </w14:solidFill>
          </w14:textFill>
        </w:rPr>
        <w:t>本项目采取间接方式烘干，除尘器产生的除尘灰主要成分为燃烧生物质燃料产生的灰渣，不含放射性核素</w:t>
      </w:r>
      <w:r>
        <w:rPr>
          <w:rFonts w:hint="eastAsia" w:ascii="Times New Roman" w:hAnsi="Times New Roman" w:cs="Times New Roman"/>
          <w:color w:val="000000" w:themeColor="text1"/>
          <w:sz w:val="24"/>
          <w:szCs w:val="24"/>
          <w14:textFill>
            <w14:solidFill>
              <w14:schemeClr w14:val="tx1"/>
            </w14:solidFill>
          </w14:textFill>
        </w:rPr>
        <w:t>；车间粉尘采用袋式除尘系统处理，生产车间粉尘含放射性核素，含放射性粉尘随粉尘排放至大气，对周边企业的工作人员等公众产生辐射影响。</w:t>
      </w:r>
    </w:p>
    <w:p w14:paraId="7167172A">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建设单位应认真做好设备的保养、定期维护及保修工作，使处理设施达到预期效果。为确保不发生事故性废气排放，建设单位必须采取一定的事故性防范保护措施：</w:t>
      </w:r>
    </w:p>
    <w:p w14:paraId="1AF08D5D">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（1）强化安全、消防和环保管理，建立管理机构，</w:t>
      </w:r>
      <w:r>
        <w:rPr>
          <w:rFonts w:hint="eastAsia" w:ascii="Times New Roman" w:hAnsi="Times New Roman" w:cs="Times New Roman"/>
          <w:color w:val="000000" w:themeColor="text1"/>
          <w:sz w:val="24"/>
          <w:szCs w:val="24"/>
          <w:lang w:eastAsia="zh-CN"/>
          <w14:textFill>
            <w14:solidFill>
              <w14:schemeClr w14:val="tx1"/>
            </w14:solidFill>
          </w14:textFill>
        </w:rPr>
        <w:t>制定</w:t>
      </w:r>
      <w:r>
        <w:rPr>
          <w:rFonts w:hint="eastAsia" w:ascii="Times New Roman" w:hAnsi="Times New Roman" w:cs="Times New Roman"/>
          <w:color w:val="000000" w:themeColor="text1"/>
          <w:sz w:val="24"/>
          <w:szCs w:val="24"/>
          <w14:textFill>
            <w14:solidFill>
              <w14:schemeClr w14:val="tx1"/>
            </w14:solidFill>
          </w14:textFill>
        </w:rPr>
        <w:t>各项管理制度，加强日常监督检查。</w:t>
      </w:r>
    </w:p>
    <w:p w14:paraId="196BD9DE">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（2）设立车间急救小组，并和当地事故应急救援部门建立正常联系，一旦出现事故能立刻采取有效救援措施。</w:t>
      </w:r>
    </w:p>
    <w:p w14:paraId="5991CC26">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（3）废气净化设施一旦出现事故，厂房必须立即停产检修，确保不发生污染事件。</w:t>
      </w:r>
    </w:p>
    <w:p w14:paraId="4951B7FA">
      <w:pPr>
        <w:spacing w:after="0" w:line="360" w:lineRule="auto"/>
        <w:ind w:firstLine="480" w:firstLineChars="200"/>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（4）加强技术培训，提高事故应急处理的能力，定期进行应急事故模拟演习，提高事故应变能力。</w:t>
      </w:r>
      <w:bookmarkEnd w:id="129"/>
      <w:bookmarkStart w:id="131" w:name="_Toc1496"/>
      <w:bookmarkStart w:id="132" w:name="_Toc24048"/>
      <w:bookmarkStart w:id="133" w:name="_Toc15790"/>
      <w:bookmarkStart w:id="134" w:name="_Toc23022"/>
    </w:p>
    <w:bookmarkEnd w:id="131"/>
    <w:bookmarkEnd w:id="132"/>
    <w:bookmarkEnd w:id="133"/>
    <w:bookmarkEnd w:id="134"/>
    <w:p w14:paraId="5F0BDA6B">
      <w:pPr>
        <w:pStyle w:val="4"/>
        <w:widowControl w:val="0"/>
        <w:numPr>
          <w:ilvl w:val="1"/>
          <w:numId w:val="1"/>
        </w:numPr>
        <w:spacing w:before="0" w:line="360" w:lineRule="auto"/>
        <w:ind w:left="0" w:firstLine="0"/>
        <w:jc w:val="both"/>
        <w:rPr>
          <w:rFonts w:ascii="Times New Roman" w:hAnsi="Times New Roman" w:eastAsia="黑体" w:cs="Times New Roman"/>
          <w:b/>
          <w:bCs/>
          <w:color w:val="000000" w:themeColor="text1"/>
          <w:kern w:val="2"/>
          <w:sz w:val="28"/>
          <w:szCs w:val="32"/>
          <w14:textFill>
            <w14:solidFill>
              <w14:schemeClr w14:val="tx1"/>
            </w14:solidFill>
          </w14:textFill>
        </w:rPr>
      </w:pPr>
      <w:bookmarkStart w:id="135" w:name="_Toc78822679"/>
      <w:bookmarkStart w:id="136" w:name="_Toc187653476"/>
      <w:r>
        <w:rPr>
          <w:rFonts w:ascii="Times New Roman" w:hAnsi="Times New Roman" w:eastAsia="黑体" w:cs="Times New Roman"/>
          <w:b/>
          <w:bCs/>
          <w:color w:val="000000" w:themeColor="text1"/>
          <w:kern w:val="2"/>
          <w:sz w:val="28"/>
          <w:szCs w:val="32"/>
          <w14:textFill>
            <w14:solidFill>
              <w14:schemeClr w14:val="tx1"/>
            </w14:solidFill>
          </w14:textFill>
        </w:rPr>
        <w:t>固体废物辐射环境影响分析</w:t>
      </w:r>
      <w:bookmarkEnd w:id="135"/>
      <w:bookmarkEnd w:id="136"/>
    </w:p>
    <w:p w14:paraId="64C72A96">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项目含矿粉尘收集后均掺入副产品锆中矿堆放区，与锆中矿一并出售，根据《伴生放射性物料贮存及固体废物填埋辐射环境保护技术规范（试行）》（HJ1114-2020）中伴生放射性物料贮存的要求进行严格管理。</w:t>
      </w:r>
    </w:p>
    <w:p w14:paraId="47B9B607">
      <w:pPr>
        <w:pStyle w:val="5"/>
        <w:widowControl w:val="0"/>
        <w:numPr>
          <w:ilvl w:val="2"/>
          <w:numId w:val="1"/>
        </w:numPr>
        <w:spacing w:before="0" w:line="360" w:lineRule="auto"/>
        <w:jc w:val="both"/>
        <w:rPr>
          <w:rFonts w:ascii="Times New Roman" w:hAnsi="Times New Roman" w:eastAsia="黑体" w:cs="Times New Roman"/>
          <w:b/>
          <w:bCs/>
          <w:caps w:val="0"/>
          <w:color w:val="000000" w:themeColor="text1"/>
          <w:kern w:val="2"/>
          <w:sz w:val="24"/>
          <w:szCs w:val="32"/>
          <w14:textFill>
            <w14:solidFill>
              <w14:schemeClr w14:val="tx1"/>
            </w14:solidFill>
          </w14:textFill>
        </w:rPr>
      </w:pPr>
      <w:r>
        <w:rPr>
          <w:rFonts w:hint="eastAsia" w:ascii="Times New Roman" w:hAnsi="Times New Roman" w:eastAsia="黑体" w:cs="Times New Roman"/>
          <w:b/>
          <w:bCs/>
          <w:caps w:val="0"/>
          <w:color w:val="000000" w:themeColor="text1"/>
          <w:kern w:val="2"/>
          <w:sz w:val="24"/>
          <w:szCs w:val="32"/>
          <w14:textFill>
            <w14:solidFill>
              <w14:schemeClr w14:val="tx1"/>
            </w14:solidFill>
          </w14:textFill>
        </w:rPr>
        <w:t>放射性物料贮存设施</w:t>
      </w:r>
    </w:p>
    <w:p w14:paraId="3A88F5D9">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（1）项目按照放射性物料的种类分别配置原料堆放区、干原料堆放区、精矿产品堆放区、锆中矿堆放区，尽量布置在车间内两侧，尽量远离生产线上的操作人员。</w:t>
      </w:r>
    </w:p>
    <w:p w14:paraId="334C4E5D">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（2）项目采用封闭式厂房，防止非工作人员进入项目生产车间。</w:t>
      </w:r>
    </w:p>
    <w:p w14:paraId="11671909">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（3）生产车间地面按重点防渗要求进行建设，防渗区的要达到渗透系数不低于1×10</w:t>
      </w:r>
      <w:r>
        <w:rPr>
          <w:rFonts w:hint="eastAsia" w:ascii="Times New Roman" w:hAnsi="Times New Roman" w:cs="Times New Roman"/>
          <w:color w:val="000000" w:themeColor="text1"/>
          <w:sz w:val="24"/>
          <w:szCs w:val="24"/>
          <w:vertAlign w:val="superscript"/>
          <w14:textFill>
            <w14:solidFill>
              <w14:schemeClr w14:val="tx1"/>
            </w14:solidFill>
          </w14:textFill>
        </w:rPr>
        <w:t>-7</w:t>
      </w:r>
      <w:r>
        <w:rPr>
          <w:rFonts w:hint="eastAsia" w:ascii="Times New Roman" w:hAnsi="Times New Roman" w:cs="Times New Roman"/>
          <w:color w:val="000000" w:themeColor="text1"/>
          <w:sz w:val="24"/>
          <w:szCs w:val="24"/>
          <w14:textFill>
            <w14:solidFill>
              <w14:schemeClr w14:val="tx1"/>
            </w14:solidFill>
          </w14:textFill>
        </w:rPr>
        <w:t>cm/s、厚度为2m的</w:t>
      </w:r>
      <w:r>
        <w:rPr>
          <w:rFonts w:hint="eastAsia" w:ascii="Times New Roman" w:hAnsi="Times New Roman" w:cs="Times New Roman"/>
          <w:color w:val="000000" w:themeColor="text1"/>
          <w:sz w:val="24"/>
          <w:szCs w:val="24"/>
          <w:lang w:eastAsia="zh-CN"/>
          <w14:textFill>
            <w14:solidFill>
              <w14:schemeClr w14:val="tx1"/>
            </w14:solidFill>
          </w14:textFill>
        </w:rPr>
        <w:t>黏土层</w:t>
      </w:r>
      <w:r>
        <w:rPr>
          <w:rFonts w:hint="eastAsia" w:ascii="Times New Roman" w:hAnsi="Times New Roman" w:cs="Times New Roman"/>
          <w:color w:val="000000" w:themeColor="text1"/>
          <w:sz w:val="24"/>
          <w:szCs w:val="24"/>
          <w14:textFill>
            <w14:solidFill>
              <w14:schemeClr w14:val="tx1"/>
            </w14:solidFill>
          </w14:textFill>
        </w:rPr>
        <w:t>的防渗效果。</w:t>
      </w:r>
    </w:p>
    <w:p w14:paraId="3B381A2E">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（4）项目物料贮存在封闭式厂房室内，尽可能防止粉尘外溢到环境中去。</w:t>
      </w:r>
    </w:p>
    <w:p w14:paraId="72511B1E">
      <w:pPr>
        <w:pStyle w:val="5"/>
        <w:widowControl w:val="0"/>
        <w:numPr>
          <w:ilvl w:val="2"/>
          <w:numId w:val="1"/>
        </w:numPr>
        <w:spacing w:before="0" w:line="360" w:lineRule="auto"/>
        <w:jc w:val="both"/>
        <w:rPr>
          <w:rFonts w:ascii="Times New Roman" w:hAnsi="Times New Roman" w:eastAsia="黑体" w:cs="Times New Roman"/>
          <w:b/>
          <w:bCs/>
          <w:caps w:val="0"/>
          <w:color w:val="000000" w:themeColor="text1"/>
          <w:kern w:val="2"/>
          <w:sz w:val="24"/>
          <w:szCs w:val="32"/>
          <w14:textFill>
            <w14:solidFill>
              <w14:schemeClr w14:val="tx1"/>
            </w14:solidFill>
          </w14:textFill>
        </w:rPr>
      </w:pPr>
      <w:r>
        <w:rPr>
          <w:rFonts w:hint="eastAsia" w:ascii="Times New Roman" w:hAnsi="Times New Roman" w:eastAsia="黑体" w:cs="Times New Roman"/>
          <w:b/>
          <w:bCs/>
          <w:caps w:val="0"/>
          <w:color w:val="000000" w:themeColor="text1"/>
          <w:kern w:val="2"/>
          <w:sz w:val="24"/>
          <w:szCs w:val="32"/>
          <w14:textFill>
            <w14:solidFill>
              <w14:schemeClr w14:val="tx1"/>
            </w14:solidFill>
          </w14:textFill>
        </w:rPr>
        <w:t>放射性固废管理措施</w:t>
      </w:r>
    </w:p>
    <w:p w14:paraId="2C8A47E2">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（1）本项目涉及的放射性物料均有相应专用的堆放区，并处于封闭式车间内，不与其他非放射性物料混合堆放。</w:t>
      </w:r>
    </w:p>
    <w:p w14:paraId="4FF477DA">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（2）项目含矿粉尘掺入锆中矿出售给深度分选加工企业作为分选的原料，回收粉尘中有价值的资源，实现废物最小化、资源回收利用最大化。</w:t>
      </w:r>
    </w:p>
    <w:p w14:paraId="70A6BC5C">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（3）项目放射性物料的贮存将落实台账制度，严格管理物料的进出库。</w:t>
      </w:r>
    </w:p>
    <w:p w14:paraId="47951147">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（4）项目将按国家相关法律法规和标准，建立辐射环境管理机构，配备专业技术人员与管理人员；建立辐射环境管理岗位责任制度、教育培训制度、报告制度等。</w:t>
      </w:r>
    </w:p>
    <w:p w14:paraId="3CC4B460">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（5）在各种放射性物料贮存设施边界明显部位设置电离辐射标志，并结合实际情况注明废物的名称、数量、放射性核素活度浓度等。</w:t>
      </w:r>
    </w:p>
    <w:p w14:paraId="614889B6">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（6）固体废物贮存台账结合实际情况注明名称、来源、数量、放射性核素活度浓度、入库日期、出库日期及接收单位名称等信息。</w:t>
      </w:r>
    </w:p>
    <w:p w14:paraId="36D7E5DB">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（7）物料贮存相配套的防尘、收尘处理措施，定期检查、保养、定期维护及保修等。</w:t>
      </w:r>
    </w:p>
    <w:p w14:paraId="1399DB20">
      <w:pPr>
        <w:pStyle w:val="5"/>
        <w:widowControl w:val="0"/>
        <w:numPr>
          <w:ilvl w:val="2"/>
          <w:numId w:val="1"/>
        </w:numPr>
        <w:spacing w:before="0" w:line="360" w:lineRule="auto"/>
        <w:jc w:val="both"/>
        <w:rPr>
          <w:rFonts w:ascii="Times New Roman" w:hAnsi="Times New Roman" w:eastAsia="黑体" w:cs="Times New Roman"/>
          <w:b/>
          <w:bCs/>
          <w:caps w:val="0"/>
          <w:color w:val="000000" w:themeColor="text1"/>
          <w:kern w:val="2"/>
          <w:sz w:val="24"/>
          <w:szCs w:val="32"/>
          <w14:textFill>
            <w14:solidFill>
              <w14:schemeClr w14:val="tx1"/>
            </w14:solidFill>
          </w14:textFill>
        </w:rPr>
      </w:pPr>
      <w:r>
        <w:rPr>
          <w:rFonts w:hint="eastAsia" w:ascii="Times New Roman" w:hAnsi="Times New Roman" w:eastAsia="黑体" w:cs="Times New Roman"/>
          <w:b/>
          <w:bCs/>
          <w:caps w:val="0"/>
          <w:color w:val="000000" w:themeColor="text1"/>
          <w:kern w:val="2"/>
          <w:sz w:val="24"/>
          <w:szCs w:val="32"/>
          <w14:textFill>
            <w14:solidFill>
              <w14:schemeClr w14:val="tx1"/>
            </w14:solidFill>
          </w14:textFill>
        </w:rPr>
        <w:t>固体废物辐射环境影响分析</w:t>
      </w:r>
    </w:p>
    <w:p w14:paraId="107828EE">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本项目涉及的放射性物料在落实贮存措施要求及管理措施后，对周边辐射环境的影响不大。</w:t>
      </w:r>
    </w:p>
    <w:p w14:paraId="6CC6DED1">
      <w:pPr>
        <w:pStyle w:val="4"/>
        <w:widowControl w:val="0"/>
        <w:numPr>
          <w:ilvl w:val="1"/>
          <w:numId w:val="1"/>
        </w:numPr>
        <w:spacing w:before="0" w:line="360" w:lineRule="auto"/>
        <w:ind w:left="0" w:firstLine="0"/>
        <w:jc w:val="both"/>
        <w:rPr>
          <w:rFonts w:ascii="Times New Roman" w:hAnsi="Times New Roman" w:eastAsia="黑体" w:cs="Times New Roman"/>
          <w:b/>
          <w:bCs/>
          <w:color w:val="000000" w:themeColor="text1"/>
          <w:kern w:val="2"/>
          <w:sz w:val="28"/>
          <w:szCs w:val="32"/>
          <w14:textFill>
            <w14:solidFill>
              <w14:schemeClr w14:val="tx1"/>
            </w14:solidFill>
          </w14:textFill>
        </w:rPr>
      </w:pPr>
      <w:bookmarkStart w:id="137" w:name="_Toc187653477"/>
      <w:bookmarkStart w:id="138" w:name="_Toc78822680"/>
      <w:r>
        <w:rPr>
          <w:rFonts w:ascii="Times New Roman" w:hAnsi="Times New Roman" w:eastAsia="黑体" w:cs="Times New Roman"/>
          <w:b/>
          <w:bCs/>
          <w:color w:val="000000" w:themeColor="text1"/>
          <w:kern w:val="2"/>
          <w:sz w:val="28"/>
          <w:szCs w:val="32"/>
          <w14:textFill>
            <w14:solidFill>
              <w14:schemeClr w14:val="tx1"/>
            </w14:solidFill>
          </w14:textFill>
        </w:rPr>
        <w:t>服务期满辐射环境影响分析</w:t>
      </w:r>
      <w:bookmarkEnd w:id="137"/>
      <w:bookmarkEnd w:id="138"/>
    </w:p>
    <w:p w14:paraId="245EE626">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本项目属于锆钛选矿项目，在生产过程中使用和产生了含放射性物质的物料。为了保护周围环境和公众健康，控制放射性核素向环境转移，服务期满后，应进行调查监测，根据污染水平对设施、场地进行不同的处理处置，使其达到安全稳定、资源化、无害化。</w:t>
      </w:r>
    </w:p>
    <w:p w14:paraId="67AFFAC5">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项目服务期满后进行放射性源项调查，参照《电离辐射防护与辐射源安全基本标准》（GB18871-2002），对于表面污染满足解控水平的设备和构筑物可按要求解控再利用，对于表面污染较重的设备和构筑物应进行拆除和去污处理。</w:t>
      </w:r>
    </w:p>
    <w:p w14:paraId="653455E5">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（1）</w:t>
      </w:r>
      <w:r>
        <w:rPr>
          <w:rFonts w:ascii="Times New Roman" w:hAnsi="Times New Roman" w:cs="Times New Roman"/>
          <w:color w:val="000000" w:themeColor="text1"/>
          <w:sz w:val="24"/>
          <w:szCs w:val="24"/>
          <w14:textFill>
            <w14:solidFill>
              <w14:schemeClr w14:val="tx1"/>
            </w14:solidFill>
          </w14:textFill>
        </w:rPr>
        <w:t>对磁选设备、烘干设备等进行监测，若表面污染满足清洁解控水平，直接进行再利用，若不满足，进行去污达标后，再进行利用。</w:t>
      </w:r>
    </w:p>
    <w:p w14:paraId="23D01579">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（2）</w:t>
      </w:r>
      <w:r>
        <w:rPr>
          <w:rFonts w:ascii="Times New Roman" w:hAnsi="Times New Roman" w:cs="Times New Roman"/>
          <w:color w:val="000000" w:themeColor="text1"/>
          <w:sz w:val="24"/>
          <w:szCs w:val="24"/>
          <w14:textFill>
            <w14:solidFill>
              <w14:schemeClr w14:val="tx1"/>
            </w14:solidFill>
          </w14:textFill>
        </w:rPr>
        <w:t>对污染较轻的建构筑物，采用去污措施，经处理达标后，可重新利用；对污染严重的建构筑物进行拆除处置措施，进行填埋处置，其场地覆盖黄土，然后植被。</w:t>
      </w:r>
    </w:p>
    <w:p w14:paraId="00D4904A">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（3）</w:t>
      </w:r>
      <w:r>
        <w:rPr>
          <w:rFonts w:ascii="Times New Roman" w:hAnsi="Times New Roman" w:cs="Times New Roman"/>
          <w:color w:val="000000" w:themeColor="text1"/>
          <w:sz w:val="24"/>
          <w:szCs w:val="24"/>
          <w14:textFill>
            <w14:solidFill>
              <w14:schemeClr w14:val="tx1"/>
            </w14:solidFill>
          </w14:textFill>
        </w:rPr>
        <w:t>设备管道，对设备管道进行表面污染监测，当其表面污染水平等于或低于《电离辐射防护与辐射源安全基本标准》（GB18871-2002）中关于可解控的物体表面放射性物质污染控制水平的，可以作为普通设备管道进行重复利用。对于表面污染水平较高的设备或管道，采用物理、化学去污</w:t>
      </w:r>
      <w:r>
        <w:rPr>
          <w:rFonts w:hint="eastAsia" w:ascii="Times New Roman" w:hAnsi="Times New Roman" w:cs="Times New Roman"/>
          <w:color w:val="000000" w:themeColor="text1"/>
          <w:sz w:val="24"/>
          <w:szCs w:val="24"/>
          <w:lang w:eastAsia="zh-CN"/>
          <w14:textFill>
            <w14:solidFill>
              <w14:schemeClr w14:val="tx1"/>
            </w14:solidFill>
          </w14:textFill>
        </w:rPr>
        <w:t>方法</w:t>
      </w:r>
      <w:r>
        <w:rPr>
          <w:rFonts w:ascii="Times New Roman" w:hAnsi="Times New Roman" w:cs="Times New Roman"/>
          <w:color w:val="000000" w:themeColor="text1"/>
          <w:sz w:val="24"/>
          <w:szCs w:val="24"/>
          <w14:textFill>
            <w14:solidFill>
              <w14:schemeClr w14:val="tx1"/>
            </w14:solidFill>
          </w14:textFill>
        </w:rPr>
        <w:t>进行去污，去污后满足标准要求的，重复利用；污染严重或不能利用的设备、器材进行填埋处置。</w:t>
      </w:r>
    </w:p>
    <w:p w14:paraId="75B00560">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（4）</w:t>
      </w:r>
      <w:r>
        <w:rPr>
          <w:rFonts w:ascii="Times New Roman" w:hAnsi="Times New Roman" w:cs="Times New Roman"/>
          <w:color w:val="000000" w:themeColor="text1"/>
          <w:sz w:val="24"/>
          <w:szCs w:val="24"/>
          <w14:textFill>
            <w14:solidFill>
              <w14:schemeClr w14:val="tx1"/>
            </w14:solidFill>
          </w14:textFill>
        </w:rPr>
        <w:t>污染的工业场地、厂区道路进行监测后，对超出标准要求限值部分采用清挖或清洗路面处置措施，</w:t>
      </w:r>
      <w:r>
        <w:rPr>
          <w:rFonts w:hint="eastAsia" w:ascii="Times New Roman" w:hAnsi="Times New Roman" w:cs="Times New Roman"/>
          <w:color w:val="000000" w:themeColor="text1"/>
          <w:sz w:val="24"/>
          <w:szCs w:val="24"/>
          <w:lang w:eastAsia="zh-CN"/>
          <w14:textFill>
            <w14:solidFill>
              <w14:schemeClr w14:val="tx1"/>
            </w14:solidFill>
          </w14:textFill>
        </w:rPr>
        <w:t>其他</w:t>
      </w:r>
      <w:r>
        <w:rPr>
          <w:rFonts w:ascii="Times New Roman" w:hAnsi="Times New Roman" w:cs="Times New Roman"/>
          <w:color w:val="000000" w:themeColor="text1"/>
          <w:sz w:val="24"/>
          <w:szCs w:val="24"/>
          <w14:textFill>
            <w14:solidFill>
              <w14:schemeClr w14:val="tx1"/>
            </w14:solidFill>
          </w14:textFill>
        </w:rPr>
        <w:t>污染物进行填埋处置。</w:t>
      </w:r>
    </w:p>
    <w:p w14:paraId="7CCB314E">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通过采取以上措施，本项目服务期满后受放射性污染的设施、场地能得到妥善的处理处置，处理处置过程不会对周围环境产生不利影响；同时，服务期满后放射性源项也随之关闭、消失，不再产生含放射性物质，不会对周围环境产生不利影响。</w:t>
      </w:r>
      <w:bookmarkStart w:id="139" w:name="_Toc78822681"/>
    </w:p>
    <w:p w14:paraId="1A2F6544">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p>
    <w:p w14:paraId="274C92C8">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p>
    <w:p w14:paraId="3FA7DB86">
      <w:pPr>
        <w:spacing w:after="0" w:line="360" w:lineRule="auto"/>
        <w:ind w:firstLine="602" w:firstLineChars="200"/>
        <w:rPr>
          <w:rFonts w:ascii="Times New Roman" w:hAnsi="Times New Roman" w:cs="Times New Roman"/>
          <w:b/>
          <w:color w:val="000000" w:themeColor="text1"/>
          <w:sz w:val="30"/>
          <w:szCs w:val="30"/>
          <w14:textFill>
            <w14:solidFill>
              <w14:schemeClr w14:val="tx1"/>
            </w14:solidFill>
          </w14:textFill>
        </w:rPr>
        <w:sectPr>
          <w:footerReference r:id="rId14" w:type="default"/>
          <w:pgSz w:w="11906" w:h="16838"/>
          <w:pgMar w:top="1440" w:right="1800" w:bottom="1440" w:left="1800" w:header="851" w:footer="992" w:gutter="0"/>
          <w:cols w:space="425" w:num="1"/>
          <w:docGrid w:type="lines" w:linePitch="312" w:charSpace="0"/>
        </w:sectPr>
      </w:pPr>
    </w:p>
    <w:p w14:paraId="259D677E">
      <w:pPr>
        <w:pStyle w:val="3"/>
        <w:widowControl w:val="0"/>
        <w:numPr>
          <w:ilvl w:val="0"/>
          <w:numId w:val="1"/>
        </w:numPr>
        <w:pBdr>
          <w:left w:val="none" w:color="auto" w:sz="0" w:space="0"/>
        </w:pBdr>
        <w:spacing w:before="0" w:after="0" w:line="360" w:lineRule="auto"/>
        <w:ind w:left="0" w:firstLine="0"/>
        <w:jc w:val="both"/>
        <w:rPr>
          <w:rFonts w:ascii="Times New Roman" w:hAnsi="Times New Roman" w:eastAsia="黑体" w:cs="Times New Roman"/>
          <w:b/>
          <w:bCs/>
          <w:caps w:val="0"/>
          <w:color w:val="000000" w:themeColor="text1"/>
          <w:spacing w:val="0"/>
          <w:kern w:val="44"/>
          <w:sz w:val="30"/>
          <w:szCs w:val="44"/>
          <w14:textFill>
            <w14:solidFill>
              <w14:schemeClr w14:val="tx1"/>
            </w14:solidFill>
          </w14:textFill>
        </w:rPr>
      </w:pPr>
      <w:bookmarkStart w:id="140" w:name="_Toc187653478"/>
      <w:r>
        <w:rPr>
          <w:rFonts w:ascii="Times New Roman" w:hAnsi="Times New Roman" w:eastAsia="黑体" w:cs="Times New Roman"/>
          <w:b/>
          <w:bCs/>
          <w:caps w:val="0"/>
          <w:color w:val="000000" w:themeColor="text1"/>
          <w:spacing w:val="0"/>
          <w:kern w:val="44"/>
          <w:sz w:val="30"/>
          <w:szCs w:val="44"/>
          <w14:textFill>
            <w14:solidFill>
              <w14:schemeClr w14:val="tx1"/>
            </w14:solidFill>
          </w14:textFill>
        </w:rPr>
        <w:t>辐射环境管理和辐射监测</w:t>
      </w:r>
      <w:bookmarkEnd w:id="139"/>
      <w:bookmarkEnd w:id="140"/>
    </w:p>
    <w:p w14:paraId="22980F03">
      <w:pPr>
        <w:pStyle w:val="4"/>
        <w:widowControl w:val="0"/>
        <w:numPr>
          <w:ilvl w:val="1"/>
          <w:numId w:val="1"/>
        </w:numPr>
        <w:spacing w:before="0" w:line="360" w:lineRule="auto"/>
        <w:ind w:left="0" w:firstLine="0"/>
        <w:jc w:val="both"/>
        <w:rPr>
          <w:rFonts w:ascii="Times New Roman" w:hAnsi="Times New Roman" w:eastAsia="黑体" w:cs="Times New Roman"/>
          <w:b/>
          <w:bCs/>
          <w:color w:val="000000" w:themeColor="text1"/>
          <w:kern w:val="2"/>
          <w:sz w:val="28"/>
          <w:szCs w:val="32"/>
          <w14:textFill>
            <w14:solidFill>
              <w14:schemeClr w14:val="tx1"/>
            </w14:solidFill>
          </w14:textFill>
        </w:rPr>
      </w:pPr>
      <w:bookmarkStart w:id="141" w:name="_Toc78822682"/>
      <w:bookmarkStart w:id="142" w:name="_Toc187653479"/>
      <w:r>
        <w:rPr>
          <w:rFonts w:ascii="Times New Roman" w:hAnsi="Times New Roman" w:eastAsia="黑体" w:cs="Times New Roman"/>
          <w:b/>
          <w:bCs/>
          <w:color w:val="000000" w:themeColor="text1"/>
          <w:kern w:val="2"/>
          <w:sz w:val="28"/>
          <w:szCs w:val="32"/>
          <w14:textFill>
            <w14:solidFill>
              <w14:schemeClr w14:val="tx1"/>
            </w14:solidFill>
          </w14:textFill>
        </w:rPr>
        <w:t>辐射环境管理</w:t>
      </w:r>
      <w:bookmarkEnd w:id="141"/>
      <w:bookmarkEnd w:id="142"/>
    </w:p>
    <w:p w14:paraId="3E84AF72">
      <w:pPr>
        <w:pStyle w:val="5"/>
        <w:widowControl w:val="0"/>
        <w:numPr>
          <w:ilvl w:val="2"/>
          <w:numId w:val="1"/>
        </w:numPr>
        <w:spacing w:before="0" w:line="360" w:lineRule="auto"/>
        <w:jc w:val="both"/>
        <w:rPr>
          <w:rFonts w:ascii="Times New Roman" w:hAnsi="Times New Roman" w:eastAsia="黑体" w:cs="Times New Roman"/>
          <w:b/>
          <w:bCs/>
          <w:caps w:val="0"/>
          <w:color w:val="000000" w:themeColor="text1"/>
          <w:kern w:val="2"/>
          <w:sz w:val="24"/>
          <w:szCs w:val="32"/>
          <w14:textFill>
            <w14:solidFill>
              <w14:schemeClr w14:val="tx1"/>
            </w14:solidFill>
          </w14:textFill>
        </w:rPr>
      </w:pPr>
      <w:bookmarkStart w:id="143" w:name="_Toc78822683"/>
      <w:r>
        <w:rPr>
          <w:rFonts w:ascii="Times New Roman" w:hAnsi="Times New Roman" w:eastAsia="黑体" w:cs="Times New Roman"/>
          <w:b/>
          <w:bCs/>
          <w:caps w:val="0"/>
          <w:color w:val="000000" w:themeColor="text1"/>
          <w:kern w:val="2"/>
          <w:sz w:val="24"/>
          <w:szCs w:val="32"/>
          <w14:textFill>
            <w14:solidFill>
              <w14:schemeClr w14:val="tx1"/>
            </w14:solidFill>
          </w14:textFill>
        </w:rPr>
        <w:t>辐射环境管理的规章制度</w:t>
      </w:r>
      <w:bookmarkEnd w:id="143"/>
    </w:p>
    <w:p w14:paraId="034B7B97">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针对项目的特点在非放射性管理制度建立的基础上，考虑项目为伴生矿利用开发项目的特殊性，各岗位的操作规程及制度均须张贴上墙。建立健全相关的岗位规章制度及应急预案，确保建设项目在建设、运行过程中环境的安全。公司应制定《物料储存管理制度》、《辐射工作人员教育培训制度》、《工作人员职业健康监护制度》、《工作人员个人剂量管理制度》、《事故应急预案》等制度。</w:t>
      </w:r>
    </w:p>
    <w:p w14:paraId="01D0F4CD">
      <w:pPr>
        <w:pStyle w:val="5"/>
        <w:widowControl w:val="0"/>
        <w:numPr>
          <w:ilvl w:val="2"/>
          <w:numId w:val="1"/>
        </w:numPr>
        <w:spacing w:before="0" w:line="360" w:lineRule="auto"/>
        <w:jc w:val="both"/>
        <w:rPr>
          <w:rFonts w:ascii="Times New Roman" w:hAnsi="Times New Roman" w:eastAsia="黑体" w:cs="Times New Roman"/>
          <w:b/>
          <w:bCs/>
          <w:caps w:val="0"/>
          <w:color w:val="000000" w:themeColor="text1"/>
          <w:kern w:val="2"/>
          <w:sz w:val="24"/>
          <w:szCs w:val="32"/>
          <w14:textFill>
            <w14:solidFill>
              <w14:schemeClr w14:val="tx1"/>
            </w14:solidFill>
          </w14:textFill>
        </w:rPr>
      </w:pPr>
      <w:bookmarkStart w:id="144" w:name="_Toc78822684"/>
      <w:r>
        <w:rPr>
          <w:rFonts w:ascii="Times New Roman" w:hAnsi="Times New Roman" w:eastAsia="黑体" w:cs="Times New Roman"/>
          <w:b/>
          <w:bCs/>
          <w:caps w:val="0"/>
          <w:color w:val="000000" w:themeColor="text1"/>
          <w:kern w:val="2"/>
          <w:sz w:val="24"/>
          <w:szCs w:val="32"/>
          <w14:textFill>
            <w14:solidFill>
              <w14:schemeClr w14:val="tx1"/>
            </w14:solidFill>
          </w14:textFill>
        </w:rPr>
        <w:t>辐射环境管理的岗位设置、人员配置及职责</w:t>
      </w:r>
      <w:bookmarkEnd w:id="144"/>
    </w:p>
    <w:p w14:paraId="484BFEA4">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根据</w:t>
      </w:r>
      <w:r>
        <w:rPr>
          <w:rFonts w:hint="eastAsia" w:ascii="Times New Roman" w:hAnsi="Times New Roman" w:cs="Times New Roman"/>
          <w:color w:val="000000" w:themeColor="text1"/>
          <w:sz w:val="24"/>
          <w:szCs w:val="24"/>
          <w14:textFill>
            <w14:solidFill>
              <w14:schemeClr w14:val="tx1"/>
            </w14:solidFill>
          </w14:textFill>
        </w:rPr>
        <w:t>项目环境影响报告书</w:t>
      </w:r>
      <w:r>
        <w:rPr>
          <w:rFonts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项目建设单位</w:t>
      </w:r>
      <w:r>
        <w:rPr>
          <w:rFonts w:ascii="Times New Roman" w:hAnsi="Times New Roman" w:cs="Times New Roman"/>
          <w:color w:val="000000" w:themeColor="text1"/>
          <w:sz w:val="24"/>
          <w:szCs w:val="24"/>
          <w14:textFill>
            <w14:solidFill>
              <w14:schemeClr w14:val="tx1"/>
            </w14:solidFill>
          </w14:textFill>
        </w:rPr>
        <w:t>拟设定环保机构和配备环保人员。为了确保辐射环境保护设施的完好运行及环保措施的有效实施，</w:t>
      </w:r>
      <w:r>
        <w:rPr>
          <w:rFonts w:hint="eastAsia" w:ascii="Times New Roman" w:hAnsi="Times New Roman" w:cs="Times New Roman"/>
          <w:color w:val="000000" w:themeColor="text1"/>
          <w:sz w:val="24"/>
          <w:szCs w:val="24"/>
          <w14:textFill>
            <w14:solidFill>
              <w14:schemeClr w14:val="tx1"/>
            </w14:solidFill>
          </w14:textFill>
        </w:rPr>
        <w:t>建设单位</w:t>
      </w:r>
      <w:r>
        <w:rPr>
          <w:rFonts w:ascii="Times New Roman" w:hAnsi="Times New Roman" w:cs="Times New Roman"/>
          <w:color w:val="000000" w:themeColor="text1"/>
          <w:sz w:val="24"/>
          <w:szCs w:val="24"/>
          <w14:textFill>
            <w14:solidFill>
              <w14:schemeClr w14:val="tx1"/>
            </w14:solidFill>
          </w14:textFill>
        </w:rPr>
        <w:t>需根据项目特点将辐射环境管理职责纳入环保机构和配备环保人员。同时，建议各生产车间</w:t>
      </w:r>
      <w:r>
        <w:rPr>
          <w:rFonts w:hint="eastAsia" w:ascii="Times New Roman" w:hAnsi="Times New Roman" w:cs="Times New Roman"/>
          <w:color w:val="000000" w:themeColor="text1"/>
          <w:sz w:val="24"/>
          <w:szCs w:val="24"/>
          <w14:textFill>
            <w14:solidFill>
              <w14:schemeClr w14:val="tx1"/>
            </w14:solidFill>
          </w14:textFill>
        </w:rPr>
        <w:t>的</w:t>
      </w:r>
      <w:r>
        <w:rPr>
          <w:rFonts w:ascii="Times New Roman" w:hAnsi="Times New Roman" w:cs="Times New Roman"/>
          <w:color w:val="000000" w:themeColor="text1"/>
          <w:sz w:val="24"/>
          <w:szCs w:val="24"/>
          <w14:textFill>
            <w14:solidFill>
              <w14:schemeClr w14:val="tx1"/>
            </w14:solidFill>
          </w14:textFill>
        </w:rPr>
        <w:t>主要岗位，设置兼职的环保员，负责对环保设施进行定期维护保养。对污染物排放情况进行监督检查，同时要做好记录，建立排污档案。保证生产过程中含放射性的物质安全可控，使工作人员及环境中的居民所受年附加有效剂量小于环评提出的约束剂量指标。</w:t>
      </w:r>
    </w:p>
    <w:p w14:paraId="2674C3D3">
      <w:pPr>
        <w:pStyle w:val="5"/>
        <w:widowControl w:val="0"/>
        <w:numPr>
          <w:ilvl w:val="2"/>
          <w:numId w:val="1"/>
        </w:numPr>
        <w:spacing w:before="0" w:line="360" w:lineRule="auto"/>
        <w:jc w:val="both"/>
        <w:rPr>
          <w:rFonts w:ascii="Times New Roman" w:hAnsi="Times New Roman" w:eastAsia="黑体" w:cs="Times New Roman"/>
          <w:b/>
          <w:bCs/>
          <w:caps w:val="0"/>
          <w:color w:val="000000" w:themeColor="text1"/>
          <w:kern w:val="2"/>
          <w:sz w:val="24"/>
          <w:szCs w:val="32"/>
          <w14:textFill>
            <w14:solidFill>
              <w14:schemeClr w14:val="tx1"/>
            </w14:solidFill>
          </w14:textFill>
        </w:rPr>
      </w:pPr>
      <w:bookmarkStart w:id="145" w:name="_Toc78822685"/>
      <w:r>
        <w:rPr>
          <w:rFonts w:ascii="Times New Roman" w:hAnsi="Times New Roman" w:eastAsia="黑体" w:cs="Times New Roman"/>
          <w:b/>
          <w:bCs/>
          <w:caps w:val="0"/>
          <w:color w:val="000000" w:themeColor="text1"/>
          <w:kern w:val="2"/>
          <w:sz w:val="24"/>
          <w:szCs w:val="32"/>
          <w14:textFill>
            <w14:solidFill>
              <w14:schemeClr w14:val="tx1"/>
            </w14:solidFill>
          </w14:textFill>
        </w:rPr>
        <w:t>辐射环境档案管理</w:t>
      </w:r>
      <w:bookmarkEnd w:id="145"/>
    </w:p>
    <w:p w14:paraId="68893736">
      <w:pPr>
        <w:spacing w:after="0" w:line="360" w:lineRule="auto"/>
        <w:ind w:firstLine="480" w:firstLineChars="200"/>
        <w:rPr>
          <w:rFonts w:ascii="Times New Roman" w:hAnsi="Times New Roman" w:cs="Times New Roman"/>
          <w:color w:val="000000" w:themeColor="text1"/>
          <w:sz w:val="24"/>
          <w:szCs w:val="24"/>
          <w:u w:val="single"/>
          <w14:textFill>
            <w14:solidFill>
              <w14:schemeClr w14:val="tx1"/>
            </w14:solidFill>
          </w14:textFill>
        </w:rPr>
      </w:pPr>
      <w:r>
        <w:rPr>
          <w:rFonts w:ascii="Times New Roman" w:hAnsi="Times New Roman" w:cs="Times New Roman"/>
          <w:color w:val="000000" w:themeColor="text1"/>
          <w:sz w:val="24"/>
          <w:szCs w:val="24"/>
          <w:u w:val="single"/>
          <w14:textFill>
            <w14:solidFill>
              <w14:schemeClr w14:val="tx1"/>
            </w14:solidFill>
          </w14:textFill>
        </w:rPr>
        <w:t>进行常规个人剂量监测，并对个人监测结果逐个记录存档；</w:t>
      </w:r>
      <w:r>
        <w:rPr>
          <w:rFonts w:hint="eastAsia" w:ascii="Times New Roman" w:hAnsi="Times New Roman" w:cs="Times New Roman"/>
          <w:color w:val="000000" w:themeColor="text1"/>
          <w:sz w:val="24"/>
          <w:szCs w:val="24"/>
          <w:u w:val="single"/>
          <w14:textFill>
            <w14:solidFill>
              <w14:schemeClr w14:val="tx1"/>
            </w14:solidFill>
          </w14:textFill>
        </w:rPr>
        <w:t>建设单位</w:t>
      </w:r>
      <w:r>
        <w:rPr>
          <w:rFonts w:ascii="Times New Roman" w:hAnsi="Times New Roman" w:cs="Times New Roman"/>
          <w:color w:val="000000" w:themeColor="text1"/>
          <w:sz w:val="24"/>
          <w:szCs w:val="24"/>
          <w:u w:val="single"/>
          <w14:textFill>
            <w14:solidFill>
              <w14:schemeClr w14:val="tx1"/>
            </w14:solidFill>
          </w14:textFill>
        </w:rPr>
        <w:t>全体员工应建立职业健康档案</w:t>
      </w:r>
      <w:r>
        <w:rPr>
          <w:rFonts w:hint="eastAsia" w:ascii="Times New Roman" w:hAnsi="Times New Roman" w:cs="Times New Roman"/>
          <w:color w:val="000000" w:themeColor="text1"/>
          <w:sz w:val="24"/>
          <w:szCs w:val="24"/>
          <w:u w:val="single"/>
          <w14:textFill>
            <w14:solidFill>
              <w14:schemeClr w14:val="tx1"/>
            </w14:solidFill>
          </w14:textFill>
        </w:rPr>
        <w:t>。落实项目工作人员及项目有影响的子区的公众配置个人剂量监测仪。</w:t>
      </w:r>
    </w:p>
    <w:p w14:paraId="73181058">
      <w:pPr>
        <w:pStyle w:val="5"/>
        <w:widowControl w:val="0"/>
        <w:numPr>
          <w:ilvl w:val="2"/>
          <w:numId w:val="1"/>
        </w:numPr>
        <w:spacing w:before="0" w:line="360" w:lineRule="auto"/>
        <w:jc w:val="both"/>
        <w:rPr>
          <w:rFonts w:ascii="Times New Roman" w:hAnsi="Times New Roman" w:eastAsia="黑体" w:cs="Times New Roman"/>
          <w:b/>
          <w:bCs/>
          <w:caps w:val="0"/>
          <w:color w:val="000000" w:themeColor="text1"/>
          <w:kern w:val="2"/>
          <w:sz w:val="24"/>
          <w:szCs w:val="32"/>
          <w14:textFill>
            <w14:solidFill>
              <w14:schemeClr w14:val="tx1"/>
            </w14:solidFill>
          </w14:textFill>
        </w:rPr>
      </w:pPr>
      <w:bookmarkStart w:id="146" w:name="_Toc78822686"/>
      <w:r>
        <w:rPr>
          <w:rFonts w:ascii="Times New Roman" w:hAnsi="Times New Roman" w:eastAsia="黑体" w:cs="Times New Roman"/>
          <w:b/>
          <w:bCs/>
          <w:caps w:val="0"/>
          <w:color w:val="000000" w:themeColor="text1"/>
          <w:kern w:val="2"/>
          <w:sz w:val="24"/>
          <w:szCs w:val="32"/>
          <w14:textFill>
            <w14:solidFill>
              <w14:schemeClr w14:val="tx1"/>
            </w14:solidFill>
          </w14:textFill>
        </w:rPr>
        <w:t>分区管理</w:t>
      </w:r>
      <w:bookmarkEnd w:id="146"/>
    </w:p>
    <w:p w14:paraId="7D37F83A">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根据《电离辐射防护与辐射源安全基本标准》（GB18871-2002），建设单位应把需要和可能需要专门防护手段或安全措施的区域定为控制区。由2.3节可知，本项目各场所中所涉及的放射性物质中放射性核素比活度相对较低，工作场所内的γ剂量率、氡浓度均较低，不需要采用专门的防护手段或安全措施。</w:t>
      </w:r>
      <w:r>
        <w:rPr>
          <w:rFonts w:hint="eastAsia" w:ascii="Times New Roman" w:hAnsi="Times New Roman" w:cs="Times New Roman"/>
          <w:color w:val="000000" w:themeColor="text1"/>
          <w:sz w:val="24"/>
          <w:szCs w:val="24"/>
          <w14:textFill>
            <w14:solidFill>
              <w14:schemeClr w14:val="tx1"/>
            </w14:solidFill>
          </w14:textFill>
        </w:rPr>
        <w:t>项目的毛矿及锆中矿中</w:t>
      </w:r>
      <w:r>
        <w:rPr>
          <w:rFonts w:hint="eastAsia" w:ascii="Times New Roman" w:hAnsi="Times New Roman" w:cs="Times New Roman"/>
          <w:color w:val="000000" w:themeColor="text1"/>
          <w:sz w:val="24"/>
          <w:szCs w:val="24"/>
          <w:lang w:eastAsia="zh-CN"/>
          <w14:textFill>
            <w14:solidFill>
              <w14:schemeClr w14:val="tx1"/>
            </w14:solidFill>
          </w14:textFill>
        </w:rPr>
        <w:t>放射性核素</w:t>
      </w:r>
      <w:r>
        <w:rPr>
          <w:rFonts w:hint="eastAsia" w:ascii="Times New Roman" w:hAnsi="Times New Roman" w:cs="Times New Roman"/>
          <w:color w:val="000000" w:themeColor="text1"/>
          <w:sz w:val="24"/>
          <w:szCs w:val="24"/>
          <w14:textFill>
            <w14:solidFill>
              <w14:schemeClr w14:val="tx1"/>
            </w14:solidFill>
          </w14:textFill>
        </w:rPr>
        <w:t>比活度相对较高，</w:t>
      </w:r>
      <w:r>
        <w:rPr>
          <w:rFonts w:hint="eastAsia" w:ascii="Times New Roman" w:hAnsi="Times New Roman" w:cs="Times New Roman"/>
          <w:color w:val="000000" w:themeColor="text1"/>
          <w:sz w:val="24"/>
          <w:szCs w:val="24"/>
          <w:vertAlign w:val="superscript"/>
          <w14:textFill>
            <w14:solidFill>
              <w14:schemeClr w14:val="tx1"/>
            </w14:solidFill>
          </w14:textFill>
        </w:rPr>
        <w:t>232</w:t>
      </w:r>
      <w:r>
        <w:rPr>
          <w:rFonts w:hint="eastAsia" w:ascii="Times New Roman" w:hAnsi="Times New Roman" w:cs="Times New Roman"/>
          <w:color w:val="000000" w:themeColor="text1"/>
          <w:sz w:val="24"/>
          <w:szCs w:val="24"/>
          <w14:textFill>
            <w14:solidFill>
              <w14:schemeClr w14:val="tx1"/>
            </w14:solidFill>
          </w14:textFill>
        </w:rPr>
        <w:t>Th的放射性比活度均超过1Bq/g，项目的毛矿位于1#原料处理车间、锆中矿堆放位于2#分选车间，均划分了专用的堆放区，但堆放区与生产车间无隔断，与生产线处于同一开间内。因此为了控制正常工作条件下的正常照射和加强毛矿和锆中矿的管理，防止矿砂扩散，需要对车间库采用专门的防护手段和安全管理措施，所以明确划分毛矿和产品、副产品堆放的控制区，并采取以下的管理措施：</w:t>
      </w:r>
    </w:p>
    <w:p w14:paraId="673AB770">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1）</w:t>
      </w:r>
      <w:r>
        <w:rPr>
          <w:rFonts w:hint="eastAsia" w:ascii="Times New Roman" w:hAnsi="Times New Roman" w:cs="Times New Roman"/>
          <w:color w:val="000000" w:themeColor="text1"/>
          <w:sz w:val="24"/>
          <w:szCs w:val="24"/>
          <w14:textFill>
            <w14:solidFill>
              <w14:schemeClr w14:val="tx1"/>
            </w14:solidFill>
          </w14:textFill>
        </w:rPr>
        <w:t>将整个生产车间</w:t>
      </w:r>
      <w:r>
        <w:rPr>
          <w:rFonts w:ascii="Times New Roman" w:hAnsi="Times New Roman" w:cs="Times New Roman"/>
          <w:color w:val="000000" w:themeColor="text1"/>
          <w:sz w:val="24"/>
          <w:szCs w:val="24"/>
          <w14:textFill>
            <w14:solidFill>
              <w14:schemeClr w14:val="tx1"/>
            </w14:solidFill>
          </w14:textFill>
        </w:rPr>
        <w:t>划</w:t>
      </w:r>
      <w:r>
        <w:rPr>
          <w:rFonts w:hint="eastAsia" w:ascii="Times New Roman" w:hAnsi="Times New Roman" w:cs="Times New Roman"/>
          <w:color w:val="000000" w:themeColor="text1"/>
          <w:sz w:val="24"/>
          <w:szCs w:val="24"/>
          <w14:textFill>
            <w14:solidFill>
              <w14:schemeClr w14:val="tx1"/>
            </w14:solidFill>
          </w14:textFill>
        </w:rPr>
        <w:t>为</w:t>
      </w:r>
      <w:r>
        <w:rPr>
          <w:rFonts w:ascii="Times New Roman" w:hAnsi="Times New Roman" w:cs="Times New Roman"/>
          <w:color w:val="000000" w:themeColor="text1"/>
          <w:sz w:val="24"/>
          <w:szCs w:val="24"/>
          <w14:textFill>
            <w14:solidFill>
              <w14:schemeClr w14:val="tx1"/>
            </w14:solidFill>
          </w14:textFill>
        </w:rPr>
        <w:t>监督区；</w:t>
      </w:r>
    </w:p>
    <w:p w14:paraId="529C32F5">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（2）</w:t>
      </w:r>
      <w:r>
        <w:rPr>
          <w:rFonts w:ascii="Times New Roman" w:hAnsi="Times New Roman" w:cs="Times New Roman"/>
          <w:color w:val="000000" w:themeColor="text1"/>
          <w:sz w:val="24"/>
          <w:szCs w:val="24"/>
          <w14:textFill>
            <w14:solidFill>
              <w14:schemeClr w14:val="tx1"/>
            </w14:solidFill>
          </w14:textFill>
        </w:rPr>
        <w:t>在车间门口张贴监督区的标志；</w:t>
      </w:r>
    </w:p>
    <w:p w14:paraId="4D5BB0BA">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3）进入监督区</w:t>
      </w:r>
      <w:r>
        <w:rPr>
          <w:rFonts w:hint="eastAsia" w:ascii="Times New Roman" w:hAnsi="Times New Roman" w:cs="Times New Roman"/>
          <w:color w:val="000000" w:themeColor="text1"/>
          <w:sz w:val="24"/>
          <w:szCs w:val="24"/>
          <w14:textFill>
            <w14:solidFill>
              <w14:schemeClr w14:val="tx1"/>
            </w14:solidFill>
          </w14:textFill>
        </w:rPr>
        <w:t>（即车间）</w:t>
      </w:r>
      <w:r>
        <w:rPr>
          <w:rFonts w:ascii="Times New Roman" w:hAnsi="Times New Roman" w:cs="Times New Roman"/>
          <w:color w:val="000000" w:themeColor="text1"/>
          <w:sz w:val="24"/>
          <w:szCs w:val="24"/>
          <w14:textFill>
            <w14:solidFill>
              <w14:schemeClr w14:val="tx1"/>
            </w14:solidFill>
          </w14:textFill>
        </w:rPr>
        <w:t>的工作人员应佩戴个人的劳保防护用品（如工作服、手套，防护口罩等），其他人员进入监督区应佩戴防护口罩。</w:t>
      </w:r>
    </w:p>
    <w:p w14:paraId="5197B399">
      <w:pPr>
        <w:pStyle w:val="5"/>
        <w:widowControl w:val="0"/>
        <w:numPr>
          <w:ilvl w:val="2"/>
          <w:numId w:val="1"/>
        </w:numPr>
        <w:spacing w:before="0" w:line="360" w:lineRule="auto"/>
        <w:jc w:val="both"/>
        <w:rPr>
          <w:rFonts w:ascii="Times New Roman" w:hAnsi="Times New Roman" w:eastAsia="黑体" w:cs="Times New Roman"/>
          <w:b/>
          <w:bCs/>
          <w:caps w:val="0"/>
          <w:color w:val="000000" w:themeColor="text1"/>
          <w:kern w:val="2"/>
          <w:sz w:val="24"/>
          <w:szCs w:val="32"/>
          <w14:textFill>
            <w14:solidFill>
              <w14:schemeClr w14:val="tx1"/>
            </w14:solidFill>
          </w14:textFill>
        </w:rPr>
      </w:pPr>
      <w:bookmarkStart w:id="147" w:name="_Toc512331424"/>
      <w:bookmarkStart w:id="148" w:name="_Toc78822687"/>
      <w:r>
        <w:rPr>
          <w:rFonts w:ascii="Times New Roman" w:hAnsi="Times New Roman" w:eastAsia="黑体" w:cs="Times New Roman"/>
          <w:b/>
          <w:bCs/>
          <w:caps w:val="0"/>
          <w:color w:val="000000" w:themeColor="text1"/>
          <w:kern w:val="2"/>
          <w:sz w:val="24"/>
          <w:szCs w:val="32"/>
          <w14:textFill>
            <w14:solidFill>
              <w14:schemeClr w14:val="tx1"/>
            </w14:solidFill>
          </w14:textFill>
        </w:rPr>
        <w:t>与辐射相关工作的人员</w:t>
      </w:r>
      <w:bookmarkEnd w:id="147"/>
      <w:r>
        <w:rPr>
          <w:rFonts w:ascii="Times New Roman" w:hAnsi="Times New Roman" w:eastAsia="黑体" w:cs="Times New Roman"/>
          <w:b/>
          <w:bCs/>
          <w:caps w:val="0"/>
          <w:color w:val="000000" w:themeColor="text1"/>
          <w:kern w:val="2"/>
          <w:sz w:val="24"/>
          <w:szCs w:val="32"/>
          <w14:textFill>
            <w14:solidFill>
              <w14:schemeClr w14:val="tx1"/>
            </w14:solidFill>
          </w14:textFill>
        </w:rPr>
        <w:t>管理</w:t>
      </w:r>
      <w:bookmarkEnd w:id="148"/>
    </w:p>
    <w:p w14:paraId="43D1E13A">
      <w:pPr>
        <w:pStyle w:val="6"/>
        <w:widowControl w:val="0"/>
        <w:numPr>
          <w:ilvl w:val="3"/>
          <w:numId w:val="1"/>
        </w:numPr>
        <w:spacing w:before="0" w:line="360" w:lineRule="auto"/>
        <w:ind w:left="0" w:firstLine="0"/>
        <w:jc w:val="both"/>
        <w:rPr>
          <w:rFonts w:ascii="Times New Roman" w:hAnsi="Times New Roman" w:eastAsia="黑体" w:cs="Times New Roman"/>
          <w:bCs/>
          <w:i w:val="0"/>
          <w:iCs w:val="0"/>
          <w:color w:val="000000" w:themeColor="text1"/>
          <w:kern w:val="2"/>
          <w:sz w:val="24"/>
          <w14:textFill>
            <w14:solidFill>
              <w14:schemeClr w14:val="tx1"/>
            </w14:solidFill>
          </w14:textFill>
        </w:rPr>
      </w:pPr>
      <w:r>
        <w:rPr>
          <w:rFonts w:ascii="Times New Roman" w:hAnsi="Times New Roman" w:eastAsia="黑体" w:cs="Times New Roman"/>
          <w:bCs/>
          <w:i w:val="0"/>
          <w:iCs w:val="0"/>
          <w:color w:val="000000" w:themeColor="text1"/>
          <w:kern w:val="2"/>
          <w:sz w:val="24"/>
          <w14:textFill>
            <w14:solidFill>
              <w14:schemeClr w14:val="tx1"/>
            </w14:solidFill>
          </w14:textFill>
        </w:rPr>
        <w:t>岗位设置</w:t>
      </w:r>
    </w:p>
    <w:p w14:paraId="65BA5672">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本项目涉及辐射相关的工作人员车间操作工作人员，合计</w:t>
      </w:r>
      <w:r>
        <w:rPr>
          <w:rFonts w:hint="eastAsia" w:ascii="Times New Roman" w:hAnsi="Times New Roman" w:cs="Times New Roman"/>
          <w:color w:val="000000" w:themeColor="text1"/>
          <w:sz w:val="24"/>
          <w:szCs w:val="24"/>
          <w14:textFill>
            <w14:solidFill>
              <w14:schemeClr w14:val="tx1"/>
            </w14:solidFill>
          </w14:textFill>
        </w:rPr>
        <w:t>主要</w:t>
      </w:r>
      <w:r>
        <w:rPr>
          <w:rFonts w:ascii="Times New Roman" w:hAnsi="Times New Roman" w:cs="Times New Roman"/>
          <w:color w:val="000000" w:themeColor="text1"/>
          <w:sz w:val="24"/>
          <w:szCs w:val="24"/>
          <w14:textFill>
            <w14:solidFill>
              <w14:schemeClr w14:val="tx1"/>
            </w14:solidFill>
          </w14:textFill>
        </w:rPr>
        <w:t>生产工作人员</w:t>
      </w:r>
      <w:r>
        <w:rPr>
          <w:rFonts w:hint="eastAsia" w:ascii="Times New Roman" w:hAnsi="Times New Roman" w:cs="Times New Roman"/>
          <w:color w:val="000000" w:themeColor="text1"/>
          <w:sz w:val="24"/>
          <w:szCs w:val="24"/>
          <w14:textFill>
            <w14:solidFill>
              <w14:schemeClr w14:val="tx1"/>
            </w14:solidFill>
          </w14:textFill>
        </w:rPr>
        <w:t>10</w:t>
      </w:r>
      <w:r>
        <w:rPr>
          <w:rFonts w:ascii="Times New Roman" w:hAnsi="Times New Roman" w:cs="Times New Roman"/>
          <w:color w:val="000000" w:themeColor="text1"/>
          <w:sz w:val="24"/>
          <w:szCs w:val="24"/>
          <w14:textFill>
            <w14:solidFill>
              <w14:schemeClr w14:val="tx1"/>
            </w14:solidFill>
          </w14:textFill>
        </w:rPr>
        <w:t>人</w:t>
      </w:r>
      <w:r>
        <w:rPr>
          <w:rFonts w:hint="eastAsia" w:ascii="Times New Roman" w:hAnsi="Times New Roman" w:cs="Times New Roman"/>
          <w:color w:val="000000" w:themeColor="text1"/>
          <w:sz w:val="24"/>
          <w:szCs w:val="24"/>
          <w14:textFill>
            <w14:solidFill>
              <w14:schemeClr w14:val="tx1"/>
            </w14:solidFill>
          </w14:textFill>
        </w:rPr>
        <w:t>，分两班制进行工作</w:t>
      </w:r>
      <w:r>
        <w:rPr>
          <w:rFonts w:ascii="Times New Roman" w:hAnsi="Times New Roman" w:cs="Times New Roman"/>
          <w:color w:val="000000" w:themeColor="text1"/>
          <w:sz w:val="24"/>
          <w:szCs w:val="24"/>
          <w14:textFill>
            <w14:solidFill>
              <w14:schemeClr w14:val="tx1"/>
            </w14:solidFill>
          </w14:textFill>
        </w:rPr>
        <w:t>。不同岗位工作人员情况见表5.1-1。</w:t>
      </w:r>
      <w:r>
        <w:rPr>
          <w:rFonts w:hint="eastAsia" w:ascii="Times New Roman" w:hAnsi="Times New Roman" w:cs="Times New Roman"/>
          <w:color w:val="000000" w:themeColor="text1"/>
          <w:sz w:val="24"/>
          <w:szCs w:val="24"/>
          <w14:textFill>
            <w14:solidFill>
              <w14:schemeClr w14:val="tx1"/>
            </w14:solidFill>
          </w14:textFill>
        </w:rPr>
        <w:t xml:space="preserve"> </w:t>
      </w:r>
    </w:p>
    <w:p w14:paraId="38932E3A">
      <w:pPr>
        <w:widowControl w:val="0"/>
        <w:spacing w:after="0" w:line="360" w:lineRule="auto"/>
        <w:jc w:val="center"/>
        <w:rPr>
          <w:rFonts w:ascii="Times New Roman" w:hAnsi="Times New Roman" w:eastAsia="宋体" w:cs="Times New Roman"/>
          <w:b/>
          <w:bCs/>
          <w:color w:val="000000" w:themeColor="text1"/>
          <w:spacing w:val="-2"/>
          <w:sz w:val="24"/>
          <w:szCs w:val="20"/>
          <w14:textFill>
            <w14:solidFill>
              <w14:schemeClr w14:val="tx1"/>
            </w14:solidFill>
          </w14:textFill>
        </w:rPr>
      </w:pPr>
      <w:r>
        <w:rPr>
          <w:rFonts w:ascii="Times New Roman" w:hAnsi="Times New Roman" w:eastAsia="宋体" w:cs="Times New Roman"/>
          <w:b/>
          <w:bCs/>
          <w:color w:val="000000" w:themeColor="text1"/>
          <w:spacing w:val="-2"/>
          <w:sz w:val="24"/>
          <w:szCs w:val="20"/>
          <w14:textFill>
            <w14:solidFill>
              <w14:schemeClr w14:val="tx1"/>
            </w14:solidFill>
          </w14:textFill>
        </w:rPr>
        <w:t>表5.1-1  涉及辐射工艺中不同岗位工作人员情况表</w:t>
      </w:r>
    </w:p>
    <w:tbl>
      <w:tblPr>
        <w:tblStyle w:val="46"/>
        <w:tblW w:w="503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67"/>
        <w:gridCol w:w="742"/>
        <w:gridCol w:w="1312"/>
        <w:gridCol w:w="867"/>
        <w:gridCol w:w="1022"/>
        <w:gridCol w:w="1311"/>
        <w:gridCol w:w="1022"/>
        <w:gridCol w:w="1744"/>
      </w:tblGrid>
      <w:tr w14:paraId="4B32D1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30" w:type="pct"/>
            <w:vAlign w:val="center"/>
          </w:tcPr>
          <w:p w14:paraId="0161469C">
            <w:pPr>
              <w:spacing w:after="0" w:line="240" w:lineRule="auto"/>
              <w:jc w:val="cente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序号</w:t>
            </w:r>
          </w:p>
        </w:tc>
        <w:tc>
          <w:tcPr>
            <w:tcW w:w="432" w:type="pct"/>
            <w:vAlign w:val="center"/>
          </w:tcPr>
          <w:p w14:paraId="0BDE727E">
            <w:pPr>
              <w:spacing w:after="0" w:line="240" w:lineRule="auto"/>
              <w:jc w:val="cente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工序</w:t>
            </w:r>
          </w:p>
        </w:tc>
        <w:tc>
          <w:tcPr>
            <w:tcW w:w="764" w:type="pct"/>
            <w:vAlign w:val="center"/>
          </w:tcPr>
          <w:p w14:paraId="6FDAF881">
            <w:pPr>
              <w:spacing w:after="0" w:line="240" w:lineRule="auto"/>
              <w:jc w:val="cente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岗位</w:t>
            </w:r>
          </w:p>
        </w:tc>
        <w:tc>
          <w:tcPr>
            <w:tcW w:w="505" w:type="pct"/>
            <w:vAlign w:val="center"/>
          </w:tcPr>
          <w:p w14:paraId="3E7C6310">
            <w:pPr>
              <w:spacing w:after="0" w:line="240" w:lineRule="auto"/>
              <w:jc w:val="cente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人数</w:t>
            </w:r>
            <w:r>
              <w:rPr>
                <w:rFonts w:hint="eastAsia" w:ascii="Times New Roman" w:hAnsi="Times New Roman" w:eastAsia="宋体" w:cs="Times New Roman"/>
                <w:b/>
                <w:color w:val="000000" w:themeColor="text1"/>
                <w14:textFill>
                  <w14:solidFill>
                    <w14:schemeClr w14:val="tx1"/>
                  </w14:solidFill>
                </w14:textFill>
              </w:rPr>
              <w:t>(</w:t>
            </w:r>
            <w:r>
              <w:rPr>
                <w:rFonts w:ascii="Times New Roman" w:hAnsi="Times New Roman" w:eastAsia="宋体" w:cs="Times New Roman"/>
                <w:b/>
                <w:color w:val="000000" w:themeColor="text1"/>
                <w14:textFill>
                  <w14:solidFill>
                    <w14:schemeClr w14:val="tx1"/>
                  </w14:solidFill>
                </w14:textFill>
              </w:rPr>
              <w:t>人</w:t>
            </w:r>
            <w:r>
              <w:rPr>
                <w:rFonts w:hint="eastAsia" w:ascii="Times New Roman" w:hAnsi="Times New Roman" w:eastAsia="宋体" w:cs="Times New Roman"/>
                <w:b/>
                <w:color w:val="000000" w:themeColor="text1"/>
                <w14:textFill>
                  <w14:solidFill>
                    <w14:schemeClr w14:val="tx1"/>
                  </w14:solidFill>
                </w14:textFill>
              </w:rPr>
              <w:t>)</w:t>
            </w:r>
          </w:p>
        </w:tc>
        <w:tc>
          <w:tcPr>
            <w:tcW w:w="595" w:type="pct"/>
            <w:vAlign w:val="center"/>
          </w:tcPr>
          <w:p w14:paraId="44F13826">
            <w:pPr>
              <w:spacing w:after="0" w:line="240" w:lineRule="auto"/>
              <w:jc w:val="cente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工作天数</w:t>
            </w:r>
            <w:r>
              <w:rPr>
                <w:rFonts w:hint="eastAsia" w:ascii="Times New Roman" w:hAnsi="Times New Roman" w:eastAsia="宋体" w:cs="Times New Roman"/>
                <w:b/>
                <w:color w:val="000000" w:themeColor="text1"/>
                <w14:textFill>
                  <w14:solidFill>
                    <w14:schemeClr w14:val="tx1"/>
                  </w14:solidFill>
                </w14:textFill>
              </w:rPr>
              <w:t>(</w:t>
            </w:r>
            <w:r>
              <w:rPr>
                <w:rFonts w:ascii="Times New Roman" w:hAnsi="Times New Roman" w:eastAsia="宋体" w:cs="Times New Roman"/>
                <w:b/>
                <w:color w:val="000000" w:themeColor="text1"/>
                <w14:textFill>
                  <w14:solidFill>
                    <w14:schemeClr w14:val="tx1"/>
                  </w14:solidFill>
                </w14:textFill>
              </w:rPr>
              <w:t>天</w:t>
            </w:r>
            <w:r>
              <w:rPr>
                <w:rFonts w:hint="eastAsia" w:ascii="Times New Roman" w:hAnsi="Times New Roman" w:eastAsia="宋体" w:cs="Times New Roman"/>
                <w:b/>
                <w:color w:val="000000" w:themeColor="text1"/>
                <w14:textFill>
                  <w14:solidFill>
                    <w14:schemeClr w14:val="tx1"/>
                  </w14:solidFill>
                </w14:textFill>
              </w:rPr>
              <w:t>)</w:t>
            </w:r>
          </w:p>
        </w:tc>
        <w:tc>
          <w:tcPr>
            <w:tcW w:w="763" w:type="pct"/>
            <w:vAlign w:val="center"/>
          </w:tcPr>
          <w:p w14:paraId="7503F3C0">
            <w:pPr>
              <w:spacing w:after="0" w:line="240" w:lineRule="auto"/>
              <w:jc w:val="cente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与矿料直线距离</w:t>
            </w:r>
            <w:r>
              <w:rPr>
                <w:rFonts w:hint="eastAsia" w:ascii="Times New Roman" w:hAnsi="Times New Roman" w:eastAsia="宋体" w:cs="Times New Roman"/>
                <w:b/>
                <w:color w:val="000000" w:themeColor="text1"/>
                <w14:textFill>
                  <w14:solidFill>
                    <w14:schemeClr w14:val="tx1"/>
                  </w14:solidFill>
                </w14:textFill>
              </w:rPr>
              <w:t>(</w:t>
            </w:r>
            <w:r>
              <w:rPr>
                <w:rFonts w:ascii="Times New Roman" w:hAnsi="Times New Roman" w:eastAsia="宋体" w:cs="Times New Roman"/>
                <w:b/>
                <w:color w:val="000000" w:themeColor="text1"/>
                <w14:textFill>
                  <w14:solidFill>
                    <w14:schemeClr w14:val="tx1"/>
                  </w14:solidFill>
                </w14:textFill>
              </w:rPr>
              <w:t>m</w:t>
            </w:r>
            <w:r>
              <w:rPr>
                <w:rFonts w:hint="eastAsia" w:ascii="Times New Roman" w:hAnsi="Times New Roman" w:eastAsia="宋体" w:cs="Times New Roman"/>
                <w:b/>
                <w:color w:val="000000" w:themeColor="text1"/>
                <w14:textFill>
                  <w14:solidFill>
                    <w14:schemeClr w14:val="tx1"/>
                  </w14:solidFill>
                </w14:textFill>
              </w:rPr>
              <w:t>)</w:t>
            </w:r>
          </w:p>
        </w:tc>
        <w:tc>
          <w:tcPr>
            <w:tcW w:w="595" w:type="pct"/>
            <w:vAlign w:val="center"/>
          </w:tcPr>
          <w:p w14:paraId="33AB06CF">
            <w:pPr>
              <w:spacing w:after="0" w:line="240" w:lineRule="auto"/>
              <w:jc w:val="cente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年受照时间</w:t>
            </w:r>
            <w:r>
              <w:rPr>
                <w:rFonts w:hint="eastAsia" w:ascii="Times New Roman" w:hAnsi="Times New Roman" w:eastAsia="宋体" w:cs="Times New Roman"/>
                <w:b/>
                <w:color w:val="000000" w:themeColor="text1"/>
                <w14:textFill>
                  <w14:solidFill>
                    <w14:schemeClr w14:val="tx1"/>
                  </w14:solidFill>
                </w14:textFill>
              </w:rPr>
              <w:t>(</w:t>
            </w:r>
            <w:r>
              <w:rPr>
                <w:rFonts w:ascii="Times New Roman" w:hAnsi="Times New Roman" w:eastAsia="宋体" w:cs="Times New Roman"/>
                <w:b/>
                <w:color w:val="000000" w:themeColor="text1"/>
                <w14:textFill>
                  <w14:solidFill>
                    <w14:schemeClr w14:val="tx1"/>
                  </w14:solidFill>
                </w14:textFill>
              </w:rPr>
              <w:t>h</w:t>
            </w:r>
            <w:r>
              <w:rPr>
                <w:rFonts w:hint="eastAsia" w:ascii="Times New Roman" w:hAnsi="Times New Roman" w:eastAsia="宋体" w:cs="Times New Roman"/>
                <w:b/>
                <w:color w:val="000000" w:themeColor="text1"/>
                <w14:textFill>
                  <w14:solidFill>
                    <w14:schemeClr w14:val="tx1"/>
                  </w14:solidFill>
                </w14:textFill>
              </w:rPr>
              <w:t>)</w:t>
            </w:r>
          </w:p>
        </w:tc>
        <w:tc>
          <w:tcPr>
            <w:tcW w:w="1016" w:type="pct"/>
            <w:vAlign w:val="center"/>
          </w:tcPr>
          <w:p w14:paraId="433108FE">
            <w:pPr>
              <w:spacing w:after="0" w:line="240" w:lineRule="auto"/>
              <w:jc w:val="cente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主要照射来源</w:t>
            </w:r>
          </w:p>
        </w:tc>
      </w:tr>
      <w:tr w14:paraId="58CD1E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30" w:type="pct"/>
            <w:vAlign w:val="center"/>
          </w:tcPr>
          <w:p w14:paraId="7793D5A0">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432" w:type="pct"/>
            <w:vAlign w:val="center"/>
          </w:tcPr>
          <w:p w14:paraId="7D7761D8">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原料烘干</w:t>
            </w:r>
          </w:p>
        </w:tc>
        <w:tc>
          <w:tcPr>
            <w:tcW w:w="764" w:type="pct"/>
            <w:vAlign w:val="center"/>
          </w:tcPr>
          <w:p w14:paraId="67F18C15">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烘干炉、烘干机操作工位</w:t>
            </w:r>
          </w:p>
        </w:tc>
        <w:tc>
          <w:tcPr>
            <w:tcW w:w="505" w:type="pct"/>
            <w:vAlign w:val="center"/>
          </w:tcPr>
          <w:p w14:paraId="38980222">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p>
        </w:tc>
        <w:tc>
          <w:tcPr>
            <w:tcW w:w="595" w:type="pct"/>
            <w:vAlign w:val="center"/>
          </w:tcPr>
          <w:p w14:paraId="3A969989">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300</w:t>
            </w:r>
          </w:p>
        </w:tc>
        <w:tc>
          <w:tcPr>
            <w:tcW w:w="763" w:type="pct"/>
            <w:vAlign w:val="center"/>
          </w:tcPr>
          <w:p w14:paraId="3E8CE5AD">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0.5</w:t>
            </w:r>
          </w:p>
        </w:tc>
        <w:tc>
          <w:tcPr>
            <w:tcW w:w="595" w:type="pct"/>
            <w:vAlign w:val="center"/>
          </w:tcPr>
          <w:p w14:paraId="3E53ED92">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2400</w:t>
            </w:r>
          </w:p>
        </w:tc>
        <w:tc>
          <w:tcPr>
            <w:tcW w:w="1016" w:type="pct"/>
            <w:vAlign w:val="center"/>
          </w:tcPr>
          <w:p w14:paraId="34CDDE12">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毛矿</w:t>
            </w:r>
            <w:r>
              <w:rPr>
                <w:rFonts w:ascii="Times New Roman" w:hAnsi="Times New Roman" w:eastAsia="宋体" w:cs="Times New Roman"/>
                <w:color w:val="000000" w:themeColor="text1"/>
                <w14:textFill>
                  <w14:solidFill>
                    <w14:schemeClr w14:val="tx1"/>
                  </w14:solidFill>
                </w14:textFill>
              </w:rPr>
              <w:t>堆放</w:t>
            </w:r>
            <w:r>
              <w:rPr>
                <w:rFonts w:hint="eastAsia" w:ascii="Times New Roman" w:hAnsi="Times New Roman" w:eastAsia="宋体" w:cs="Times New Roman"/>
                <w:color w:val="000000" w:themeColor="text1"/>
                <w14:textFill>
                  <w14:solidFill>
                    <w14:schemeClr w14:val="tx1"/>
                  </w14:solidFill>
                </w14:textFill>
              </w:rPr>
              <w:t>、烘干</w:t>
            </w:r>
            <w:r>
              <w:rPr>
                <w:rFonts w:ascii="Times New Roman" w:hAnsi="Times New Roman" w:eastAsia="宋体" w:cs="Times New Roman"/>
                <w:color w:val="000000" w:themeColor="text1"/>
                <w14:textFill>
                  <w14:solidFill>
                    <w14:schemeClr w14:val="tx1"/>
                  </w14:solidFill>
                </w14:textFill>
              </w:rPr>
              <w:t>和转运时会受到外照</w:t>
            </w:r>
            <w:r>
              <w:rPr>
                <w:rFonts w:hint="eastAsia" w:ascii="Times New Roman" w:hAnsi="Times New Roman" w:eastAsia="宋体" w:cs="Times New Roman"/>
                <w:color w:val="000000" w:themeColor="text1"/>
                <w14:textFill>
                  <w14:solidFill>
                    <w14:schemeClr w14:val="tx1"/>
                  </w14:solidFill>
                </w14:textFill>
              </w:rPr>
              <w:t>射</w:t>
            </w:r>
          </w:p>
        </w:tc>
      </w:tr>
      <w:tr w14:paraId="1B7E0A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30" w:type="pct"/>
            <w:vAlign w:val="center"/>
          </w:tcPr>
          <w:p w14:paraId="502446AA">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p>
        </w:tc>
        <w:tc>
          <w:tcPr>
            <w:tcW w:w="432" w:type="pct"/>
            <w:vAlign w:val="center"/>
          </w:tcPr>
          <w:p w14:paraId="1AB7C293">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磁选</w:t>
            </w:r>
          </w:p>
        </w:tc>
        <w:tc>
          <w:tcPr>
            <w:tcW w:w="764" w:type="pct"/>
            <w:vAlign w:val="center"/>
          </w:tcPr>
          <w:p w14:paraId="16B03A93">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分选车间磁选机操作工位</w:t>
            </w:r>
          </w:p>
        </w:tc>
        <w:tc>
          <w:tcPr>
            <w:tcW w:w="505" w:type="pct"/>
            <w:vAlign w:val="center"/>
          </w:tcPr>
          <w:p w14:paraId="01C3E396">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4</w:t>
            </w:r>
          </w:p>
        </w:tc>
        <w:tc>
          <w:tcPr>
            <w:tcW w:w="595" w:type="pct"/>
            <w:vAlign w:val="center"/>
          </w:tcPr>
          <w:p w14:paraId="52FE9E39">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300</w:t>
            </w:r>
          </w:p>
        </w:tc>
        <w:tc>
          <w:tcPr>
            <w:tcW w:w="763" w:type="pct"/>
            <w:vAlign w:val="center"/>
          </w:tcPr>
          <w:p w14:paraId="0D08DB69">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0.5</w:t>
            </w:r>
          </w:p>
        </w:tc>
        <w:tc>
          <w:tcPr>
            <w:tcW w:w="595" w:type="pct"/>
            <w:vAlign w:val="center"/>
          </w:tcPr>
          <w:p w14:paraId="27D60870">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2400</w:t>
            </w:r>
          </w:p>
        </w:tc>
        <w:tc>
          <w:tcPr>
            <w:tcW w:w="1016" w:type="pct"/>
            <w:vAlign w:val="center"/>
          </w:tcPr>
          <w:p w14:paraId="590E7A7E">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钛铁矿磁选、产品和锆中矿堆存时会受到外照射</w:t>
            </w:r>
          </w:p>
        </w:tc>
      </w:tr>
      <w:tr w14:paraId="2D53D9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30" w:type="pct"/>
            <w:vMerge w:val="restart"/>
            <w:vAlign w:val="center"/>
          </w:tcPr>
          <w:p w14:paraId="4D617744">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p>
        </w:tc>
        <w:tc>
          <w:tcPr>
            <w:tcW w:w="432" w:type="pct"/>
            <w:vMerge w:val="restart"/>
            <w:vAlign w:val="center"/>
          </w:tcPr>
          <w:p w14:paraId="2F295CD9">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物料装载</w:t>
            </w:r>
          </w:p>
        </w:tc>
        <w:tc>
          <w:tcPr>
            <w:tcW w:w="764" w:type="pct"/>
            <w:vAlign w:val="center"/>
          </w:tcPr>
          <w:p w14:paraId="60DBAEF2">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1#原料处理车间装载机操作工位</w:t>
            </w:r>
          </w:p>
        </w:tc>
        <w:tc>
          <w:tcPr>
            <w:tcW w:w="505" w:type="pct"/>
            <w:vAlign w:val="center"/>
          </w:tcPr>
          <w:p w14:paraId="66D36A01">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p>
        </w:tc>
        <w:tc>
          <w:tcPr>
            <w:tcW w:w="595" w:type="pct"/>
            <w:vAlign w:val="center"/>
          </w:tcPr>
          <w:p w14:paraId="57969E60">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300</w:t>
            </w:r>
          </w:p>
        </w:tc>
        <w:tc>
          <w:tcPr>
            <w:tcW w:w="763" w:type="pct"/>
            <w:vAlign w:val="center"/>
          </w:tcPr>
          <w:p w14:paraId="4846A5F0">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0.5</w:t>
            </w:r>
          </w:p>
        </w:tc>
        <w:tc>
          <w:tcPr>
            <w:tcW w:w="595" w:type="pct"/>
            <w:vAlign w:val="center"/>
          </w:tcPr>
          <w:p w14:paraId="5958B297">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2400</w:t>
            </w:r>
          </w:p>
        </w:tc>
        <w:tc>
          <w:tcPr>
            <w:tcW w:w="1016" w:type="pct"/>
            <w:vAlign w:val="center"/>
          </w:tcPr>
          <w:p w14:paraId="3AC832DB">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毛矿</w:t>
            </w:r>
            <w:r>
              <w:rPr>
                <w:rFonts w:ascii="Times New Roman" w:hAnsi="Times New Roman" w:eastAsia="宋体" w:cs="Times New Roman"/>
                <w:color w:val="000000" w:themeColor="text1"/>
                <w14:textFill>
                  <w14:solidFill>
                    <w14:schemeClr w14:val="tx1"/>
                  </w14:solidFill>
                </w14:textFill>
              </w:rPr>
              <w:t>堆放和转运时会受到外照</w:t>
            </w:r>
            <w:r>
              <w:rPr>
                <w:rFonts w:hint="eastAsia" w:ascii="Times New Roman" w:hAnsi="Times New Roman" w:eastAsia="宋体" w:cs="Times New Roman"/>
                <w:color w:val="000000" w:themeColor="text1"/>
                <w14:textFill>
                  <w14:solidFill>
                    <w14:schemeClr w14:val="tx1"/>
                  </w14:solidFill>
                </w14:textFill>
              </w:rPr>
              <w:t>射</w:t>
            </w:r>
          </w:p>
        </w:tc>
      </w:tr>
      <w:tr w14:paraId="6C2804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30" w:type="pct"/>
            <w:vMerge w:val="continue"/>
            <w:vAlign w:val="center"/>
          </w:tcPr>
          <w:p w14:paraId="04DAF3F9">
            <w:pPr>
              <w:spacing w:after="0" w:line="240" w:lineRule="auto"/>
              <w:jc w:val="center"/>
              <w:rPr>
                <w:rFonts w:ascii="Times New Roman" w:hAnsi="Times New Roman" w:eastAsia="宋体" w:cs="Times New Roman"/>
                <w:color w:val="000000" w:themeColor="text1"/>
                <w14:textFill>
                  <w14:solidFill>
                    <w14:schemeClr w14:val="tx1"/>
                  </w14:solidFill>
                </w14:textFill>
              </w:rPr>
            </w:pPr>
          </w:p>
        </w:tc>
        <w:tc>
          <w:tcPr>
            <w:tcW w:w="432" w:type="pct"/>
            <w:vMerge w:val="continue"/>
            <w:vAlign w:val="center"/>
          </w:tcPr>
          <w:p w14:paraId="5ECE3966">
            <w:pPr>
              <w:spacing w:after="0" w:line="240" w:lineRule="auto"/>
              <w:jc w:val="center"/>
              <w:rPr>
                <w:rFonts w:ascii="Times New Roman" w:hAnsi="Times New Roman" w:eastAsia="宋体" w:cs="Times New Roman"/>
                <w:color w:val="000000" w:themeColor="text1"/>
                <w14:textFill>
                  <w14:solidFill>
                    <w14:schemeClr w14:val="tx1"/>
                  </w14:solidFill>
                </w14:textFill>
              </w:rPr>
            </w:pPr>
          </w:p>
        </w:tc>
        <w:tc>
          <w:tcPr>
            <w:tcW w:w="764" w:type="pct"/>
            <w:vAlign w:val="center"/>
          </w:tcPr>
          <w:p w14:paraId="287CE2C3">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2#分选车间装载机操作工位</w:t>
            </w:r>
          </w:p>
        </w:tc>
        <w:tc>
          <w:tcPr>
            <w:tcW w:w="505" w:type="pct"/>
            <w:vAlign w:val="center"/>
          </w:tcPr>
          <w:p w14:paraId="5A140B1C">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p>
        </w:tc>
        <w:tc>
          <w:tcPr>
            <w:tcW w:w="595" w:type="pct"/>
            <w:vAlign w:val="center"/>
          </w:tcPr>
          <w:p w14:paraId="4DFB1AD2">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300</w:t>
            </w:r>
          </w:p>
        </w:tc>
        <w:tc>
          <w:tcPr>
            <w:tcW w:w="763" w:type="pct"/>
            <w:vAlign w:val="center"/>
          </w:tcPr>
          <w:p w14:paraId="3540C87A">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0.5</w:t>
            </w:r>
          </w:p>
        </w:tc>
        <w:tc>
          <w:tcPr>
            <w:tcW w:w="595" w:type="pct"/>
            <w:vAlign w:val="center"/>
          </w:tcPr>
          <w:p w14:paraId="1157B02A">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2400</w:t>
            </w:r>
          </w:p>
        </w:tc>
        <w:tc>
          <w:tcPr>
            <w:tcW w:w="1016" w:type="pct"/>
            <w:vAlign w:val="center"/>
          </w:tcPr>
          <w:p w14:paraId="6C0DE571">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钛精矿</w:t>
            </w:r>
            <w:r>
              <w:rPr>
                <w:rFonts w:hint="eastAsia" w:ascii="Times New Roman" w:hAnsi="Times New Roman" w:eastAsia="宋体" w:cs="Times New Roman"/>
                <w:color w:val="000000" w:themeColor="text1"/>
                <w14:textFill>
                  <w14:solidFill>
                    <w14:schemeClr w14:val="tx1"/>
                  </w14:solidFill>
                </w14:textFill>
              </w:rPr>
              <w:t>、锆中矿</w:t>
            </w:r>
            <w:r>
              <w:rPr>
                <w:rFonts w:ascii="Times New Roman" w:hAnsi="Times New Roman" w:eastAsia="宋体" w:cs="Times New Roman"/>
                <w:color w:val="000000" w:themeColor="text1"/>
                <w14:textFill>
                  <w14:solidFill>
                    <w14:schemeClr w14:val="tx1"/>
                  </w14:solidFill>
                </w14:textFill>
              </w:rPr>
              <w:t>堆放和转运时会受到外照</w:t>
            </w:r>
            <w:r>
              <w:rPr>
                <w:rFonts w:hint="eastAsia" w:ascii="Times New Roman" w:hAnsi="Times New Roman" w:eastAsia="宋体" w:cs="Times New Roman"/>
                <w:color w:val="000000" w:themeColor="text1"/>
                <w14:textFill>
                  <w14:solidFill>
                    <w14:schemeClr w14:val="tx1"/>
                  </w14:solidFill>
                </w14:textFill>
              </w:rPr>
              <w:t>射</w:t>
            </w:r>
          </w:p>
        </w:tc>
      </w:tr>
    </w:tbl>
    <w:p w14:paraId="562E8031">
      <w:pPr>
        <w:spacing w:after="0" w:line="360" w:lineRule="auto"/>
        <w:ind w:firstLine="482"/>
        <w:rPr>
          <w:rFonts w:ascii="Times New Roman" w:hAnsi="Times New Roman" w:cs="Times New Roman"/>
          <w:color w:val="000000" w:themeColor="text1"/>
          <w:sz w:val="24"/>
          <w:szCs w:val="24"/>
          <w14:textFill>
            <w14:solidFill>
              <w14:schemeClr w14:val="tx1"/>
            </w14:solidFill>
          </w14:textFill>
        </w:rPr>
      </w:pPr>
    </w:p>
    <w:p w14:paraId="50F8ABF2">
      <w:pPr>
        <w:pStyle w:val="6"/>
        <w:widowControl w:val="0"/>
        <w:numPr>
          <w:ilvl w:val="3"/>
          <w:numId w:val="1"/>
        </w:numPr>
        <w:spacing w:before="0" w:line="360" w:lineRule="auto"/>
        <w:ind w:left="0" w:firstLine="0"/>
        <w:jc w:val="both"/>
        <w:rPr>
          <w:rFonts w:ascii="Times New Roman" w:hAnsi="Times New Roman" w:eastAsia="黑体" w:cs="Times New Roman"/>
          <w:bCs/>
          <w:i w:val="0"/>
          <w:iCs w:val="0"/>
          <w:color w:val="000000" w:themeColor="text1"/>
          <w:kern w:val="2"/>
          <w:sz w:val="24"/>
          <w14:textFill>
            <w14:solidFill>
              <w14:schemeClr w14:val="tx1"/>
            </w14:solidFill>
          </w14:textFill>
        </w:rPr>
      </w:pPr>
      <w:r>
        <w:rPr>
          <w:rFonts w:ascii="Times New Roman" w:hAnsi="Times New Roman" w:eastAsia="黑体" w:cs="Times New Roman"/>
          <w:bCs/>
          <w:i w:val="0"/>
          <w:iCs w:val="0"/>
          <w:color w:val="000000" w:themeColor="text1"/>
          <w:kern w:val="2"/>
          <w:sz w:val="24"/>
          <w14:textFill>
            <w14:solidFill>
              <w14:schemeClr w14:val="tx1"/>
            </w14:solidFill>
          </w14:textFill>
        </w:rPr>
        <w:t>人员管理制度</w:t>
      </w:r>
      <w:r>
        <w:rPr>
          <w:rFonts w:hint="eastAsia" w:ascii="Times New Roman" w:hAnsi="Times New Roman" w:eastAsia="黑体" w:cs="Times New Roman"/>
          <w:bCs/>
          <w:i w:val="0"/>
          <w:iCs w:val="0"/>
          <w:color w:val="000000" w:themeColor="text1"/>
          <w:kern w:val="2"/>
          <w:sz w:val="24"/>
          <w14:textFill>
            <w14:solidFill>
              <w14:schemeClr w14:val="tx1"/>
            </w14:solidFill>
          </w14:textFill>
        </w:rPr>
        <w:t>及工作</w:t>
      </w:r>
      <w:r>
        <w:rPr>
          <w:rFonts w:ascii="Times New Roman" w:hAnsi="Times New Roman" w:eastAsia="黑体" w:cs="Times New Roman"/>
          <w:bCs/>
          <w:i w:val="0"/>
          <w:iCs w:val="0"/>
          <w:color w:val="000000" w:themeColor="text1"/>
          <w:kern w:val="2"/>
          <w:sz w:val="24"/>
          <w14:textFill>
            <w14:solidFill>
              <w14:schemeClr w14:val="tx1"/>
            </w14:solidFill>
          </w14:textFill>
        </w:rPr>
        <w:t>人</w:t>
      </w:r>
      <w:r>
        <w:rPr>
          <w:rFonts w:hint="eastAsia" w:ascii="Times New Roman" w:hAnsi="Times New Roman" w:eastAsia="黑体" w:cs="Times New Roman"/>
          <w:bCs/>
          <w:i w:val="0"/>
          <w:iCs w:val="0"/>
          <w:color w:val="000000" w:themeColor="text1"/>
          <w:kern w:val="2"/>
          <w:sz w:val="24"/>
          <w14:textFill>
            <w14:solidFill>
              <w14:schemeClr w14:val="tx1"/>
            </w14:solidFill>
          </w14:textFill>
        </w:rPr>
        <w:t>员</w:t>
      </w:r>
      <w:r>
        <w:rPr>
          <w:rFonts w:ascii="Times New Roman" w:hAnsi="Times New Roman" w:eastAsia="黑体" w:cs="Times New Roman"/>
          <w:bCs/>
          <w:i w:val="0"/>
          <w:iCs w:val="0"/>
          <w:color w:val="000000" w:themeColor="text1"/>
          <w:kern w:val="2"/>
          <w:sz w:val="24"/>
          <w14:textFill>
            <w14:solidFill>
              <w14:schemeClr w14:val="tx1"/>
            </w14:solidFill>
          </w14:textFill>
        </w:rPr>
        <w:t>保护措施</w:t>
      </w:r>
    </w:p>
    <w:p w14:paraId="6EE93C14">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（1）对厂内接触伴生矿生产的工作人员进行相关知识的学习和培训，加强该类人员的自我保护和环境保护意识。</w:t>
      </w:r>
    </w:p>
    <w:p w14:paraId="04B2AAF4">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（2）接触伴生放射性物料的工作人员，每年进行体检，车间的工作人员工作时佩戴防尘面具。</w:t>
      </w:r>
    </w:p>
    <w:p w14:paraId="55550478">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（3）</w:t>
      </w:r>
      <w:r>
        <w:rPr>
          <w:rFonts w:hint="eastAsia" w:ascii="Times New Roman" w:hAnsi="Times New Roman" w:cs="Times New Roman"/>
          <w:color w:val="000000" w:themeColor="text1"/>
          <w:sz w:val="24"/>
          <w:szCs w:val="24"/>
          <w14:textFill>
            <w14:solidFill>
              <w14:schemeClr w14:val="tx1"/>
            </w14:solidFill>
          </w14:textFill>
        </w:rPr>
        <w:t>车间范围内，特别是</w:t>
      </w:r>
      <w:r>
        <w:rPr>
          <w:rFonts w:ascii="Times New Roman" w:hAnsi="Times New Roman" w:cs="Times New Roman"/>
          <w:color w:val="000000" w:themeColor="text1"/>
          <w:sz w:val="24"/>
          <w:szCs w:val="24"/>
          <w14:textFill>
            <w14:solidFill>
              <w14:schemeClr w14:val="tx1"/>
            </w14:solidFill>
          </w14:textFill>
        </w:rPr>
        <w:t>原料</w:t>
      </w:r>
      <w:r>
        <w:rPr>
          <w:rFonts w:hint="eastAsia" w:ascii="Times New Roman" w:hAnsi="Times New Roman" w:cs="Times New Roman"/>
          <w:color w:val="000000" w:themeColor="text1"/>
          <w:sz w:val="24"/>
          <w:szCs w:val="24"/>
          <w14:textFill>
            <w14:solidFill>
              <w14:schemeClr w14:val="tx1"/>
            </w14:solidFill>
          </w14:textFill>
        </w:rPr>
        <w:t>、锆中矿</w:t>
      </w:r>
      <w:r>
        <w:rPr>
          <w:rFonts w:ascii="Times New Roman" w:hAnsi="Times New Roman" w:cs="Times New Roman"/>
          <w:color w:val="000000" w:themeColor="text1"/>
          <w:sz w:val="24"/>
          <w:szCs w:val="24"/>
          <w14:textFill>
            <w14:solidFill>
              <w14:schemeClr w14:val="tx1"/>
            </w14:solidFill>
          </w14:textFill>
        </w:rPr>
        <w:t>堆场设有专职人员进行管理，定期及时清理和打扫，</w:t>
      </w:r>
      <w:r>
        <w:rPr>
          <w:rFonts w:hint="eastAsia" w:ascii="Times New Roman" w:hAnsi="Times New Roman" w:cs="Times New Roman"/>
          <w:color w:val="000000" w:themeColor="text1"/>
          <w:sz w:val="24"/>
          <w:szCs w:val="24"/>
          <w14:textFill>
            <w14:solidFill>
              <w14:schemeClr w14:val="tx1"/>
            </w14:solidFill>
          </w14:textFill>
        </w:rPr>
        <w:t>降低</w:t>
      </w:r>
      <w:r>
        <w:rPr>
          <w:rFonts w:ascii="Times New Roman" w:hAnsi="Times New Roman" w:cs="Times New Roman"/>
          <w:color w:val="000000" w:themeColor="text1"/>
          <w:sz w:val="24"/>
          <w:szCs w:val="24"/>
          <w14:textFill>
            <w14:solidFill>
              <w14:schemeClr w14:val="tx1"/>
            </w14:solidFill>
          </w14:textFill>
        </w:rPr>
        <w:t>含放射性的原料及</w:t>
      </w:r>
      <w:r>
        <w:rPr>
          <w:rFonts w:hint="eastAsia" w:ascii="Times New Roman" w:hAnsi="Times New Roman" w:cs="Times New Roman"/>
          <w:color w:val="000000" w:themeColor="text1"/>
          <w:sz w:val="24"/>
          <w:szCs w:val="24"/>
          <w14:textFill>
            <w14:solidFill>
              <w14:schemeClr w14:val="tx1"/>
            </w14:solidFill>
          </w14:textFill>
        </w:rPr>
        <w:t>锆中矿带出车间的可能</w:t>
      </w:r>
      <w:r>
        <w:rPr>
          <w:rFonts w:ascii="Times New Roman" w:hAnsi="Times New Roman" w:cs="Times New Roman"/>
          <w:color w:val="000000" w:themeColor="text1"/>
          <w:sz w:val="24"/>
          <w:szCs w:val="24"/>
          <w14:textFill>
            <w14:solidFill>
              <w14:schemeClr w14:val="tx1"/>
            </w14:solidFill>
          </w14:textFill>
        </w:rPr>
        <w:t>，造成局部环境污染。</w:t>
      </w:r>
    </w:p>
    <w:p w14:paraId="3999416B">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（4）此外，针对个人防护制定辐射防护管理制度：</w:t>
      </w:r>
      <w:r>
        <w:rPr>
          <w:rFonts w:hint="eastAsia" w:ascii="Times New Roman" w:hAnsi="Times New Roman" w:cs="Times New Roman"/>
          <w:color w:val="000000" w:themeColor="text1"/>
          <w:sz w:val="24"/>
          <w:szCs w:val="24"/>
          <w14:textFill>
            <w14:solidFill>
              <w14:schemeClr w14:val="tx1"/>
            </w14:solidFill>
          </w14:textFill>
        </w:rPr>
        <w:t>①</w:t>
      </w:r>
      <w:r>
        <w:rPr>
          <w:rFonts w:ascii="Times New Roman" w:hAnsi="Times New Roman" w:cs="Times New Roman"/>
          <w:color w:val="000000" w:themeColor="text1"/>
          <w:sz w:val="24"/>
          <w:szCs w:val="24"/>
          <w14:textFill>
            <w14:solidFill>
              <w14:schemeClr w14:val="tx1"/>
            </w14:solidFill>
          </w14:textFill>
        </w:rPr>
        <w:t>进出</w:t>
      </w:r>
      <w:r>
        <w:rPr>
          <w:rFonts w:hint="eastAsia" w:ascii="Times New Roman" w:hAnsi="Times New Roman" w:cs="Times New Roman"/>
          <w:color w:val="000000" w:themeColor="text1"/>
          <w:sz w:val="24"/>
          <w:szCs w:val="24"/>
          <w14:textFill>
            <w14:solidFill>
              <w14:schemeClr w14:val="tx1"/>
            </w14:solidFill>
          </w14:textFill>
        </w:rPr>
        <w:t>车间</w:t>
      </w:r>
      <w:r>
        <w:rPr>
          <w:rFonts w:ascii="Times New Roman" w:hAnsi="Times New Roman" w:cs="Times New Roman"/>
          <w:color w:val="000000" w:themeColor="text1"/>
          <w:sz w:val="24"/>
          <w:szCs w:val="24"/>
          <w14:textFill>
            <w14:solidFill>
              <w14:schemeClr w14:val="tx1"/>
            </w14:solidFill>
          </w14:textFill>
        </w:rPr>
        <w:t>佩戴个人剂量报警仪；</w:t>
      </w:r>
      <w:r>
        <w:rPr>
          <w:rFonts w:hint="eastAsia" w:ascii="Times New Roman" w:hAnsi="Times New Roman" w:cs="Times New Roman"/>
          <w:color w:val="000000" w:themeColor="text1"/>
          <w:sz w:val="24"/>
          <w:szCs w:val="24"/>
          <w14:textFill>
            <w14:solidFill>
              <w14:schemeClr w14:val="tx1"/>
            </w14:solidFill>
          </w14:textFill>
        </w:rPr>
        <w:t>②</w:t>
      </w:r>
      <w:r>
        <w:rPr>
          <w:rFonts w:ascii="Times New Roman" w:hAnsi="Times New Roman" w:cs="Times New Roman"/>
          <w:color w:val="000000" w:themeColor="text1"/>
          <w:sz w:val="24"/>
          <w:szCs w:val="24"/>
          <w14:textFill>
            <w14:solidFill>
              <w14:schemeClr w14:val="tx1"/>
            </w14:solidFill>
          </w14:textFill>
        </w:rPr>
        <w:t>为了减少放射性物质进入体内的机会，不在车间和仓库内吸烟，不在车间和仓库内进餐；</w:t>
      </w:r>
      <w:r>
        <w:rPr>
          <w:rFonts w:hint="eastAsia" w:ascii="Times New Roman" w:hAnsi="Times New Roman" w:cs="Times New Roman"/>
          <w:color w:val="000000" w:themeColor="text1"/>
          <w:sz w:val="24"/>
          <w:szCs w:val="24"/>
          <w14:textFill>
            <w14:solidFill>
              <w14:schemeClr w14:val="tx1"/>
            </w14:solidFill>
          </w14:textFill>
        </w:rPr>
        <w:t>③</w:t>
      </w:r>
      <w:r>
        <w:rPr>
          <w:rFonts w:ascii="Times New Roman" w:hAnsi="Times New Roman" w:cs="Times New Roman"/>
          <w:color w:val="000000" w:themeColor="text1"/>
          <w:sz w:val="24"/>
          <w:szCs w:val="24"/>
          <w14:textFill>
            <w14:solidFill>
              <w14:schemeClr w14:val="tx1"/>
            </w14:solidFill>
          </w14:textFill>
        </w:rPr>
        <w:t>经常注意修剪指甲、剪短头发，以免积存放射性物质，还应注意保护皮肤的清洁完整，工作完毕需及时清洗，换洗衣服，防止伴生放射性物料粉尘残留；</w:t>
      </w:r>
      <w:r>
        <w:rPr>
          <w:rFonts w:hint="eastAsia" w:ascii="Times New Roman" w:hAnsi="Times New Roman" w:cs="Times New Roman"/>
          <w:color w:val="000000" w:themeColor="text1"/>
          <w:sz w:val="24"/>
          <w:szCs w:val="24"/>
          <w14:textFill>
            <w14:solidFill>
              <w14:schemeClr w14:val="tx1"/>
            </w14:solidFill>
          </w14:textFill>
        </w:rPr>
        <w:t>④</w:t>
      </w:r>
      <w:r>
        <w:rPr>
          <w:rFonts w:ascii="Times New Roman" w:hAnsi="Times New Roman" w:cs="Times New Roman"/>
          <w:color w:val="000000" w:themeColor="text1"/>
          <w:sz w:val="24"/>
          <w:szCs w:val="24"/>
          <w14:textFill>
            <w14:solidFill>
              <w14:schemeClr w14:val="tx1"/>
            </w14:solidFill>
          </w14:textFill>
        </w:rPr>
        <w:t>配备个人劳保防护用品；</w:t>
      </w:r>
      <w:r>
        <w:rPr>
          <w:rFonts w:hint="eastAsia" w:ascii="Times New Roman" w:hAnsi="Times New Roman" w:cs="Times New Roman"/>
          <w:color w:val="000000" w:themeColor="text1"/>
          <w:sz w:val="24"/>
          <w:szCs w:val="24"/>
          <w14:textFill>
            <w14:solidFill>
              <w14:schemeClr w14:val="tx1"/>
            </w14:solidFill>
          </w14:textFill>
        </w:rPr>
        <w:t>⑤</w:t>
      </w:r>
      <w:r>
        <w:rPr>
          <w:rFonts w:ascii="Times New Roman" w:hAnsi="Times New Roman" w:cs="Times New Roman"/>
          <w:color w:val="000000" w:themeColor="text1"/>
          <w:sz w:val="24"/>
          <w:szCs w:val="24"/>
          <w14:textFill>
            <w14:solidFill>
              <w14:schemeClr w14:val="tx1"/>
            </w14:solidFill>
          </w14:textFill>
        </w:rPr>
        <w:t>全体员工应建立职业健康档案；</w:t>
      </w:r>
      <w:r>
        <w:rPr>
          <w:rFonts w:hint="eastAsia" w:ascii="Times New Roman" w:hAnsi="Times New Roman" w:cs="Times New Roman"/>
          <w:color w:val="000000" w:themeColor="text1"/>
          <w:sz w:val="24"/>
          <w:szCs w:val="24"/>
          <w14:textFill>
            <w14:solidFill>
              <w14:schemeClr w14:val="tx1"/>
            </w14:solidFill>
          </w14:textFill>
        </w:rPr>
        <w:t>⑥</w:t>
      </w:r>
      <w:r>
        <w:rPr>
          <w:rFonts w:ascii="Times New Roman" w:hAnsi="Times New Roman" w:cs="Times New Roman"/>
          <w:color w:val="000000" w:themeColor="text1"/>
          <w:sz w:val="24"/>
          <w:szCs w:val="24"/>
          <w14:textFill>
            <w14:solidFill>
              <w14:schemeClr w14:val="tx1"/>
            </w14:solidFill>
          </w14:textFill>
        </w:rPr>
        <w:t>对身体条件不符合生产岗位的要调整其工作岗位；</w:t>
      </w:r>
      <w:r>
        <w:rPr>
          <w:rFonts w:hint="eastAsia" w:ascii="Times New Roman" w:hAnsi="Times New Roman" w:cs="Times New Roman"/>
          <w:color w:val="000000" w:themeColor="text1"/>
          <w:sz w:val="24"/>
          <w:szCs w:val="24"/>
          <w14:textFill>
            <w14:solidFill>
              <w14:schemeClr w14:val="tx1"/>
            </w14:solidFill>
          </w14:textFill>
        </w:rPr>
        <w:t>⑦</w:t>
      </w:r>
      <w:r>
        <w:rPr>
          <w:rFonts w:ascii="Times New Roman" w:hAnsi="Times New Roman" w:cs="Times New Roman"/>
          <w:color w:val="000000" w:themeColor="text1"/>
          <w:sz w:val="24"/>
          <w:szCs w:val="24"/>
          <w14:textFill>
            <w14:solidFill>
              <w14:schemeClr w14:val="tx1"/>
            </w14:solidFill>
          </w14:textFill>
        </w:rPr>
        <w:t>合理优化职工人数和工作时间，尽量减少员工与放射性物料的接触时间，对所受照射剂量超过5mSv的工作人员调整至其他剂量较小的工作岗位；</w:t>
      </w:r>
      <w:r>
        <w:rPr>
          <w:rFonts w:hint="eastAsia" w:ascii="Times New Roman" w:hAnsi="Times New Roman" w:cs="Times New Roman"/>
          <w:color w:val="000000" w:themeColor="text1"/>
          <w:sz w:val="24"/>
          <w:szCs w:val="24"/>
          <w14:textFill>
            <w14:solidFill>
              <w14:schemeClr w14:val="tx1"/>
            </w14:solidFill>
          </w14:textFill>
        </w:rPr>
        <w:t>⑧</w:t>
      </w:r>
      <w:r>
        <w:rPr>
          <w:rFonts w:ascii="Times New Roman" w:hAnsi="Times New Roman" w:cs="Times New Roman"/>
          <w:color w:val="000000" w:themeColor="text1"/>
          <w:sz w:val="24"/>
          <w:szCs w:val="24"/>
          <w14:textFill>
            <w14:solidFill>
              <w14:schemeClr w14:val="tx1"/>
            </w14:solidFill>
          </w14:textFill>
        </w:rPr>
        <w:t>对预计个人辐射剂量超过1mSv/a的操作工位岗位的人员开展个人剂量监测。</w:t>
      </w:r>
      <w:r>
        <w:rPr>
          <w:rFonts w:hint="eastAsia" w:ascii="Times New Roman" w:hAnsi="Times New Roman" w:cs="Times New Roman"/>
          <w:color w:val="000000" w:themeColor="text1"/>
          <w:sz w:val="24"/>
          <w:szCs w:val="24"/>
          <w14:textFill>
            <w14:solidFill>
              <w14:schemeClr w14:val="tx1"/>
            </w14:solidFill>
          </w14:textFill>
        </w:rPr>
        <w:t>⑨</w:t>
      </w:r>
      <w:r>
        <w:rPr>
          <w:rFonts w:ascii="Times New Roman" w:hAnsi="Times New Roman" w:cs="Times New Roman"/>
          <w:color w:val="000000" w:themeColor="text1"/>
          <w:sz w:val="24"/>
          <w:szCs w:val="24"/>
          <w14:textFill>
            <w14:solidFill>
              <w14:schemeClr w14:val="tx1"/>
            </w14:solidFill>
          </w14:textFill>
        </w:rPr>
        <w:t>对于</w:t>
      </w:r>
      <w:r>
        <w:rPr>
          <w:rFonts w:hint="eastAsia" w:ascii="Times New Roman" w:hAnsi="Times New Roman" w:cs="Times New Roman"/>
          <w:color w:val="000000" w:themeColor="text1"/>
          <w:sz w:val="24"/>
          <w:szCs w:val="24"/>
          <w14:textFill>
            <w14:solidFill>
              <w14:schemeClr w14:val="tx1"/>
            </w14:solidFill>
          </w14:textFill>
        </w:rPr>
        <w:t>原料、产品、副产品</w:t>
      </w:r>
      <w:r>
        <w:rPr>
          <w:rFonts w:ascii="Times New Roman" w:hAnsi="Times New Roman" w:cs="Times New Roman"/>
          <w:color w:val="000000" w:themeColor="text1"/>
          <w:sz w:val="24"/>
          <w:szCs w:val="24"/>
          <w14:textFill>
            <w14:solidFill>
              <w14:schemeClr w14:val="tx1"/>
            </w14:solidFill>
          </w14:textFill>
        </w:rPr>
        <w:t>管理，应设置专人管理，并建立完备进出台账，对于</w:t>
      </w:r>
      <w:r>
        <w:rPr>
          <w:rFonts w:hint="eastAsia" w:ascii="Times New Roman" w:hAnsi="Times New Roman" w:cs="Times New Roman"/>
          <w:color w:val="000000" w:themeColor="text1"/>
          <w:sz w:val="24"/>
          <w:szCs w:val="24"/>
          <w14:textFill>
            <w14:solidFill>
              <w14:schemeClr w14:val="tx1"/>
            </w14:solidFill>
          </w14:textFill>
        </w:rPr>
        <w:t>原料、产品、副产品</w:t>
      </w:r>
      <w:r>
        <w:rPr>
          <w:rFonts w:ascii="Times New Roman" w:hAnsi="Times New Roman" w:cs="Times New Roman"/>
          <w:color w:val="000000" w:themeColor="text1"/>
          <w:sz w:val="24"/>
          <w:szCs w:val="24"/>
          <w14:textFill>
            <w14:solidFill>
              <w14:schemeClr w14:val="tx1"/>
            </w14:solidFill>
          </w14:textFill>
        </w:rPr>
        <w:t>的具体数量和去向完整记录。</w:t>
      </w:r>
      <w:r>
        <w:rPr>
          <w:rFonts w:hint="eastAsia" w:ascii="Times New Roman" w:hAnsi="Times New Roman" w:cs="Times New Roman"/>
          <w:color w:val="000000" w:themeColor="text1"/>
          <w:sz w:val="24"/>
          <w:szCs w:val="24"/>
          <w14:textFill>
            <w14:solidFill>
              <w14:schemeClr w14:val="tx1"/>
            </w14:solidFill>
          </w14:textFill>
        </w:rPr>
        <w:t>⑩</w:t>
      </w:r>
      <w:r>
        <w:rPr>
          <w:rFonts w:ascii="Times New Roman" w:hAnsi="Times New Roman" w:cs="Times New Roman"/>
          <w:color w:val="000000" w:themeColor="text1"/>
          <w:sz w:val="24"/>
          <w:szCs w:val="24"/>
          <w14:textFill>
            <w14:solidFill>
              <w14:schemeClr w14:val="tx1"/>
            </w14:solidFill>
          </w14:textFill>
        </w:rPr>
        <w:t>设立员工换衣区，上班后换上工作专用工作服和鞋，下班之后立即</w:t>
      </w:r>
      <w:r>
        <w:rPr>
          <w:rFonts w:hint="eastAsia" w:ascii="Times New Roman" w:hAnsi="Times New Roman" w:cs="Times New Roman"/>
          <w:color w:val="000000" w:themeColor="text1"/>
          <w:sz w:val="24"/>
          <w:szCs w:val="24"/>
          <w14:textFill>
            <w14:solidFill>
              <w14:schemeClr w14:val="tx1"/>
            </w14:solidFill>
          </w14:textFill>
        </w:rPr>
        <w:t>更换工作服</w:t>
      </w:r>
      <w:r>
        <w:rPr>
          <w:rFonts w:ascii="Times New Roman" w:hAnsi="Times New Roman" w:cs="Times New Roman"/>
          <w:color w:val="000000" w:themeColor="text1"/>
          <w:sz w:val="24"/>
          <w:szCs w:val="24"/>
          <w14:textFill>
            <w14:solidFill>
              <w14:schemeClr w14:val="tx1"/>
            </w14:solidFill>
          </w14:textFill>
        </w:rPr>
        <w:t>，工作服等用品不允许带出厂外。</w:t>
      </w:r>
    </w:p>
    <w:p w14:paraId="476F66D5">
      <w:pPr>
        <w:pStyle w:val="5"/>
        <w:widowControl w:val="0"/>
        <w:numPr>
          <w:ilvl w:val="2"/>
          <w:numId w:val="1"/>
        </w:numPr>
        <w:spacing w:before="0" w:line="360" w:lineRule="auto"/>
        <w:jc w:val="both"/>
        <w:rPr>
          <w:rFonts w:ascii="Times New Roman" w:hAnsi="Times New Roman" w:eastAsia="黑体" w:cs="Times New Roman"/>
          <w:b/>
          <w:bCs/>
          <w:caps w:val="0"/>
          <w:color w:val="000000" w:themeColor="text1"/>
          <w:kern w:val="2"/>
          <w:sz w:val="24"/>
          <w:szCs w:val="32"/>
          <w14:textFill>
            <w14:solidFill>
              <w14:schemeClr w14:val="tx1"/>
            </w14:solidFill>
          </w14:textFill>
        </w:rPr>
      </w:pPr>
      <w:bookmarkStart w:id="149" w:name="_Hlk37960622"/>
      <w:r>
        <w:rPr>
          <w:rFonts w:ascii="Times New Roman" w:hAnsi="Times New Roman" w:eastAsia="黑体" w:cs="Times New Roman"/>
          <w:b/>
          <w:bCs/>
          <w:caps w:val="0"/>
          <w:color w:val="000000" w:themeColor="text1"/>
          <w:kern w:val="2"/>
          <w:sz w:val="24"/>
          <w:szCs w:val="32"/>
          <w14:textFill>
            <w14:solidFill>
              <w14:schemeClr w14:val="tx1"/>
            </w14:solidFill>
          </w14:textFill>
        </w:rPr>
        <w:t>物料装卸</w:t>
      </w:r>
      <w:r>
        <w:rPr>
          <w:rFonts w:hint="eastAsia" w:ascii="Times New Roman" w:hAnsi="Times New Roman" w:eastAsia="黑体" w:cs="Times New Roman"/>
          <w:b/>
          <w:bCs/>
          <w:caps w:val="0"/>
          <w:color w:val="000000" w:themeColor="text1"/>
          <w:kern w:val="2"/>
          <w:sz w:val="24"/>
          <w:szCs w:val="32"/>
          <w14:textFill>
            <w14:solidFill>
              <w14:schemeClr w14:val="tx1"/>
            </w14:solidFill>
          </w14:textFill>
        </w:rPr>
        <w:t>、</w:t>
      </w:r>
      <w:r>
        <w:rPr>
          <w:rFonts w:ascii="Times New Roman" w:hAnsi="Times New Roman" w:eastAsia="黑体" w:cs="Times New Roman"/>
          <w:b/>
          <w:bCs/>
          <w:caps w:val="0"/>
          <w:color w:val="000000" w:themeColor="text1"/>
          <w:kern w:val="2"/>
          <w:sz w:val="24"/>
          <w:szCs w:val="32"/>
          <w14:textFill>
            <w14:solidFill>
              <w14:schemeClr w14:val="tx1"/>
            </w14:solidFill>
          </w14:textFill>
        </w:rPr>
        <w:t>堆存</w:t>
      </w:r>
      <w:r>
        <w:rPr>
          <w:rFonts w:hint="eastAsia" w:ascii="Times New Roman" w:hAnsi="Times New Roman" w:eastAsia="黑体" w:cs="Times New Roman"/>
          <w:b/>
          <w:bCs/>
          <w:caps w:val="0"/>
          <w:color w:val="000000" w:themeColor="text1"/>
          <w:kern w:val="2"/>
          <w:sz w:val="24"/>
          <w:szCs w:val="32"/>
          <w14:textFill>
            <w14:solidFill>
              <w14:schemeClr w14:val="tx1"/>
            </w14:solidFill>
          </w14:textFill>
        </w:rPr>
        <w:t>辐射</w:t>
      </w:r>
      <w:r>
        <w:rPr>
          <w:rFonts w:ascii="Times New Roman" w:hAnsi="Times New Roman" w:eastAsia="黑体" w:cs="Times New Roman"/>
          <w:b/>
          <w:bCs/>
          <w:caps w:val="0"/>
          <w:color w:val="000000" w:themeColor="text1"/>
          <w:kern w:val="2"/>
          <w:sz w:val="24"/>
          <w:szCs w:val="32"/>
          <w14:textFill>
            <w14:solidFill>
              <w14:schemeClr w14:val="tx1"/>
            </w14:solidFill>
          </w14:textFill>
        </w:rPr>
        <w:t>防控措施</w:t>
      </w:r>
    </w:p>
    <w:p w14:paraId="17C8E5BA">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本项目</w:t>
      </w:r>
      <w:r>
        <w:rPr>
          <w:rFonts w:hint="eastAsia" w:ascii="Times New Roman" w:hAnsi="Times New Roman" w:cs="Times New Roman"/>
          <w:color w:val="000000" w:themeColor="text1"/>
          <w:sz w:val="24"/>
          <w:szCs w:val="24"/>
          <w14:textFill>
            <w14:solidFill>
              <w14:schemeClr w14:val="tx1"/>
            </w14:solidFill>
          </w14:textFill>
        </w:rPr>
        <w:t>装卸</w:t>
      </w:r>
      <w:r>
        <w:rPr>
          <w:rFonts w:ascii="Times New Roman" w:hAnsi="Times New Roman" w:cs="Times New Roman"/>
          <w:color w:val="000000" w:themeColor="text1"/>
          <w:sz w:val="24"/>
          <w:szCs w:val="24"/>
          <w14:textFill>
            <w14:solidFill>
              <w14:schemeClr w14:val="tx1"/>
            </w14:solidFill>
          </w14:textFill>
        </w:rPr>
        <w:t>过程中由于机械碰撞因素，仍有可能发生小概率吊装撒漏事故。且</w:t>
      </w:r>
      <w:r>
        <w:rPr>
          <w:rFonts w:hint="eastAsia" w:ascii="Times New Roman" w:hAnsi="Times New Roman" w:cs="Times New Roman"/>
          <w:color w:val="000000" w:themeColor="text1"/>
          <w:sz w:val="24"/>
          <w:szCs w:val="24"/>
          <w14:textFill>
            <w14:solidFill>
              <w14:schemeClr w14:val="tx1"/>
            </w14:solidFill>
          </w14:textFill>
        </w:rPr>
        <w:t>毛矿</w:t>
      </w:r>
      <w:r>
        <w:rPr>
          <w:rFonts w:ascii="Times New Roman" w:hAnsi="Times New Roman" w:cs="Times New Roman"/>
          <w:color w:val="000000" w:themeColor="text1"/>
          <w:sz w:val="24"/>
          <w:szCs w:val="24"/>
          <w14:textFill>
            <w14:solidFill>
              <w14:schemeClr w14:val="tx1"/>
            </w14:solidFill>
          </w14:textFill>
        </w:rPr>
        <w:t>和</w:t>
      </w:r>
      <w:r>
        <w:rPr>
          <w:rFonts w:hint="eastAsia" w:ascii="Times New Roman" w:hAnsi="Times New Roman" w:cs="Times New Roman"/>
          <w:color w:val="000000" w:themeColor="text1"/>
          <w:sz w:val="24"/>
          <w:szCs w:val="24"/>
          <w14:textFill>
            <w14:solidFill>
              <w14:schemeClr w14:val="tx1"/>
            </w14:solidFill>
          </w14:textFill>
        </w:rPr>
        <w:t>锆中矿</w:t>
      </w:r>
      <w:r>
        <w:rPr>
          <w:rFonts w:ascii="Times New Roman" w:hAnsi="Times New Roman" w:cs="Times New Roman"/>
          <w:color w:val="000000" w:themeColor="text1"/>
          <w:sz w:val="24"/>
          <w:szCs w:val="24"/>
          <w14:textFill>
            <w14:solidFill>
              <w14:schemeClr w14:val="tx1"/>
            </w14:solidFill>
          </w14:textFill>
        </w:rPr>
        <w:t>放射性核素比活度较高，应严防</w:t>
      </w:r>
      <w:r>
        <w:rPr>
          <w:rFonts w:hint="eastAsia" w:ascii="Times New Roman" w:hAnsi="Times New Roman" w:cs="Times New Roman"/>
          <w:color w:val="000000" w:themeColor="text1"/>
          <w:sz w:val="24"/>
          <w:szCs w:val="24"/>
          <w14:textFill>
            <w14:solidFill>
              <w14:schemeClr w14:val="tx1"/>
            </w14:solidFill>
          </w14:textFill>
        </w:rPr>
        <w:t>毛矿和锆中矿</w:t>
      </w:r>
      <w:r>
        <w:rPr>
          <w:rFonts w:ascii="Times New Roman" w:hAnsi="Times New Roman" w:cs="Times New Roman"/>
          <w:color w:val="000000" w:themeColor="text1"/>
          <w:sz w:val="24"/>
          <w:szCs w:val="24"/>
          <w14:textFill>
            <w14:solidFill>
              <w14:schemeClr w14:val="tx1"/>
            </w14:solidFill>
          </w14:textFill>
        </w:rPr>
        <w:t>的装卸撒漏事故。</w:t>
      </w:r>
    </w:p>
    <w:p w14:paraId="1121DD13">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为预防撒漏事故的发生，减缓其辐射环境影响，提出以下防范、控制措施：</w:t>
      </w:r>
    </w:p>
    <w:p w14:paraId="5B2AE6D6">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（1）</w:t>
      </w:r>
      <w:r>
        <w:rPr>
          <w:rFonts w:ascii="Times New Roman" w:hAnsi="Times New Roman" w:cs="Times New Roman"/>
          <w:color w:val="000000" w:themeColor="text1"/>
          <w:sz w:val="24"/>
          <w:szCs w:val="24"/>
          <w14:textFill>
            <w14:solidFill>
              <w14:schemeClr w14:val="tx1"/>
            </w14:solidFill>
          </w14:textFill>
        </w:rPr>
        <w:t>加强作业人员业务技术培训，熟练掌握装置操作，</w:t>
      </w:r>
      <w:r>
        <w:rPr>
          <w:rFonts w:hint="eastAsia" w:ascii="Times New Roman" w:hAnsi="Times New Roman" w:cs="Times New Roman"/>
          <w:color w:val="000000" w:themeColor="text1"/>
          <w:sz w:val="24"/>
          <w:szCs w:val="24"/>
          <w:lang w:eastAsia="zh-CN"/>
          <w14:textFill>
            <w14:solidFill>
              <w14:schemeClr w14:val="tx1"/>
            </w14:solidFill>
          </w14:textFill>
        </w:rPr>
        <w:t>减少</w:t>
      </w:r>
      <w:r>
        <w:rPr>
          <w:rFonts w:ascii="Times New Roman" w:hAnsi="Times New Roman" w:cs="Times New Roman"/>
          <w:color w:val="000000" w:themeColor="text1"/>
          <w:sz w:val="24"/>
          <w:szCs w:val="24"/>
          <w14:textFill>
            <w14:solidFill>
              <w14:schemeClr w14:val="tx1"/>
            </w14:solidFill>
          </w14:textFill>
        </w:rPr>
        <w:t>事故发生概率。</w:t>
      </w:r>
    </w:p>
    <w:p w14:paraId="17E67DC8">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（2）</w:t>
      </w:r>
      <w:r>
        <w:rPr>
          <w:rFonts w:ascii="Times New Roman" w:hAnsi="Times New Roman" w:cs="Times New Roman"/>
          <w:color w:val="000000" w:themeColor="text1"/>
          <w:sz w:val="24"/>
          <w:szCs w:val="24"/>
          <w14:textFill>
            <w14:solidFill>
              <w14:schemeClr w14:val="tx1"/>
            </w14:solidFill>
          </w14:textFill>
        </w:rPr>
        <w:t>每天进行装卸前，应检查装卸装置是否存在问题，吊装安全性和稳定性是否完好。</w:t>
      </w:r>
    </w:p>
    <w:p w14:paraId="00741390">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（3）</w:t>
      </w:r>
      <w:r>
        <w:rPr>
          <w:rFonts w:ascii="Times New Roman" w:hAnsi="Times New Roman" w:cs="Times New Roman"/>
          <w:color w:val="000000" w:themeColor="text1"/>
          <w:sz w:val="24"/>
          <w:szCs w:val="24"/>
          <w14:textFill>
            <w14:solidFill>
              <w14:schemeClr w14:val="tx1"/>
            </w14:solidFill>
          </w14:textFill>
        </w:rPr>
        <w:t>定期对吊装装置进行维修与维护，确保仪器处于良好的工作状态。</w:t>
      </w:r>
    </w:p>
    <w:p w14:paraId="001F2DBE">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（4）</w:t>
      </w:r>
      <w:r>
        <w:rPr>
          <w:rFonts w:ascii="Times New Roman" w:hAnsi="Times New Roman" w:cs="Times New Roman"/>
          <w:color w:val="000000" w:themeColor="text1"/>
          <w:sz w:val="24"/>
          <w:szCs w:val="24"/>
          <w14:textFill>
            <w14:solidFill>
              <w14:schemeClr w14:val="tx1"/>
            </w14:solidFill>
          </w14:textFill>
        </w:rPr>
        <w:t>发生</w:t>
      </w:r>
      <w:r>
        <w:rPr>
          <w:rFonts w:hint="eastAsia" w:ascii="Times New Roman" w:hAnsi="Times New Roman" w:cs="Times New Roman"/>
          <w:color w:val="000000" w:themeColor="text1"/>
          <w:sz w:val="24"/>
          <w:szCs w:val="24"/>
          <w14:textFill>
            <w14:solidFill>
              <w14:schemeClr w14:val="tx1"/>
            </w14:solidFill>
          </w14:textFill>
        </w:rPr>
        <w:t>装卸过程</w:t>
      </w:r>
      <w:r>
        <w:rPr>
          <w:rFonts w:ascii="Times New Roman" w:hAnsi="Times New Roman" w:cs="Times New Roman"/>
          <w:color w:val="000000" w:themeColor="text1"/>
          <w:sz w:val="24"/>
          <w:szCs w:val="24"/>
          <w14:textFill>
            <w14:solidFill>
              <w14:schemeClr w14:val="tx1"/>
            </w14:solidFill>
          </w14:textFill>
        </w:rPr>
        <w:t>撒漏事故时，应立即在车间现场设置警戒线，防止无关人员进入；安排专人进行干法清扫收集，将其妥善运至其暂存场所，事故处理完毕后解除警戒。</w:t>
      </w:r>
    </w:p>
    <w:p w14:paraId="472A8EDE">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t>物料</w:t>
      </w:r>
      <w:r>
        <w:rPr>
          <w:rFonts w:hint="eastAsia" w:ascii="Times New Roman" w:hAnsi="Times New Roman" w:cs="Times New Roman"/>
          <w:color w:val="000000" w:themeColor="text1"/>
          <w:sz w:val="24"/>
          <w:szCs w:val="24"/>
          <w14:textFill>
            <w14:solidFill>
              <w14:schemeClr w14:val="tx1"/>
            </w14:solidFill>
          </w14:textFill>
        </w:rPr>
        <w:t>在生</w:t>
      </w:r>
      <w:r>
        <w:rPr>
          <w:rFonts w:ascii="Times New Roman" w:hAnsi="Times New Roman" w:cs="Times New Roman"/>
          <w:color w:val="000000" w:themeColor="text1"/>
          <w:sz w:val="24"/>
          <w:szCs w:val="24"/>
          <w14:textFill>
            <w14:solidFill>
              <w14:schemeClr w14:val="tx1"/>
            </w14:solidFill>
          </w14:textFill>
        </w:rPr>
        <w:t>产</w:t>
      </w:r>
      <w:r>
        <w:rPr>
          <w:rFonts w:hint="eastAsia" w:ascii="Times New Roman" w:hAnsi="Times New Roman" w:cs="Times New Roman"/>
          <w:color w:val="000000" w:themeColor="text1"/>
          <w:sz w:val="24"/>
          <w:szCs w:val="24"/>
          <w14:textFill>
            <w14:solidFill>
              <w14:schemeClr w14:val="tx1"/>
            </w14:solidFill>
          </w14:textFill>
        </w:rPr>
        <w:t>区</w:t>
      </w:r>
      <w:r>
        <w:rPr>
          <w:rFonts w:ascii="Times New Roman" w:hAnsi="Times New Roman" w:cs="Times New Roman"/>
          <w:color w:val="000000" w:themeColor="text1"/>
          <w:sz w:val="24"/>
          <w:szCs w:val="24"/>
          <w14:textFill>
            <w14:solidFill>
              <w14:schemeClr w14:val="tx1"/>
            </w14:solidFill>
          </w14:textFill>
        </w:rPr>
        <w:t>堆存</w:t>
      </w:r>
      <w:r>
        <w:rPr>
          <w:rFonts w:hint="eastAsia" w:ascii="Times New Roman" w:hAnsi="Times New Roman" w:cs="Times New Roman"/>
          <w:color w:val="000000" w:themeColor="text1"/>
          <w:sz w:val="24"/>
          <w:szCs w:val="24"/>
          <w14:textFill>
            <w14:solidFill>
              <w14:schemeClr w14:val="tx1"/>
            </w14:solidFill>
          </w14:textFill>
        </w:rPr>
        <w:t>过程</w:t>
      </w:r>
      <w:r>
        <w:rPr>
          <w:rFonts w:ascii="Times New Roman" w:hAnsi="Times New Roman" w:cs="Times New Roman"/>
          <w:color w:val="000000" w:themeColor="text1"/>
          <w:sz w:val="24"/>
          <w:szCs w:val="24"/>
          <w14:textFill>
            <w14:solidFill>
              <w14:schemeClr w14:val="tx1"/>
            </w14:solidFill>
          </w14:textFill>
        </w:rPr>
        <w:t>中，</w:t>
      </w:r>
      <w:r>
        <w:rPr>
          <w:rFonts w:hint="eastAsia" w:ascii="Times New Roman" w:hAnsi="Times New Roman" w:cs="Times New Roman"/>
          <w:color w:val="000000" w:themeColor="text1"/>
          <w:sz w:val="24"/>
          <w:szCs w:val="24"/>
          <w14:textFill>
            <w14:solidFill>
              <w14:schemeClr w14:val="tx1"/>
            </w14:solidFill>
          </w14:textFill>
        </w:rPr>
        <w:t>所</w:t>
      </w:r>
      <w:r>
        <w:rPr>
          <w:rFonts w:ascii="Times New Roman" w:hAnsi="Times New Roman" w:cs="Times New Roman"/>
          <w:color w:val="000000" w:themeColor="text1"/>
          <w:sz w:val="24"/>
          <w:szCs w:val="24"/>
          <w14:textFill>
            <w14:solidFill>
              <w14:schemeClr w14:val="tx1"/>
            </w14:solidFill>
          </w14:textFill>
        </w:rPr>
        <w:t>有物料</w:t>
      </w:r>
      <w:r>
        <w:rPr>
          <w:rFonts w:hint="eastAsia" w:ascii="Times New Roman" w:hAnsi="Times New Roman" w:cs="Times New Roman"/>
          <w:color w:val="000000" w:themeColor="text1"/>
          <w:sz w:val="24"/>
          <w:szCs w:val="24"/>
          <w:lang w:eastAsia="zh-CN"/>
          <w14:textFill>
            <w14:solidFill>
              <w14:schemeClr w14:val="tx1"/>
            </w14:solidFill>
          </w14:textFill>
        </w:rPr>
        <w:t>必须</w:t>
      </w:r>
      <w:r>
        <w:rPr>
          <w:rFonts w:hint="eastAsia" w:ascii="Times New Roman" w:hAnsi="Times New Roman" w:cs="Times New Roman"/>
          <w:color w:val="000000" w:themeColor="text1"/>
          <w:sz w:val="24"/>
          <w:szCs w:val="24"/>
          <w14:textFill>
            <w14:solidFill>
              <w14:schemeClr w14:val="tx1"/>
            </w14:solidFill>
          </w14:textFill>
        </w:rPr>
        <w:t>堆</w:t>
      </w:r>
      <w:r>
        <w:rPr>
          <w:rFonts w:ascii="Times New Roman" w:hAnsi="Times New Roman" w:cs="Times New Roman"/>
          <w:color w:val="000000" w:themeColor="text1"/>
          <w:sz w:val="24"/>
          <w:szCs w:val="24"/>
          <w14:textFill>
            <w14:solidFill>
              <w14:schemeClr w14:val="tx1"/>
            </w14:solidFill>
          </w14:textFill>
        </w:rPr>
        <w:t>存于</w:t>
      </w:r>
      <w:r>
        <w:rPr>
          <w:rFonts w:hint="eastAsia" w:ascii="Times New Roman" w:hAnsi="Times New Roman" w:cs="Times New Roman"/>
          <w:color w:val="000000" w:themeColor="text1"/>
          <w:sz w:val="24"/>
          <w:szCs w:val="24"/>
          <w14:textFill>
            <w14:solidFill>
              <w14:schemeClr w14:val="tx1"/>
            </w14:solidFill>
          </w14:textFill>
        </w:rPr>
        <w:t>厂</w:t>
      </w:r>
      <w:r>
        <w:rPr>
          <w:rFonts w:ascii="Times New Roman" w:hAnsi="Times New Roman" w:cs="Times New Roman"/>
          <w:color w:val="000000" w:themeColor="text1"/>
          <w:sz w:val="24"/>
          <w:szCs w:val="24"/>
          <w14:textFill>
            <w14:solidFill>
              <w14:schemeClr w14:val="tx1"/>
            </w14:solidFill>
          </w14:textFill>
        </w:rPr>
        <w:t>房内或有顶棚</w:t>
      </w:r>
      <w:r>
        <w:rPr>
          <w:rFonts w:hint="eastAsia" w:ascii="Times New Roman" w:hAnsi="Times New Roman" w:cs="Times New Roman"/>
          <w:color w:val="000000" w:themeColor="text1"/>
          <w:sz w:val="24"/>
          <w:szCs w:val="24"/>
          <w14:textFill>
            <w14:solidFill>
              <w14:schemeClr w14:val="tx1"/>
            </w14:solidFill>
          </w14:textFill>
        </w:rPr>
        <w:t>及围墙</w:t>
      </w:r>
      <w:r>
        <w:rPr>
          <w:rFonts w:ascii="Times New Roman" w:hAnsi="Times New Roman" w:cs="Times New Roman"/>
          <w:color w:val="000000" w:themeColor="text1"/>
          <w:sz w:val="24"/>
          <w:szCs w:val="24"/>
          <w14:textFill>
            <w14:solidFill>
              <w14:schemeClr w14:val="tx1"/>
            </w14:solidFill>
          </w14:textFill>
        </w:rPr>
        <w:t>区域</w:t>
      </w:r>
      <w:r>
        <w:rPr>
          <w:rFonts w:hint="eastAsia" w:ascii="Times New Roman" w:hAnsi="Times New Roman" w:cs="Times New Roman"/>
          <w:color w:val="000000" w:themeColor="text1"/>
          <w:sz w:val="24"/>
          <w:szCs w:val="24"/>
          <w14:textFill>
            <w14:solidFill>
              <w14:schemeClr w14:val="tx1"/>
            </w14:solidFill>
          </w14:textFill>
        </w:rPr>
        <w:t>。必要时</w:t>
      </w:r>
      <w:r>
        <w:rPr>
          <w:rFonts w:ascii="Times New Roman" w:hAnsi="Times New Roman" w:cs="Times New Roman"/>
          <w:color w:val="000000" w:themeColor="text1"/>
          <w:sz w:val="24"/>
          <w:szCs w:val="24"/>
          <w14:textFill>
            <w14:solidFill>
              <w14:schemeClr w14:val="tx1"/>
            </w14:solidFill>
          </w14:textFill>
        </w:rPr>
        <w:t>加盖塑料膜</w:t>
      </w:r>
      <w:r>
        <w:rPr>
          <w:rFonts w:hint="eastAsia" w:ascii="Times New Roman" w:hAnsi="Times New Roman" w:cs="Times New Roman"/>
          <w:color w:val="000000" w:themeColor="text1"/>
          <w:sz w:val="24"/>
          <w:szCs w:val="24"/>
          <w14:textFill>
            <w14:solidFill>
              <w14:schemeClr w14:val="tx1"/>
            </w14:solidFill>
          </w14:textFill>
        </w:rPr>
        <w:t>，减少放射性物料的起</w:t>
      </w:r>
      <w:r>
        <w:rPr>
          <w:rFonts w:ascii="Times New Roman" w:hAnsi="Times New Roman" w:cs="Times New Roman"/>
          <w:color w:val="000000" w:themeColor="text1"/>
          <w:sz w:val="24"/>
          <w:szCs w:val="24"/>
          <w14:textFill>
            <w14:solidFill>
              <w14:schemeClr w14:val="tx1"/>
            </w14:solidFill>
          </w14:textFill>
        </w:rPr>
        <w:t>尘。</w:t>
      </w:r>
    </w:p>
    <w:p w14:paraId="46B7AC81">
      <w:pPr>
        <w:pStyle w:val="5"/>
        <w:widowControl w:val="0"/>
        <w:numPr>
          <w:ilvl w:val="2"/>
          <w:numId w:val="1"/>
        </w:numPr>
        <w:spacing w:before="0" w:line="360" w:lineRule="auto"/>
        <w:jc w:val="both"/>
        <w:rPr>
          <w:rFonts w:ascii="Times New Roman" w:hAnsi="Times New Roman" w:eastAsia="黑体" w:cs="Times New Roman"/>
          <w:b/>
          <w:bCs/>
          <w:caps w:val="0"/>
          <w:color w:val="000000" w:themeColor="text1"/>
          <w:kern w:val="2"/>
          <w:sz w:val="24"/>
          <w:szCs w:val="32"/>
          <w14:textFill>
            <w14:solidFill>
              <w14:schemeClr w14:val="tx1"/>
            </w14:solidFill>
          </w14:textFill>
        </w:rPr>
      </w:pPr>
      <w:r>
        <w:rPr>
          <w:rFonts w:ascii="Times New Roman" w:hAnsi="Times New Roman" w:eastAsia="黑体" w:cs="Times New Roman"/>
          <w:b/>
          <w:bCs/>
          <w:caps w:val="0"/>
          <w:color w:val="000000" w:themeColor="text1"/>
          <w:kern w:val="2"/>
          <w:sz w:val="24"/>
          <w:szCs w:val="32"/>
          <w14:textFill>
            <w14:solidFill>
              <w14:schemeClr w14:val="tx1"/>
            </w14:solidFill>
          </w14:textFill>
        </w:rPr>
        <w:t>运输风险防</w:t>
      </w:r>
      <w:r>
        <w:rPr>
          <w:rFonts w:hint="eastAsia" w:ascii="Times New Roman" w:hAnsi="Times New Roman" w:eastAsia="黑体" w:cs="Times New Roman"/>
          <w:b/>
          <w:bCs/>
          <w:caps w:val="0"/>
          <w:color w:val="000000" w:themeColor="text1"/>
          <w:kern w:val="2"/>
          <w:sz w:val="24"/>
          <w:szCs w:val="32"/>
          <w14:textFill>
            <w14:solidFill>
              <w14:schemeClr w14:val="tx1"/>
            </w14:solidFill>
          </w14:textFill>
        </w:rPr>
        <w:t>控</w:t>
      </w:r>
      <w:r>
        <w:rPr>
          <w:rFonts w:ascii="Times New Roman" w:hAnsi="Times New Roman" w:eastAsia="黑体" w:cs="Times New Roman"/>
          <w:b/>
          <w:bCs/>
          <w:caps w:val="0"/>
          <w:color w:val="000000" w:themeColor="text1"/>
          <w:kern w:val="2"/>
          <w:sz w:val="24"/>
          <w:szCs w:val="32"/>
          <w14:textFill>
            <w14:solidFill>
              <w14:schemeClr w14:val="tx1"/>
            </w14:solidFill>
          </w14:textFill>
        </w:rPr>
        <w:t>措施</w:t>
      </w:r>
    </w:p>
    <w:p w14:paraId="0F61BABE">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为满足《放射性物品安全运输规程》（GB11806-2019）中要求，本项目原料进入国内港口后，使用汽车运输至本项目厂址内，成品</w:t>
      </w:r>
      <w:r>
        <w:rPr>
          <w:rFonts w:hint="eastAsia" w:ascii="Times New Roman" w:hAnsi="Times New Roman" w:cs="Times New Roman"/>
          <w:color w:val="000000" w:themeColor="text1"/>
          <w:sz w:val="24"/>
          <w:szCs w:val="24"/>
          <w14:textFill>
            <w14:solidFill>
              <w14:schemeClr w14:val="tx1"/>
            </w14:solidFill>
          </w14:textFill>
        </w:rPr>
        <w:t>则</w:t>
      </w:r>
      <w:r>
        <w:rPr>
          <w:rFonts w:ascii="Times New Roman" w:hAnsi="Times New Roman" w:cs="Times New Roman"/>
          <w:color w:val="000000" w:themeColor="text1"/>
          <w:sz w:val="24"/>
          <w:szCs w:val="24"/>
          <w14:textFill>
            <w14:solidFill>
              <w14:schemeClr w14:val="tx1"/>
            </w14:solidFill>
          </w14:textFill>
        </w:rPr>
        <w:t>一般使用汽车运输至下游企业。本项目路上运输过程中均采用集装箱或者货车内装吨袋的形式运输。从港口码头运输至厂区运输过程中的安全责任主体为广西瑞腾贸易有限公司，发生运输风险时，由广西瑞腾贸易有限公司主要负责，控制风险的发生，及时处置风险事故现场，产品的运输风险责任主体为下游企业。</w:t>
      </w:r>
    </w:p>
    <w:p w14:paraId="3345B163">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运输过程设置合理的原料</w:t>
      </w: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产品</w:t>
      </w:r>
      <w:r>
        <w:rPr>
          <w:rFonts w:hint="eastAsia" w:ascii="Times New Roman" w:hAnsi="Times New Roman" w:cs="Times New Roman"/>
          <w:color w:val="000000" w:themeColor="text1"/>
          <w:sz w:val="24"/>
          <w:szCs w:val="24"/>
          <w14:textFill>
            <w14:solidFill>
              <w14:schemeClr w14:val="tx1"/>
            </w14:solidFill>
          </w14:textFill>
        </w:rPr>
        <w:t>及副产品</w:t>
      </w:r>
      <w:r>
        <w:rPr>
          <w:rFonts w:ascii="Times New Roman" w:hAnsi="Times New Roman" w:cs="Times New Roman"/>
          <w:color w:val="000000" w:themeColor="text1"/>
          <w:sz w:val="24"/>
          <w:szCs w:val="24"/>
          <w14:textFill>
            <w14:solidFill>
              <w14:schemeClr w14:val="tx1"/>
            </w14:solidFill>
          </w14:textFill>
        </w:rPr>
        <w:t>运输路线，原料</w:t>
      </w: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产品</w:t>
      </w:r>
      <w:r>
        <w:rPr>
          <w:rFonts w:hint="eastAsia" w:ascii="Times New Roman" w:hAnsi="Times New Roman" w:cs="Times New Roman"/>
          <w:color w:val="000000" w:themeColor="text1"/>
          <w:sz w:val="24"/>
          <w:szCs w:val="24"/>
          <w14:textFill>
            <w14:solidFill>
              <w14:schemeClr w14:val="tx1"/>
            </w14:solidFill>
          </w14:textFill>
        </w:rPr>
        <w:t>及副产品</w:t>
      </w:r>
      <w:r>
        <w:rPr>
          <w:rFonts w:ascii="Times New Roman" w:hAnsi="Times New Roman" w:cs="Times New Roman"/>
          <w:color w:val="000000" w:themeColor="text1"/>
          <w:sz w:val="24"/>
          <w:szCs w:val="24"/>
          <w14:textFill>
            <w14:solidFill>
              <w14:schemeClr w14:val="tx1"/>
            </w14:solidFill>
          </w14:textFill>
        </w:rPr>
        <w:t>运输前应该进行严密包装，采用专用</w:t>
      </w:r>
      <w:r>
        <w:rPr>
          <w:rFonts w:hint="eastAsia" w:ascii="Times New Roman" w:hAnsi="Times New Roman" w:cs="Times New Roman"/>
          <w:color w:val="000000" w:themeColor="text1"/>
          <w:sz w:val="24"/>
          <w:szCs w:val="24"/>
          <w:lang w:eastAsia="zh-CN"/>
          <w14:textFill>
            <w14:solidFill>
              <w14:schemeClr w14:val="tx1"/>
            </w14:solidFill>
          </w14:textFill>
        </w:rPr>
        <w:t>厢式</w:t>
      </w:r>
      <w:r>
        <w:rPr>
          <w:rFonts w:ascii="Times New Roman" w:hAnsi="Times New Roman" w:cs="Times New Roman"/>
          <w:color w:val="000000" w:themeColor="text1"/>
          <w:sz w:val="24"/>
          <w:szCs w:val="24"/>
          <w14:textFill>
            <w14:solidFill>
              <w14:schemeClr w14:val="tx1"/>
            </w14:solidFill>
          </w14:textFill>
        </w:rPr>
        <w:t>运输车辆，货物装车后应及时封闭车辆。并选择风险控制信用较好的运输单位进行原料和产品的运输，定期对运输汽车进行维修和保养、提高驾驶人员安全意识，防止极端交通事故发生，以避免对沿线道路及周边环境形成放射性污染，在车上常备有应急物品，包括防护口罩、防护手套、护目镜等防护用品。</w:t>
      </w:r>
    </w:p>
    <w:p w14:paraId="13B2FCCF">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运输工作人员应接受相关辐射防护措施等方面的培训：</w:t>
      </w:r>
    </w:p>
    <w:p w14:paraId="54993C82">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（1）避免事故发生的方法和程序；</w:t>
      </w:r>
    </w:p>
    <w:p w14:paraId="15B3209E">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（2）应急响应信息以及如何利用这些信息；</w:t>
      </w:r>
    </w:p>
    <w:p w14:paraId="13F71BA0">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（3）各种放射性物品的危害和如何防止受到这些危害，必要</w:t>
      </w:r>
      <w:r>
        <w:rPr>
          <w:rFonts w:hint="eastAsia" w:ascii="Times New Roman" w:hAnsi="Times New Roman" w:cs="Times New Roman"/>
          <w:color w:val="000000" w:themeColor="text1"/>
          <w:sz w:val="24"/>
          <w:szCs w:val="24"/>
          <w:lang w:eastAsia="zh-CN"/>
          <w14:textFill>
            <w14:solidFill>
              <w14:schemeClr w14:val="tx1"/>
            </w14:solidFill>
          </w14:textFill>
        </w:rPr>
        <w:t>时</w:t>
      </w:r>
      <w:r>
        <w:rPr>
          <w:rFonts w:ascii="Times New Roman" w:hAnsi="Times New Roman" w:cs="Times New Roman"/>
          <w:color w:val="000000" w:themeColor="text1"/>
          <w:sz w:val="24"/>
          <w:szCs w:val="24"/>
          <w14:textFill>
            <w14:solidFill>
              <w14:schemeClr w14:val="tx1"/>
            </w14:solidFill>
          </w14:textFill>
        </w:rPr>
        <w:t>包括人员防护服和防护设备的使用；</w:t>
      </w:r>
    </w:p>
    <w:p w14:paraId="09EB94E2">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（4）发生放射性物质</w:t>
      </w:r>
      <w:r>
        <w:rPr>
          <w:rFonts w:hint="eastAsia" w:ascii="Times New Roman" w:hAnsi="Times New Roman" w:cs="Times New Roman"/>
          <w:color w:val="000000" w:themeColor="text1"/>
          <w:sz w:val="24"/>
          <w:szCs w:val="24"/>
          <w:lang w:eastAsia="zh-CN"/>
          <w14:textFill>
            <w14:solidFill>
              <w14:schemeClr w14:val="tx1"/>
            </w14:solidFill>
          </w14:textFill>
        </w:rPr>
        <w:t>意外</w:t>
      </w:r>
      <w:r>
        <w:rPr>
          <w:rFonts w:ascii="Times New Roman" w:hAnsi="Times New Roman" w:cs="Times New Roman"/>
          <w:color w:val="000000" w:themeColor="text1"/>
          <w:sz w:val="24"/>
          <w:szCs w:val="24"/>
          <w14:textFill>
            <w14:solidFill>
              <w14:schemeClr w14:val="tx1"/>
            </w14:solidFill>
          </w14:textFill>
        </w:rPr>
        <w:t>释放时立即采取的程序，包括相关的应急响应程序和要遵守的人员防护程序。</w:t>
      </w:r>
    </w:p>
    <w:p w14:paraId="7F55F43B">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一旦在运输矿石期间发生事故时，需要启动应急响应程序。当原料</w:t>
      </w: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产品</w:t>
      </w:r>
      <w:r>
        <w:rPr>
          <w:rFonts w:hint="eastAsia" w:ascii="Times New Roman" w:hAnsi="Times New Roman" w:cs="Times New Roman"/>
          <w:color w:val="000000" w:themeColor="text1"/>
          <w:sz w:val="24"/>
          <w:szCs w:val="24"/>
          <w14:textFill>
            <w14:solidFill>
              <w14:schemeClr w14:val="tx1"/>
            </w14:solidFill>
          </w14:textFill>
        </w:rPr>
        <w:t>及副产品</w:t>
      </w:r>
      <w:r>
        <w:rPr>
          <w:rFonts w:ascii="Times New Roman" w:hAnsi="Times New Roman" w:cs="Times New Roman"/>
          <w:color w:val="000000" w:themeColor="text1"/>
          <w:sz w:val="24"/>
          <w:szCs w:val="24"/>
          <w14:textFill>
            <w14:solidFill>
              <w14:schemeClr w14:val="tx1"/>
            </w14:solidFill>
          </w14:textFill>
        </w:rPr>
        <w:t>发生撒漏、</w:t>
      </w:r>
      <w:r>
        <w:rPr>
          <w:rFonts w:hint="eastAsia" w:ascii="Times New Roman" w:hAnsi="Times New Roman" w:cs="Times New Roman"/>
          <w:color w:val="000000" w:themeColor="text1"/>
          <w:sz w:val="24"/>
          <w:szCs w:val="24"/>
          <w:lang w:eastAsia="zh-CN"/>
          <w14:textFill>
            <w14:solidFill>
              <w14:schemeClr w14:val="tx1"/>
            </w14:solidFill>
          </w14:textFill>
        </w:rPr>
        <w:t>外溢</w:t>
      </w:r>
      <w:r>
        <w:rPr>
          <w:rFonts w:ascii="Times New Roman" w:hAnsi="Times New Roman" w:cs="Times New Roman"/>
          <w:color w:val="000000" w:themeColor="text1"/>
          <w:sz w:val="24"/>
          <w:szCs w:val="24"/>
          <w14:textFill>
            <w14:solidFill>
              <w14:schemeClr w14:val="tx1"/>
            </w14:solidFill>
          </w14:textFill>
        </w:rPr>
        <w:t>时，应立即疏散无关人群，佩戴车上备用的防护口罩、防护手套、护目镜等防护用品，避免对物料的吸入内照射，尽快将撒漏的物料安全装至专用运输车内，最后确保环境中无遗留的原料</w:t>
      </w: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产品</w:t>
      </w:r>
      <w:r>
        <w:rPr>
          <w:rFonts w:hint="eastAsia" w:ascii="Times New Roman" w:hAnsi="Times New Roman" w:cs="Times New Roman"/>
          <w:color w:val="000000" w:themeColor="text1"/>
          <w:sz w:val="24"/>
          <w:szCs w:val="24"/>
          <w14:textFill>
            <w14:solidFill>
              <w14:schemeClr w14:val="tx1"/>
            </w14:solidFill>
          </w14:textFill>
        </w:rPr>
        <w:t>及副产品</w:t>
      </w:r>
      <w:r>
        <w:rPr>
          <w:rFonts w:ascii="Times New Roman" w:hAnsi="Times New Roman" w:cs="Times New Roman"/>
          <w:color w:val="000000" w:themeColor="text1"/>
          <w:sz w:val="24"/>
          <w:szCs w:val="24"/>
          <w14:textFill>
            <w14:solidFill>
              <w14:schemeClr w14:val="tx1"/>
            </w14:solidFill>
          </w14:textFill>
        </w:rPr>
        <w:t>；若车辆发生事故，应疏散无关人群，立即调派其他专用运输车辆将事故车辆内的物料转移。</w:t>
      </w:r>
    </w:p>
    <w:p w14:paraId="70B68F7D">
      <w:pPr>
        <w:pStyle w:val="5"/>
        <w:widowControl w:val="0"/>
        <w:numPr>
          <w:ilvl w:val="2"/>
          <w:numId w:val="1"/>
        </w:numPr>
        <w:spacing w:before="0" w:line="360" w:lineRule="auto"/>
        <w:jc w:val="both"/>
        <w:rPr>
          <w:rFonts w:ascii="Times New Roman" w:hAnsi="Times New Roman" w:eastAsia="黑体" w:cs="Times New Roman"/>
          <w:b/>
          <w:bCs/>
          <w:caps w:val="0"/>
          <w:color w:val="000000" w:themeColor="text1"/>
          <w:kern w:val="2"/>
          <w:sz w:val="24"/>
          <w:szCs w:val="32"/>
          <w:u w:val="single"/>
          <w14:textFill>
            <w14:solidFill>
              <w14:schemeClr w14:val="tx1"/>
            </w14:solidFill>
          </w14:textFill>
        </w:rPr>
      </w:pPr>
      <w:r>
        <w:rPr>
          <w:rFonts w:hint="eastAsia" w:ascii="Times New Roman" w:hAnsi="Times New Roman" w:eastAsia="黑体" w:cs="Times New Roman"/>
          <w:b/>
          <w:bCs/>
          <w:caps w:val="0"/>
          <w:color w:val="000000" w:themeColor="text1"/>
          <w:kern w:val="2"/>
          <w:sz w:val="24"/>
          <w:szCs w:val="32"/>
          <w:u w:val="single"/>
          <w14:textFill>
            <w14:solidFill>
              <w14:schemeClr w14:val="tx1"/>
            </w14:solidFill>
          </w14:textFill>
        </w:rPr>
        <w:t>退役期环境管理要求</w:t>
      </w:r>
    </w:p>
    <w:p w14:paraId="0484C539">
      <w:pPr>
        <w:spacing w:after="0" w:line="360" w:lineRule="auto"/>
        <w:ind w:firstLine="480" w:firstLineChars="200"/>
        <w:rPr>
          <w:rFonts w:ascii="Times New Roman" w:hAnsi="Times New Roman" w:cs="Times New Roman"/>
          <w:color w:val="000000" w:themeColor="text1"/>
          <w:sz w:val="24"/>
          <w:szCs w:val="24"/>
          <w:u w:val="single"/>
          <w14:textFill>
            <w14:solidFill>
              <w14:schemeClr w14:val="tx1"/>
            </w14:solidFill>
          </w14:textFill>
        </w:rPr>
      </w:pPr>
      <w:r>
        <w:rPr>
          <w:rFonts w:hint="eastAsia" w:ascii="Times New Roman" w:hAnsi="Times New Roman" w:cs="Times New Roman"/>
          <w:color w:val="000000" w:themeColor="text1"/>
          <w:sz w:val="24"/>
          <w:szCs w:val="24"/>
          <w:u w:val="single"/>
          <w14:textFill>
            <w14:solidFill>
              <w14:schemeClr w14:val="tx1"/>
            </w14:solidFill>
          </w14:textFill>
        </w:rPr>
        <w:t>根据《伴生放射性物料贮存及固体废物填埋辐射环境保护技术规范（试行）》（HJ1114-2020）：伴生放射性物料贮存设施关闭后或转为他用时，应对受到放射性污染的厂房、设备、场地、周围环境进行治理，开展辐射监测，确保治理后满足相关要求。</w:t>
      </w:r>
    </w:p>
    <w:p w14:paraId="748EC849">
      <w:pPr>
        <w:spacing w:after="0" w:line="360" w:lineRule="auto"/>
        <w:ind w:firstLine="480" w:firstLineChars="200"/>
        <w:rPr>
          <w:rFonts w:ascii="Times New Roman" w:hAnsi="Times New Roman" w:cs="Times New Roman"/>
          <w:color w:val="000000" w:themeColor="text1"/>
          <w:sz w:val="24"/>
          <w:szCs w:val="24"/>
          <w:u w:val="single"/>
          <w14:textFill>
            <w14:solidFill>
              <w14:schemeClr w14:val="tx1"/>
            </w14:solidFill>
          </w14:textFill>
        </w:rPr>
      </w:pPr>
      <w:r>
        <w:rPr>
          <w:rFonts w:hint="eastAsia" w:ascii="Times New Roman" w:hAnsi="Times New Roman" w:cs="Times New Roman"/>
          <w:color w:val="000000" w:themeColor="text1"/>
          <w:sz w:val="24"/>
          <w:szCs w:val="24"/>
          <w:u w:val="single"/>
          <w14:textFill>
            <w14:solidFill>
              <w14:schemeClr w14:val="tx1"/>
            </w14:solidFill>
          </w14:textFill>
        </w:rPr>
        <w:t>可采用如下</w:t>
      </w:r>
      <w:r>
        <w:rPr>
          <w:rFonts w:hint="eastAsia" w:ascii="Times New Roman" w:hAnsi="Times New Roman" w:cs="Times New Roman"/>
          <w:color w:val="000000" w:themeColor="text1"/>
          <w:sz w:val="24"/>
          <w:szCs w:val="24"/>
          <w:u w:val="single"/>
          <w:lang w:eastAsia="zh-CN"/>
          <w14:textFill>
            <w14:solidFill>
              <w14:schemeClr w14:val="tx1"/>
            </w14:solidFill>
          </w14:textFill>
        </w:rPr>
        <w:t>防治</w:t>
      </w:r>
      <w:r>
        <w:rPr>
          <w:rFonts w:hint="eastAsia" w:ascii="Times New Roman" w:hAnsi="Times New Roman" w:cs="Times New Roman"/>
          <w:color w:val="000000" w:themeColor="text1"/>
          <w:sz w:val="24"/>
          <w:szCs w:val="24"/>
          <w:u w:val="single"/>
          <w14:textFill>
            <w14:solidFill>
              <w14:schemeClr w14:val="tx1"/>
            </w14:solidFill>
          </w14:textFill>
        </w:rPr>
        <w:t>措施：</w:t>
      </w:r>
    </w:p>
    <w:p w14:paraId="4351ED83">
      <w:pPr>
        <w:spacing w:after="0" w:line="360" w:lineRule="auto"/>
        <w:ind w:firstLine="480" w:firstLineChars="200"/>
        <w:rPr>
          <w:rFonts w:ascii="Times New Roman" w:hAnsi="Times New Roman" w:cs="Times New Roman"/>
          <w:color w:val="000000" w:themeColor="text1"/>
          <w:sz w:val="24"/>
          <w:szCs w:val="24"/>
          <w:u w:val="single"/>
          <w14:textFill>
            <w14:solidFill>
              <w14:schemeClr w14:val="tx1"/>
            </w14:solidFill>
          </w14:textFill>
        </w:rPr>
      </w:pPr>
      <w:r>
        <w:rPr>
          <w:rFonts w:hint="eastAsia" w:ascii="Times New Roman" w:hAnsi="Times New Roman" w:cs="Times New Roman"/>
          <w:color w:val="000000" w:themeColor="text1"/>
          <w:sz w:val="24"/>
          <w:szCs w:val="24"/>
          <w:u w:val="single"/>
          <w14:textFill>
            <w14:solidFill>
              <w14:schemeClr w14:val="tx1"/>
            </w14:solidFill>
          </w14:textFill>
        </w:rPr>
        <w:t>（1）厂房及有关建构筑物，采用去污或拆除处置措施。</w:t>
      </w:r>
    </w:p>
    <w:p w14:paraId="6EA1C702">
      <w:pPr>
        <w:spacing w:after="0" w:line="360" w:lineRule="auto"/>
        <w:ind w:firstLine="480" w:firstLineChars="200"/>
        <w:rPr>
          <w:rFonts w:ascii="Times New Roman" w:hAnsi="Times New Roman" w:cs="Times New Roman"/>
          <w:color w:val="000000" w:themeColor="text1"/>
          <w:sz w:val="24"/>
          <w:szCs w:val="24"/>
          <w:u w:val="single"/>
          <w14:textFill>
            <w14:solidFill>
              <w14:schemeClr w14:val="tx1"/>
            </w14:solidFill>
          </w14:textFill>
        </w:rPr>
      </w:pPr>
      <w:r>
        <w:rPr>
          <w:rFonts w:hint="eastAsia" w:ascii="Times New Roman" w:hAnsi="Times New Roman" w:cs="Times New Roman"/>
          <w:color w:val="000000" w:themeColor="text1"/>
          <w:sz w:val="24"/>
          <w:szCs w:val="24"/>
          <w:u w:val="single"/>
          <w14:textFill>
            <w14:solidFill>
              <w14:schemeClr w14:val="tx1"/>
            </w14:solidFill>
          </w14:textFill>
        </w:rPr>
        <w:t>（2）对设备进行表面污染监测，当其表面污染水平满足标准要求，可作为普通设备重复利用；表面污染水平较高的设备，采用物理、化学去污</w:t>
      </w:r>
      <w:r>
        <w:rPr>
          <w:rFonts w:hint="eastAsia" w:ascii="Times New Roman" w:hAnsi="Times New Roman" w:cs="Times New Roman"/>
          <w:color w:val="000000" w:themeColor="text1"/>
          <w:sz w:val="24"/>
          <w:szCs w:val="24"/>
          <w:u w:val="single"/>
          <w:lang w:eastAsia="zh-CN"/>
          <w14:textFill>
            <w14:solidFill>
              <w14:schemeClr w14:val="tx1"/>
            </w14:solidFill>
          </w14:textFill>
        </w:rPr>
        <w:t>方法</w:t>
      </w:r>
      <w:r>
        <w:rPr>
          <w:rFonts w:hint="eastAsia" w:ascii="Times New Roman" w:hAnsi="Times New Roman" w:cs="Times New Roman"/>
          <w:color w:val="000000" w:themeColor="text1"/>
          <w:sz w:val="24"/>
          <w:szCs w:val="24"/>
          <w:u w:val="single"/>
          <w14:textFill>
            <w14:solidFill>
              <w14:schemeClr w14:val="tx1"/>
            </w14:solidFill>
          </w14:textFill>
        </w:rPr>
        <w:t>进行去污，去污后满足标准要求重复利用。</w:t>
      </w:r>
    </w:p>
    <w:p w14:paraId="2BA55502">
      <w:pPr>
        <w:spacing w:after="0" w:line="360" w:lineRule="auto"/>
        <w:ind w:firstLine="480" w:firstLineChars="200"/>
        <w:rPr>
          <w:rFonts w:ascii="Times New Roman" w:hAnsi="Times New Roman" w:cs="Times New Roman"/>
          <w:color w:val="000000" w:themeColor="text1"/>
          <w:sz w:val="24"/>
          <w:szCs w:val="24"/>
          <w:u w:val="single"/>
          <w14:textFill>
            <w14:solidFill>
              <w14:schemeClr w14:val="tx1"/>
            </w14:solidFill>
          </w14:textFill>
        </w:rPr>
      </w:pPr>
      <w:r>
        <w:rPr>
          <w:rFonts w:hint="eastAsia" w:ascii="Times New Roman" w:hAnsi="Times New Roman" w:cs="Times New Roman"/>
          <w:color w:val="000000" w:themeColor="text1"/>
          <w:sz w:val="24"/>
          <w:szCs w:val="24"/>
          <w:u w:val="single"/>
          <w14:textFill>
            <w14:solidFill>
              <w14:schemeClr w14:val="tx1"/>
            </w14:solidFill>
          </w14:textFill>
        </w:rPr>
        <w:t>（3）对土壤进行采样分析，若满足标准要求则原地留置，超过国家标准产生的放射性污染土壤按照国家相关要求妥善处置。</w:t>
      </w:r>
    </w:p>
    <w:p w14:paraId="2DBB47B8">
      <w:pPr>
        <w:spacing w:after="0" w:line="360" w:lineRule="auto"/>
        <w:ind w:firstLine="480" w:firstLineChars="200"/>
        <w:rPr>
          <w:rFonts w:ascii="Times New Roman" w:hAnsi="Times New Roman" w:cs="Times New Roman"/>
          <w:color w:val="000000" w:themeColor="text1"/>
          <w:sz w:val="24"/>
          <w:szCs w:val="24"/>
          <w:u w:val="single"/>
          <w14:textFill>
            <w14:solidFill>
              <w14:schemeClr w14:val="tx1"/>
            </w14:solidFill>
          </w14:textFill>
        </w:rPr>
      </w:pPr>
      <w:r>
        <w:rPr>
          <w:rFonts w:hint="eastAsia" w:ascii="Times New Roman" w:hAnsi="Times New Roman" w:cs="Times New Roman"/>
          <w:color w:val="000000" w:themeColor="text1"/>
          <w:sz w:val="24"/>
          <w:szCs w:val="24"/>
          <w:u w:val="single"/>
          <w14:textFill>
            <w14:solidFill>
              <w14:schemeClr w14:val="tx1"/>
            </w14:solidFill>
          </w14:textFill>
        </w:rPr>
        <w:t>采取以上措施后本项目服务期满后受放射性污染的设施、场地能得到妥善的处理处置，处理处置过程不会对周围环境产生不利影响；同时，服务期满后项目伴生放射性源项也随之关闭、消失，不再产生含放射性物质，不会对周围环境产生不利影响。</w:t>
      </w:r>
    </w:p>
    <w:bookmarkEnd w:id="149"/>
    <w:p w14:paraId="04BB185E">
      <w:pPr>
        <w:pStyle w:val="4"/>
        <w:widowControl w:val="0"/>
        <w:numPr>
          <w:ilvl w:val="1"/>
          <w:numId w:val="1"/>
        </w:numPr>
        <w:spacing w:before="0" w:line="360" w:lineRule="auto"/>
        <w:ind w:left="0" w:firstLine="0"/>
        <w:jc w:val="both"/>
        <w:rPr>
          <w:rFonts w:ascii="Times New Roman" w:hAnsi="Times New Roman" w:eastAsia="黑体" w:cs="Times New Roman"/>
          <w:b/>
          <w:bCs/>
          <w:color w:val="000000" w:themeColor="text1"/>
          <w:kern w:val="2"/>
          <w:sz w:val="28"/>
          <w:szCs w:val="32"/>
          <w14:textFill>
            <w14:solidFill>
              <w14:schemeClr w14:val="tx1"/>
            </w14:solidFill>
          </w14:textFill>
        </w:rPr>
      </w:pPr>
      <w:bookmarkStart w:id="150" w:name="_Toc187653480"/>
      <w:bookmarkStart w:id="151" w:name="_Toc78822688"/>
      <w:r>
        <w:rPr>
          <w:rFonts w:ascii="Times New Roman" w:hAnsi="Times New Roman" w:eastAsia="黑体" w:cs="Times New Roman"/>
          <w:b/>
          <w:bCs/>
          <w:color w:val="000000" w:themeColor="text1"/>
          <w:kern w:val="2"/>
          <w:sz w:val="28"/>
          <w:szCs w:val="32"/>
          <w14:textFill>
            <w14:solidFill>
              <w14:schemeClr w14:val="tx1"/>
            </w14:solidFill>
          </w14:textFill>
        </w:rPr>
        <w:t>流出物监测</w:t>
      </w:r>
      <w:bookmarkEnd w:id="150"/>
      <w:bookmarkEnd w:id="151"/>
    </w:p>
    <w:p w14:paraId="18A27C4F">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u w:val="single"/>
          <w14:textFill>
            <w14:solidFill>
              <w14:schemeClr w14:val="tx1"/>
            </w14:solidFill>
          </w14:textFill>
        </w:rPr>
        <w:t>项目无生产废水排放，烘干炉烟气、各生产车间粉尘经布袋除尘处理后分别经过3根19米排气筒排放。</w:t>
      </w:r>
      <w:r>
        <w:rPr>
          <w:rFonts w:ascii="Times New Roman" w:hAnsi="Times New Roman" w:cs="Times New Roman"/>
          <w:color w:val="000000" w:themeColor="text1"/>
          <w:sz w:val="24"/>
          <w:szCs w:val="24"/>
          <w14:textFill>
            <w14:solidFill>
              <w14:schemeClr w14:val="tx1"/>
            </w14:solidFill>
          </w14:textFill>
        </w:rPr>
        <w:t>根据《伴生放射性矿产资源开发利用企业环境辐射监测及信息公开管理办法》（试行）相关要求和本项目辐射管理要求，本项目的</w:t>
      </w:r>
      <w:r>
        <w:rPr>
          <w:rFonts w:hint="eastAsia" w:ascii="Times New Roman" w:hAnsi="Times New Roman" w:cs="Times New Roman"/>
          <w:color w:val="000000" w:themeColor="text1"/>
          <w:sz w:val="24"/>
          <w:szCs w:val="24"/>
          <w14:textFill>
            <w14:solidFill>
              <w14:schemeClr w14:val="tx1"/>
            </w14:solidFill>
          </w14:textFill>
        </w:rPr>
        <w:t>流出物</w:t>
      </w:r>
      <w:r>
        <w:rPr>
          <w:rFonts w:ascii="Times New Roman" w:hAnsi="Times New Roman" w:cs="Times New Roman"/>
          <w:color w:val="000000" w:themeColor="text1"/>
          <w:sz w:val="24"/>
          <w:szCs w:val="24"/>
          <w14:textFill>
            <w14:solidFill>
              <w14:schemeClr w14:val="tx1"/>
            </w14:solidFill>
          </w14:textFill>
        </w:rPr>
        <w:t>监测计划具体内容如下。</w:t>
      </w:r>
    </w:p>
    <w:p w14:paraId="2C8791FB">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（1）监测点位</w:t>
      </w:r>
    </w:p>
    <w:p w14:paraId="67F81542">
      <w:pPr>
        <w:spacing w:after="0" w:line="360" w:lineRule="auto"/>
        <w:ind w:firstLine="480" w:firstLineChars="200"/>
        <w:rPr>
          <w:rFonts w:ascii="Times New Roman" w:hAnsi="Times New Roman" w:cs="Times New Roman"/>
          <w:color w:val="000000" w:themeColor="text1"/>
          <w:sz w:val="24"/>
          <w:szCs w:val="24"/>
          <w:u w:val="single"/>
          <w14:textFill>
            <w14:solidFill>
              <w14:schemeClr w14:val="tx1"/>
            </w14:solidFill>
          </w14:textFill>
        </w:rPr>
      </w:pPr>
      <w:r>
        <w:rPr>
          <w:rFonts w:hint="eastAsia" w:ascii="Times New Roman" w:hAnsi="Times New Roman" w:cs="Times New Roman"/>
          <w:color w:val="000000" w:themeColor="text1"/>
          <w:sz w:val="24"/>
          <w:szCs w:val="24"/>
          <w:u w:val="single"/>
          <w14:textFill>
            <w14:solidFill>
              <w14:schemeClr w14:val="tx1"/>
            </w14:solidFill>
          </w14:textFill>
        </w:rPr>
        <w:t>废气放射性物质流出的排气口：烘干炉烟气袋式除尘器系统尾气排放口、1#原料处理车间粉尘袋式除尘器系统尾气排放口、2#分选车间粉尘袋式除尘器系统尾气排放口。</w:t>
      </w:r>
    </w:p>
    <w:p w14:paraId="33548554">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（2）监测项目及频次</w:t>
      </w:r>
    </w:p>
    <w:p w14:paraId="4C8BC720">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监测项目：</w:t>
      </w:r>
      <w:r>
        <w:rPr>
          <w:rFonts w:hint="eastAsia" w:ascii="Times New Roman" w:hAnsi="Times New Roman" w:cs="Times New Roman"/>
          <w:color w:val="000000" w:themeColor="text1"/>
          <w:sz w:val="24"/>
          <w:szCs w:val="24"/>
          <w14:textFill>
            <w14:solidFill>
              <w14:schemeClr w14:val="tx1"/>
            </w14:solidFill>
          </w14:textFill>
        </w:rPr>
        <w:t>U</w:t>
      </w:r>
      <w:r>
        <w:rPr>
          <w:rFonts w:hint="eastAsia" w:ascii="Times New Roman" w:hAnsi="Times New Roman" w:cs="Times New Roman"/>
          <w:color w:val="000000" w:themeColor="text1"/>
          <w:sz w:val="24"/>
          <w:szCs w:val="24"/>
          <w:vertAlign w:val="subscript"/>
          <w14:textFill>
            <w14:solidFill>
              <w14:schemeClr w14:val="tx1"/>
            </w14:solidFill>
          </w14:textFill>
        </w:rPr>
        <w:t>天然</w:t>
      </w:r>
      <w:r>
        <w:rPr>
          <w:rFonts w:hint="eastAsia" w:ascii="Times New Roman" w:hAnsi="Times New Roman" w:cs="Times New Roman"/>
          <w:color w:val="000000" w:themeColor="text1"/>
          <w:sz w:val="24"/>
          <w:szCs w:val="24"/>
          <w14:textFill>
            <w14:solidFill>
              <w14:schemeClr w14:val="tx1"/>
            </w14:solidFill>
          </w14:textFill>
        </w:rPr>
        <w:t>、Th</w:t>
      </w:r>
      <w:r>
        <w:rPr>
          <w:rFonts w:ascii="Times New Roman" w:hAnsi="Times New Roman" w:cs="Times New Roman"/>
          <w:color w:val="000000" w:themeColor="text1"/>
          <w:sz w:val="24"/>
          <w:szCs w:val="24"/>
          <w14:textFill>
            <w14:solidFill>
              <w14:schemeClr w14:val="tx1"/>
            </w14:solidFill>
          </w14:textFill>
        </w:rPr>
        <w:t>。</w:t>
      </w:r>
    </w:p>
    <w:p w14:paraId="2962E7C6">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监测频次：1次/半年（上、下半年各一次，两次监测隔时间不少于3个月）。</w:t>
      </w:r>
    </w:p>
    <w:p w14:paraId="526265E7">
      <w:pPr>
        <w:pStyle w:val="4"/>
        <w:widowControl w:val="0"/>
        <w:numPr>
          <w:ilvl w:val="1"/>
          <w:numId w:val="1"/>
        </w:numPr>
        <w:spacing w:before="0" w:line="360" w:lineRule="auto"/>
        <w:ind w:left="0" w:firstLine="0"/>
        <w:jc w:val="both"/>
        <w:rPr>
          <w:rFonts w:ascii="Times New Roman" w:hAnsi="Times New Roman" w:eastAsia="黑体" w:cs="Times New Roman"/>
          <w:b/>
          <w:bCs/>
          <w:color w:val="000000" w:themeColor="text1"/>
          <w:kern w:val="2"/>
          <w:sz w:val="28"/>
          <w:szCs w:val="32"/>
          <w14:textFill>
            <w14:solidFill>
              <w14:schemeClr w14:val="tx1"/>
            </w14:solidFill>
          </w14:textFill>
        </w:rPr>
      </w:pPr>
      <w:bookmarkStart w:id="152" w:name="_Toc187653481"/>
      <w:r>
        <w:rPr>
          <w:rFonts w:ascii="Times New Roman" w:hAnsi="Times New Roman" w:eastAsia="黑体" w:cs="Times New Roman"/>
          <w:b/>
          <w:bCs/>
          <w:color w:val="000000" w:themeColor="text1"/>
          <w:kern w:val="2"/>
          <w:sz w:val="28"/>
          <w:szCs w:val="32"/>
          <w14:textFill>
            <w14:solidFill>
              <w14:schemeClr w14:val="tx1"/>
            </w14:solidFill>
          </w14:textFill>
        </w:rPr>
        <w:t>辐射环境监测</w:t>
      </w:r>
      <w:bookmarkEnd w:id="152"/>
    </w:p>
    <w:p w14:paraId="23EC39FE">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根据《伴生放射性矿产资源开发利用企业环境辐射监测及信息公开管理办法》（试行）相关要求和本项目辐射管理要求，本项目的辐射环境监测计划具体内容如下。</w:t>
      </w:r>
    </w:p>
    <w:p w14:paraId="38798E67">
      <w:pPr>
        <w:pStyle w:val="5"/>
        <w:widowControl w:val="0"/>
        <w:numPr>
          <w:ilvl w:val="2"/>
          <w:numId w:val="1"/>
        </w:numPr>
        <w:spacing w:before="0" w:line="360" w:lineRule="auto"/>
        <w:jc w:val="both"/>
        <w:rPr>
          <w:rFonts w:ascii="Times New Roman" w:hAnsi="Times New Roman" w:eastAsia="黑体" w:cs="Times New Roman"/>
          <w:b/>
          <w:bCs/>
          <w:caps w:val="0"/>
          <w:color w:val="000000" w:themeColor="text1"/>
          <w:kern w:val="2"/>
          <w:sz w:val="24"/>
          <w:szCs w:val="32"/>
          <w14:textFill>
            <w14:solidFill>
              <w14:schemeClr w14:val="tx1"/>
            </w14:solidFill>
          </w14:textFill>
        </w:rPr>
      </w:pPr>
      <w:bookmarkStart w:id="153" w:name="_Toc78822689"/>
      <w:r>
        <w:rPr>
          <w:rFonts w:ascii="Times New Roman" w:hAnsi="Times New Roman" w:eastAsia="黑体" w:cs="Times New Roman"/>
          <w:b/>
          <w:bCs/>
          <w:caps w:val="0"/>
          <w:color w:val="000000" w:themeColor="text1"/>
          <w:kern w:val="2"/>
          <w:sz w:val="24"/>
          <w:szCs w:val="32"/>
          <w14:textFill>
            <w14:solidFill>
              <w14:schemeClr w14:val="tx1"/>
            </w14:solidFill>
          </w14:textFill>
        </w:rPr>
        <w:t>监测计划</w:t>
      </w:r>
      <w:bookmarkEnd w:id="153"/>
    </w:p>
    <w:p w14:paraId="2A58EA0C">
      <w:pPr>
        <w:pStyle w:val="6"/>
        <w:widowControl w:val="0"/>
        <w:numPr>
          <w:ilvl w:val="3"/>
          <w:numId w:val="1"/>
        </w:numPr>
        <w:spacing w:before="0" w:line="360" w:lineRule="auto"/>
        <w:ind w:left="0" w:firstLine="0"/>
        <w:jc w:val="both"/>
        <w:rPr>
          <w:rFonts w:ascii="Times New Roman" w:hAnsi="Times New Roman" w:eastAsia="黑体" w:cs="Times New Roman"/>
          <w:bCs/>
          <w:i w:val="0"/>
          <w:iCs w:val="0"/>
          <w:color w:val="000000" w:themeColor="text1"/>
          <w:kern w:val="2"/>
          <w:sz w:val="24"/>
          <w14:textFill>
            <w14:solidFill>
              <w14:schemeClr w14:val="tx1"/>
            </w14:solidFill>
          </w14:textFill>
        </w:rPr>
      </w:pPr>
      <w:r>
        <w:rPr>
          <w:rFonts w:ascii="Times New Roman" w:hAnsi="Times New Roman" w:eastAsia="黑体" w:cs="Times New Roman"/>
          <w:bCs/>
          <w:i w:val="0"/>
          <w:iCs w:val="0"/>
          <w:color w:val="000000" w:themeColor="text1"/>
          <w:kern w:val="2"/>
          <w:sz w:val="24"/>
          <w14:textFill>
            <w14:solidFill>
              <w14:schemeClr w14:val="tx1"/>
            </w14:solidFill>
          </w14:textFill>
        </w:rPr>
        <w:t>空气中氡</w:t>
      </w:r>
    </w:p>
    <w:p w14:paraId="3017A607">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（1）监测点位</w:t>
      </w:r>
    </w:p>
    <w:p w14:paraId="164921F4">
      <w:pPr>
        <w:spacing w:after="0" w:line="360" w:lineRule="auto"/>
        <w:ind w:firstLine="480" w:firstLineChars="200"/>
        <w:rPr>
          <w:rFonts w:ascii="Times New Roman" w:hAnsi="Times New Roman" w:cs="Times New Roman"/>
          <w:color w:val="000000" w:themeColor="text1"/>
          <w:sz w:val="24"/>
          <w:szCs w:val="24"/>
          <w:u w:val="single"/>
          <w14:textFill>
            <w14:solidFill>
              <w14:schemeClr w14:val="tx1"/>
            </w14:solidFill>
          </w14:textFill>
        </w:rPr>
      </w:pPr>
      <w:r>
        <w:rPr>
          <w:rFonts w:hint="eastAsia" w:ascii="Times New Roman" w:hAnsi="Times New Roman" w:cs="Times New Roman"/>
          <w:color w:val="000000" w:themeColor="text1"/>
          <w:sz w:val="24"/>
          <w:szCs w:val="24"/>
          <w:u w:val="single"/>
          <w14:textFill>
            <w14:solidFill>
              <w14:schemeClr w14:val="tx1"/>
            </w14:solidFill>
          </w14:textFill>
        </w:rPr>
        <w:t>创大进口汽车仓储物流园南面厂界</w:t>
      </w:r>
      <w:r>
        <w:rPr>
          <w:rFonts w:ascii="Times New Roman" w:hAnsi="Times New Roman" w:cs="Times New Roman"/>
          <w:color w:val="000000" w:themeColor="text1"/>
          <w:sz w:val="24"/>
          <w:szCs w:val="24"/>
          <w:u w:val="single"/>
          <w14:textFill>
            <w14:solidFill>
              <w14:schemeClr w14:val="tx1"/>
            </w14:solidFill>
          </w14:textFill>
        </w:rPr>
        <w:t>（</w:t>
      </w:r>
      <w:r>
        <w:rPr>
          <w:rFonts w:hint="eastAsia" w:ascii="Times New Roman" w:hAnsi="Times New Roman" w:cs="Times New Roman"/>
          <w:color w:val="000000" w:themeColor="text1"/>
          <w:sz w:val="24"/>
          <w:szCs w:val="24"/>
          <w:u w:val="single"/>
          <w14:textFill>
            <w14:solidFill>
              <w14:schemeClr w14:val="tx1"/>
            </w14:solidFill>
          </w14:textFill>
        </w:rPr>
        <w:t>下风向120m处</w:t>
      </w:r>
      <w:r>
        <w:rPr>
          <w:rFonts w:ascii="Times New Roman" w:hAnsi="Times New Roman" w:cs="Times New Roman"/>
          <w:color w:val="000000" w:themeColor="text1"/>
          <w:sz w:val="24"/>
          <w:szCs w:val="24"/>
          <w:u w:val="single"/>
          <w14:textFill>
            <w14:solidFill>
              <w14:schemeClr w14:val="tx1"/>
            </w14:solidFill>
          </w14:textFill>
        </w:rPr>
        <w:t>）、</w:t>
      </w:r>
      <w:r>
        <w:rPr>
          <w:rFonts w:hint="eastAsia" w:ascii="Times New Roman" w:hAnsi="Times New Roman" w:cs="Times New Roman"/>
          <w:color w:val="000000" w:themeColor="text1"/>
          <w:sz w:val="24"/>
          <w:szCs w:val="24"/>
          <w:u w:val="single"/>
          <w14:textFill>
            <w14:solidFill>
              <w14:schemeClr w14:val="tx1"/>
            </w14:solidFill>
          </w14:textFill>
        </w:rPr>
        <w:t>创大进口汽车仓储物流园东面厂界</w:t>
      </w:r>
      <w:r>
        <w:rPr>
          <w:rFonts w:ascii="Times New Roman" w:hAnsi="Times New Roman" w:cs="Times New Roman"/>
          <w:color w:val="000000" w:themeColor="text1"/>
          <w:sz w:val="24"/>
          <w:szCs w:val="24"/>
          <w:u w:val="single"/>
          <w14:textFill>
            <w14:solidFill>
              <w14:schemeClr w14:val="tx1"/>
            </w14:solidFill>
          </w14:textFill>
        </w:rPr>
        <w:t>（</w:t>
      </w:r>
      <w:r>
        <w:rPr>
          <w:rFonts w:hint="eastAsia" w:ascii="Times New Roman" w:hAnsi="Times New Roman" w:cs="Times New Roman"/>
          <w:color w:val="000000" w:themeColor="text1"/>
          <w:sz w:val="24"/>
          <w:szCs w:val="24"/>
          <w:u w:val="single"/>
          <w14:textFill>
            <w14:solidFill>
              <w14:schemeClr w14:val="tx1"/>
            </w14:solidFill>
          </w14:textFill>
        </w:rPr>
        <w:t>东面35m处</w:t>
      </w:r>
      <w:r>
        <w:rPr>
          <w:rFonts w:ascii="Times New Roman" w:hAnsi="Times New Roman" w:cs="Times New Roman"/>
          <w:color w:val="000000" w:themeColor="text1"/>
          <w:sz w:val="24"/>
          <w:szCs w:val="24"/>
          <w:u w:val="single"/>
          <w14:textFill>
            <w14:solidFill>
              <w14:schemeClr w14:val="tx1"/>
            </w14:solidFill>
          </w14:textFill>
        </w:rPr>
        <w:t>）</w:t>
      </w:r>
      <w:r>
        <w:rPr>
          <w:rFonts w:hint="eastAsia" w:ascii="Times New Roman" w:hAnsi="Times New Roman" w:cs="Times New Roman"/>
          <w:color w:val="000000" w:themeColor="text1"/>
          <w:sz w:val="24"/>
          <w:szCs w:val="24"/>
          <w:u w:val="single"/>
          <w14:textFill>
            <w14:solidFill>
              <w14:schemeClr w14:val="tx1"/>
            </w14:solidFill>
          </w14:textFill>
        </w:rPr>
        <w:t>、钦州港冷链保税交易中心（东北面75m处）、</w:t>
      </w:r>
      <w:r>
        <w:rPr>
          <w:rFonts w:ascii="Times New Roman" w:hAnsi="Times New Roman" w:cs="Times New Roman"/>
          <w:color w:val="000000" w:themeColor="text1"/>
          <w:sz w:val="24"/>
          <w:szCs w:val="24"/>
          <w:u w:val="single"/>
          <w14:textFill>
            <w14:solidFill>
              <w14:schemeClr w14:val="tx1"/>
            </w14:solidFill>
          </w14:textFill>
        </w:rPr>
        <w:t>钦州市区（对照点）各1个，共</w:t>
      </w:r>
      <w:r>
        <w:rPr>
          <w:rFonts w:hint="eastAsia" w:ascii="Times New Roman" w:hAnsi="Times New Roman" w:cs="Times New Roman"/>
          <w:color w:val="000000" w:themeColor="text1"/>
          <w:sz w:val="24"/>
          <w:szCs w:val="24"/>
          <w:u w:val="single"/>
          <w14:textFill>
            <w14:solidFill>
              <w14:schemeClr w14:val="tx1"/>
            </w14:solidFill>
          </w14:textFill>
        </w:rPr>
        <w:t>4</w:t>
      </w:r>
      <w:r>
        <w:rPr>
          <w:rFonts w:ascii="Times New Roman" w:hAnsi="Times New Roman" w:cs="Times New Roman"/>
          <w:color w:val="000000" w:themeColor="text1"/>
          <w:sz w:val="24"/>
          <w:szCs w:val="24"/>
          <w:u w:val="single"/>
          <w14:textFill>
            <w14:solidFill>
              <w14:schemeClr w14:val="tx1"/>
            </w14:solidFill>
          </w14:textFill>
        </w:rPr>
        <w:t>个。</w:t>
      </w:r>
    </w:p>
    <w:p w14:paraId="0EA84517">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（2）监测项目及频次</w:t>
      </w:r>
    </w:p>
    <w:p w14:paraId="686F46B7">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监测项目：</w:t>
      </w:r>
      <w:r>
        <w:rPr>
          <w:rFonts w:hint="eastAsia" w:ascii="Times New Roman" w:hAnsi="Times New Roman" w:cs="Times New Roman"/>
          <w:color w:val="000000" w:themeColor="text1"/>
          <w:sz w:val="24"/>
          <w:szCs w:val="24"/>
          <w:vertAlign w:val="superscript"/>
          <w14:textFill>
            <w14:solidFill>
              <w14:schemeClr w14:val="tx1"/>
            </w14:solidFill>
          </w14:textFill>
        </w:rPr>
        <w:t>222</w:t>
      </w:r>
      <w:r>
        <w:rPr>
          <w:rFonts w:hint="eastAsia" w:ascii="Times New Roman" w:hAnsi="Times New Roman" w:cs="Times New Roman"/>
          <w:color w:val="000000" w:themeColor="text1"/>
          <w:sz w:val="24"/>
          <w:szCs w:val="24"/>
          <w14:textFill>
            <w14:solidFill>
              <w14:schemeClr w14:val="tx1"/>
            </w14:solidFill>
          </w14:textFill>
        </w:rPr>
        <w:t>Rn。</w:t>
      </w:r>
    </w:p>
    <w:p w14:paraId="7F351589">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u w:val="single"/>
          <w14:textFill>
            <w14:solidFill>
              <w14:schemeClr w14:val="tx1"/>
            </w14:solidFill>
          </w14:textFill>
        </w:rPr>
        <w:t>运营期</w:t>
      </w:r>
      <w:r>
        <w:rPr>
          <w:rFonts w:ascii="Times New Roman" w:hAnsi="Times New Roman" w:cs="Times New Roman"/>
          <w:color w:val="000000" w:themeColor="text1"/>
          <w:sz w:val="24"/>
          <w:szCs w:val="24"/>
          <w:u w:val="single"/>
          <w14:textFill>
            <w14:solidFill>
              <w14:schemeClr w14:val="tx1"/>
            </w14:solidFill>
          </w14:textFill>
        </w:rPr>
        <w:t>监测频次：</w:t>
      </w:r>
      <w:r>
        <w:rPr>
          <w:rFonts w:ascii="Times New Roman" w:hAnsi="Times New Roman" w:cs="Times New Roman"/>
          <w:color w:val="000000" w:themeColor="text1"/>
          <w:sz w:val="24"/>
          <w:szCs w:val="24"/>
          <w14:textFill>
            <w14:solidFill>
              <w14:schemeClr w14:val="tx1"/>
            </w14:solidFill>
          </w14:textFill>
        </w:rPr>
        <w:t>1次/半年（上、下半年各一次，两次监测间隔时间不少于3个月，下同）。</w:t>
      </w:r>
    </w:p>
    <w:p w14:paraId="0FF8BFA3">
      <w:pPr>
        <w:spacing w:after="0" w:line="360" w:lineRule="auto"/>
        <w:ind w:firstLine="480" w:firstLineChars="200"/>
        <w:rPr>
          <w:rFonts w:ascii="Times New Roman" w:hAnsi="Times New Roman" w:cs="Times New Roman"/>
          <w:color w:val="000000" w:themeColor="text1"/>
          <w:sz w:val="24"/>
          <w:szCs w:val="24"/>
          <w:u w:val="single"/>
          <w14:textFill>
            <w14:solidFill>
              <w14:schemeClr w14:val="tx1"/>
            </w14:solidFill>
          </w14:textFill>
        </w:rPr>
      </w:pPr>
      <w:r>
        <w:rPr>
          <w:rFonts w:hint="eastAsia" w:ascii="Times New Roman" w:hAnsi="Times New Roman" w:cs="Times New Roman"/>
          <w:color w:val="000000" w:themeColor="text1"/>
          <w:sz w:val="24"/>
          <w:szCs w:val="24"/>
          <w:u w:val="single"/>
          <w14:textFill>
            <w14:solidFill>
              <w14:schemeClr w14:val="tx1"/>
            </w14:solidFill>
          </w14:textFill>
        </w:rPr>
        <w:t>退役期：1次。</w:t>
      </w:r>
    </w:p>
    <w:p w14:paraId="54DC8BEF">
      <w:pPr>
        <w:pStyle w:val="6"/>
        <w:widowControl w:val="0"/>
        <w:numPr>
          <w:ilvl w:val="3"/>
          <w:numId w:val="1"/>
        </w:numPr>
        <w:spacing w:before="0" w:line="360" w:lineRule="auto"/>
        <w:ind w:left="0" w:firstLine="0"/>
        <w:jc w:val="both"/>
        <w:rPr>
          <w:rFonts w:ascii="Times New Roman" w:hAnsi="Times New Roman" w:eastAsia="黑体" w:cs="Times New Roman"/>
          <w:bCs/>
          <w:i w:val="0"/>
          <w:iCs w:val="0"/>
          <w:color w:val="000000" w:themeColor="text1"/>
          <w:kern w:val="2"/>
          <w:sz w:val="24"/>
          <w14:textFill>
            <w14:solidFill>
              <w14:schemeClr w14:val="tx1"/>
            </w14:solidFill>
          </w14:textFill>
        </w:rPr>
      </w:pPr>
      <w:r>
        <w:rPr>
          <w:rFonts w:ascii="Times New Roman" w:hAnsi="Times New Roman" w:eastAsia="黑体" w:cs="Times New Roman"/>
          <w:bCs/>
          <w:i w:val="0"/>
          <w:iCs w:val="0"/>
          <w:color w:val="000000" w:themeColor="text1"/>
          <w:kern w:val="2"/>
          <w:sz w:val="24"/>
          <w14:textFill>
            <w14:solidFill>
              <w14:schemeClr w14:val="tx1"/>
            </w14:solidFill>
          </w14:textFill>
        </w:rPr>
        <w:t>陆地γ</w:t>
      </w:r>
    </w:p>
    <w:p w14:paraId="2BF120C0">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（1）监测点位</w:t>
      </w:r>
    </w:p>
    <w:p w14:paraId="5C821FD1">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环境空气：</w:t>
      </w:r>
      <w:r>
        <w:rPr>
          <w:rFonts w:ascii="Times New Roman" w:hAnsi="Times New Roman" w:cs="Times New Roman"/>
          <w:color w:val="000000" w:themeColor="text1"/>
          <w:sz w:val="24"/>
          <w:szCs w:val="24"/>
          <w14:textFill>
            <w14:solidFill>
              <w14:schemeClr w14:val="tx1"/>
            </w14:solidFill>
          </w14:textFill>
        </w:rPr>
        <w:t>厂界四周</w:t>
      </w:r>
      <w:r>
        <w:rPr>
          <w:rFonts w:hint="eastAsia" w:ascii="Times New Roman" w:hAnsi="Times New Roman" w:cs="Times New Roman"/>
          <w:color w:val="000000" w:themeColor="text1"/>
          <w:sz w:val="24"/>
          <w:szCs w:val="24"/>
          <w14:textFill>
            <w14:solidFill>
              <w14:schemeClr w14:val="tx1"/>
            </w14:solidFill>
          </w14:textFill>
        </w:rPr>
        <w:t>布设4个采样点，分别为厂界</w:t>
      </w:r>
      <w:r>
        <w:rPr>
          <w:rFonts w:ascii="Times New Roman" w:hAnsi="Times New Roman" w:cs="Times New Roman"/>
          <w:color w:val="000000" w:themeColor="text1"/>
          <w:sz w:val="24"/>
          <w:szCs w:val="24"/>
          <w14:textFill>
            <w14:solidFill>
              <w14:schemeClr w14:val="tx1"/>
            </w14:solidFill>
          </w14:textFill>
        </w:rPr>
        <w:t>东、西、北侧围墙外1m处，</w:t>
      </w:r>
      <w:r>
        <w:rPr>
          <w:rFonts w:hint="eastAsia" w:ascii="Times New Roman" w:hAnsi="Times New Roman" w:cs="Times New Roman"/>
          <w:color w:val="000000" w:themeColor="text1"/>
          <w:sz w:val="24"/>
          <w:szCs w:val="24"/>
          <w14:textFill>
            <w14:solidFill>
              <w14:schemeClr w14:val="tx1"/>
            </w14:solidFill>
          </w14:textFill>
        </w:rPr>
        <w:t>厂界南侧采样点布设在车间内（车间南面仍在创大3号仓库内）；创大进口汽车仓储物流园南面厂界</w:t>
      </w:r>
      <w:r>
        <w:rPr>
          <w:rFonts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下风向120m处</w:t>
      </w:r>
      <w:r>
        <w:rPr>
          <w:rFonts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u w:val="single"/>
          <w14:textFill>
            <w14:solidFill>
              <w14:schemeClr w14:val="tx1"/>
            </w14:solidFill>
          </w14:textFill>
        </w:rPr>
        <w:t>钦州港冷链保税交易中心（东北面75m处）</w:t>
      </w:r>
      <w:r>
        <w:rPr>
          <w:rFonts w:ascii="Times New Roman" w:hAnsi="Times New Roman" w:cs="Times New Roman"/>
          <w:color w:val="000000" w:themeColor="text1"/>
          <w:sz w:val="24"/>
          <w:szCs w:val="24"/>
          <w:u w:val="single"/>
          <w14:textFill>
            <w14:solidFill>
              <w14:schemeClr w14:val="tx1"/>
            </w14:solidFill>
          </w14:textFill>
        </w:rPr>
        <w:t>及钦州市区（对照点）</w:t>
      </w:r>
      <w:r>
        <w:rPr>
          <w:rFonts w:hint="eastAsia" w:ascii="Times New Roman" w:hAnsi="Times New Roman" w:cs="Times New Roman"/>
          <w:color w:val="000000" w:themeColor="text1"/>
          <w:sz w:val="24"/>
          <w:szCs w:val="24"/>
          <w:u w:val="single"/>
          <w14:textFill>
            <w14:solidFill>
              <w14:schemeClr w14:val="tx1"/>
            </w14:solidFill>
          </w14:textFill>
        </w:rPr>
        <w:t>分别各布设1个采样点</w:t>
      </w:r>
      <w:r>
        <w:rPr>
          <w:rFonts w:ascii="Times New Roman" w:hAnsi="Times New Roman" w:cs="Times New Roman"/>
          <w:color w:val="000000" w:themeColor="text1"/>
          <w:sz w:val="24"/>
          <w:szCs w:val="24"/>
          <w:u w:val="single"/>
          <w14:textFill>
            <w14:solidFill>
              <w14:schemeClr w14:val="tx1"/>
            </w14:solidFill>
          </w14:textFill>
        </w:rPr>
        <w:t>，</w:t>
      </w:r>
      <w:r>
        <w:rPr>
          <w:rFonts w:hint="eastAsia" w:ascii="Times New Roman" w:hAnsi="Times New Roman" w:cs="Times New Roman"/>
          <w:color w:val="000000" w:themeColor="text1"/>
          <w:sz w:val="24"/>
          <w:szCs w:val="24"/>
          <w:u w:val="single"/>
          <w14:textFill>
            <w14:solidFill>
              <w14:schemeClr w14:val="tx1"/>
            </w14:solidFill>
          </w14:textFill>
        </w:rPr>
        <w:t>共布设7</w:t>
      </w:r>
      <w:r>
        <w:rPr>
          <w:rFonts w:ascii="Times New Roman" w:hAnsi="Times New Roman" w:cs="Times New Roman"/>
          <w:color w:val="000000" w:themeColor="text1"/>
          <w:sz w:val="24"/>
          <w:szCs w:val="24"/>
          <w:u w:val="single"/>
          <w14:textFill>
            <w14:solidFill>
              <w14:schemeClr w14:val="tx1"/>
            </w14:solidFill>
          </w14:textFill>
        </w:rPr>
        <w:t>个</w:t>
      </w:r>
      <w:r>
        <w:rPr>
          <w:rFonts w:hint="eastAsia" w:ascii="Times New Roman" w:hAnsi="Times New Roman" w:cs="Times New Roman"/>
          <w:color w:val="000000" w:themeColor="text1"/>
          <w:sz w:val="24"/>
          <w:szCs w:val="24"/>
          <w:u w:val="single"/>
          <w14:textFill>
            <w14:solidFill>
              <w14:schemeClr w14:val="tx1"/>
            </w14:solidFill>
          </w14:textFill>
        </w:rPr>
        <w:t>采样</w:t>
      </w:r>
      <w:r>
        <w:rPr>
          <w:rFonts w:ascii="Times New Roman" w:hAnsi="Times New Roman" w:cs="Times New Roman"/>
          <w:color w:val="000000" w:themeColor="text1"/>
          <w:sz w:val="24"/>
          <w:szCs w:val="24"/>
          <w:u w:val="single"/>
          <w14:textFill>
            <w14:solidFill>
              <w14:schemeClr w14:val="tx1"/>
            </w14:solidFill>
          </w14:textFill>
        </w:rPr>
        <w:t>点。</w:t>
      </w:r>
    </w:p>
    <w:p w14:paraId="070B8C5E">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土壤环境：在创大进口汽车仓储物流园</w:t>
      </w:r>
      <w:r>
        <w:rPr>
          <w:rFonts w:ascii="Times New Roman" w:hAnsi="Times New Roman" w:cs="Times New Roman"/>
          <w:color w:val="000000" w:themeColor="text1"/>
          <w:sz w:val="24"/>
          <w:szCs w:val="24"/>
          <w14:textFill>
            <w14:solidFill>
              <w14:schemeClr w14:val="tx1"/>
            </w14:solidFill>
          </w14:textFill>
        </w:rPr>
        <w:t>厂界四周</w:t>
      </w:r>
      <w:r>
        <w:rPr>
          <w:rFonts w:hint="eastAsia" w:ascii="Times New Roman" w:hAnsi="Times New Roman" w:cs="Times New Roman"/>
          <w:color w:val="000000" w:themeColor="text1"/>
          <w:sz w:val="24"/>
          <w:szCs w:val="24"/>
          <w14:textFill>
            <w14:solidFill>
              <w14:schemeClr w14:val="tx1"/>
            </w14:solidFill>
          </w14:textFill>
        </w:rPr>
        <w:t>布设4个采样点（创大进口汽车仓储物流园内地面均已硬化），分别为创大进口汽车仓储物流园厂界</w:t>
      </w:r>
      <w:r>
        <w:rPr>
          <w:rFonts w:ascii="Times New Roman" w:hAnsi="Times New Roman" w:cs="Times New Roman"/>
          <w:color w:val="000000" w:themeColor="text1"/>
          <w:sz w:val="24"/>
          <w:szCs w:val="24"/>
          <w14:textFill>
            <w14:solidFill>
              <w14:schemeClr w14:val="tx1"/>
            </w14:solidFill>
          </w14:textFill>
        </w:rPr>
        <w:t>东、</w:t>
      </w:r>
      <w:r>
        <w:rPr>
          <w:rFonts w:hint="eastAsia" w:ascii="Times New Roman" w:hAnsi="Times New Roman" w:cs="Times New Roman"/>
          <w:color w:val="000000" w:themeColor="text1"/>
          <w:sz w:val="24"/>
          <w:szCs w:val="24"/>
          <w14:textFill>
            <w14:solidFill>
              <w14:schemeClr w14:val="tx1"/>
            </w14:solidFill>
          </w14:textFill>
        </w:rPr>
        <w:t>南、</w:t>
      </w:r>
      <w:r>
        <w:rPr>
          <w:rFonts w:ascii="Times New Roman" w:hAnsi="Times New Roman" w:cs="Times New Roman"/>
          <w:color w:val="000000" w:themeColor="text1"/>
          <w:sz w:val="24"/>
          <w:szCs w:val="24"/>
          <w14:textFill>
            <w14:solidFill>
              <w14:schemeClr w14:val="tx1"/>
            </w14:solidFill>
          </w14:textFill>
        </w:rPr>
        <w:t>西、北</w:t>
      </w:r>
      <w:r>
        <w:rPr>
          <w:rFonts w:hint="eastAsia" w:ascii="Times New Roman" w:hAnsi="Times New Roman" w:cs="Times New Roman"/>
          <w:color w:val="000000" w:themeColor="text1"/>
          <w:sz w:val="24"/>
          <w:szCs w:val="24"/>
          <w14:textFill>
            <w14:solidFill>
              <w14:schemeClr w14:val="tx1"/>
            </w14:solidFill>
          </w14:textFill>
        </w:rPr>
        <w:t>侧</w:t>
      </w:r>
      <w:r>
        <w:rPr>
          <w:rFonts w:ascii="Times New Roman" w:hAnsi="Times New Roman" w:cs="Times New Roman"/>
          <w:color w:val="000000" w:themeColor="text1"/>
          <w:sz w:val="24"/>
          <w:szCs w:val="24"/>
          <w14:textFill>
            <w14:solidFill>
              <w14:schemeClr w14:val="tx1"/>
            </w14:solidFill>
          </w14:textFill>
        </w:rPr>
        <w:t>外1m处</w:t>
      </w:r>
      <w:r>
        <w:rPr>
          <w:rFonts w:hint="eastAsia" w:ascii="Times New Roman" w:hAnsi="Times New Roman" w:cs="Times New Roman"/>
          <w:color w:val="000000" w:themeColor="text1"/>
          <w:sz w:val="24"/>
          <w:szCs w:val="24"/>
          <w14:textFill>
            <w14:solidFill>
              <w14:schemeClr w14:val="tx1"/>
            </w14:solidFill>
          </w14:textFill>
        </w:rPr>
        <w:t>；创大进口汽车仓储物流园南面厂界</w:t>
      </w:r>
      <w:r>
        <w:rPr>
          <w:rFonts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下风向120m处</w:t>
      </w:r>
      <w:r>
        <w:rPr>
          <w:rFonts w:ascii="Times New Roman" w:hAnsi="Times New Roman" w:cs="Times New Roman"/>
          <w:color w:val="000000" w:themeColor="text1"/>
          <w:sz w:val="24"/>
          <w:szCs w:val="24"/>
          <w14:textFill>
            <w14:solidFill>
              <w14:schemeClr w14:val="tx1"/>
            </w14:solidFill>
          </w14:textFill>
        </w:rPr>
        <w:t>）及钦州市区（对照点）</w:t>
      </w:r>
      <w:r>
        <w:rPr>
          <w:rFonts w:hint="eastAsia" w:ascii="Times New Roman" w:hAnsi="Times New Roman" w:cs="Times New Roman"/>
          <w:color w:val="000000" w:themeColor="text1"/>
          <w:sz w:val="24"/>
          <w:szCs w:val="24"/>
          <w14:textFill>
            <w14:solidFill>
              <w14:schemeClr w14:val="tx1"/>
            </w14:solidFill>
          </w14:textFill>
        </w:rPr>
        <w:t>分别各布设1个采样点</w:t>
      </w:r>
      <w:r>
        <w:rPr>
          <w:rFonts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共布设6</w:t>
      </w:r>
      <w:r>
        <w:rPr>
          <w:rFonts w:ascii="Times New Roman" w:hAnsi="Times New Roman" w:cs="Times New Roman"/>
          <w:color w:val="000000" w:themeColor="text1"/>
          <w:sz w:val="24"/>
          <w:szCs w:val="24"/>
          <w14:textFill>
            <w14:solidFill>
              <w14:schemeClr w14:val="tx1"/>
            </w14:solidFill>
          </w14:textFill>
        </w:rPr>
        <w:t>个</w:t>
      </w:r>
      <w:r>
        <w:rPr>
          <w:rFonts w:hint="eastAsia" w:ascii="Times New Roman" w:hAnsi="Times New Roman" w:cs="Times New Roman"/>
          <w:color w:val="000000" w:themeColor="text1"/>
          <w:sz w:val="24"/>
          <w:szCs w:val="24"/>
          <w14:textFill>
            <w14:solidFill>
              <w14:schemeClr w14:val="tx1"/>
            </w14:solidFill>
          </w14:textFill>
        </w:rPr>
        <w:t>采样</w:t>
      </w:r>
      <w:r>
        <w:rPr>
          <w:rFonts w:ascii="Times New Roman" w:hAnsi="Times New Roman" w:cs="Times New Roman"/>
          <w:color w:val="000000" w:themeColor="text1"/>
          <w:sz w:val="24"/>
          <w:szCs w:val="24"/>
          <w14:textFill>
            <w14:solidFill>
              <w14:schemeClr w14:val="tx1"/>
            </w14:solidFill>
          </w14:textFill>
        </w:rPr>
        <w:t>点。</w:t>
      </w:r>
    </w:p>
    <w:p w14:paraId="611493CA">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（2）监测项目及频次</w:t>
      </w:r>
    </w:p>
    <w:p w14:paraId="6D769B93">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监测项目：γ辐射空气吸收剂量率。</w:t>
      </w:r>
    </w:p>
    <w:p w14:paraId="2E31DF3C">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u w:val="single"/>
          <w14:textFill>
            <w14:solidFill>
              <w14:schemeClr w14:val="tx1"/>
            </w14:solidFill>
          </w14:textFill>
        </w:rPr>
        <w:t>运营期</w:t>
      </w:r>
      <w:r>
        <w:rPr>
          <w:rFonts w:ascii="Times New Roman" w:hAnsi="Times New Roman" w:cs="Times New Roman"/>
          <w:color w:val="000000" w:themeColor="text1"/>
          <w:sz w:val="24"/>
          <w:szCs w:val="24"/>
          <w:u w:val="single"/>
          <w14:textFill>
            <w14:solidFill>
              <w14:schemeClr w14:val="tx1"/>
            </w14:solidFill>
          </w14:textFill>
        </w:rPr>
        <w:t>监测频次：</w:t>
      </w:r>
      <w:r>
        <w:rPr>
          <w:rFonts w:ascii="Times New Roman" w:hAnsi="Times New Roman" w:cs="Times New Roman"/>
          <w:color w:val="000000" w:themeColor="text1"/>
          <w:sz w:val="24"/>
          <w:szCs w:val="24"/>
          <w14:textFill>
            <w14:solidFill>
              <w14:schemeClr w14:val="tx1"/>
            </w14:solidFill>
          </w14:textFill>
        </w:rPr>
        <w:t>1次/半年（上、下半年各一次，两次监测时间隔时间不少于3个月）。</w:t>
      </w:r>
    </w:p>
    <w:p w14:paraId="7A3B4585">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u w:val="single"/>
          <w14:textFill>
            <w14:solidFill>
              <w14:schemeClr w14:val="tx1"/>
            </w14:solidFill>
          </w14:textFill>
        </w:rPr>
        <w:t>退役期：1次。</w:t>
      </w:r>
    </w:p>
    <w:p w14:paraId="4EE6E78B">
      <w:pPr>
        <w:pStyle w:val="6"/>
        <w:widowControl w:val="0"/>
        <w:numPr>
          <w:ilvl w:val="3"/>
          <w:numId w:val="1"/>
        </w:numPr>
        <w:spacing w:before="0" w:line="360" w:lineRule="auto"/>
        <w:ind w:left="0" w:firstLine="0"/>
        <w:jc w:val="both"/>
        <w:rPr>
          <w:rFonts w:ascii="Times New Roman" w:hAnsi="Times New Roman" w:eastAsia="黑体" w:cs="Times New Roman"/>
          <w:bCs/>
          <w:i w:val="0"/>
          <w:iCs w:val="0"/>
          <w:color w:val="000000" w:themeColor="text1"/>
          <w:kern w:val="2"/>
          <w:sz w:val="24"/>
          <w14:textFill>
            <w14:solidFill>
              <w14:schemeClr w14:val="tx1"/>
            </w14:solidFill>
          </w14:textFill>
        </w:rPr>
      </w:pPr>
      <w:r>
        <w:rPr>
          <w:rFonts w:ascii="Times New Roman" w:hAnsi="Times New Roman" w:eastAsia="黑体" w:cs="Times New Roman"/>
          <w:bCs/>
          <w:i w:val="0"/>
          <w:iCs w:val="0"/>
          <w:color w:val="000000" w:themeColor="text1"/>
          <w:kern w:val="2"/>
          <w:sz w:val="24"/>
          <w14:textFill>
            <w14:solidFill>
              <w14:schemeClr w14:val="tx1"/>
            </w14:solidFill>
          </w14:textFill>
        </w:rPr>
        <w:t>地下水</w:t>
      </w:r>
    </w:p>
    <w:p w14:paraId="0B4D8C73">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（1）监测点位</w:t>
      </w:r>
    </w:p>
    <w:p w14:paraId="3911E029">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共布设</w:t>
      </w:r>
      <w:r>
        <w:rPr>
          <w:rFonts w:hint="eastAsia" w:ascii="Times New Roman" w:hAnsi="Times New Roman" w:cs="Times New Roman"/>
          <w:color w:val="000000" w:themeColor="text1"/>
          <w:sz w:val="24"/>
          <w:szCs w:val="24"/>
          <w14:textFill>
            <w14:solidFill>
              <w14:schemeClr w14:val="tx1"/>
            </w14:solidFill>
          </w14:textFill>
        </w:rPr>
        <w:t>1</w:t>
      </w:r>
      <w:r>
        <w:rPr>
          <w:rFonts w:ascii="Times New Roman" w:hAnsi="Times New Roman" w:cs="Times New Roman"/>
          <w:color w:val="000000" w:themeColor="text1"/>
          <w:sz w:val="24"/>
          <w:szCs w:val="24"/>
          <w14:textFill>
            <w14:solidFill>
              <w14:schemeClr w14:val="tx1"/>
            </w14:solidFill>
          </w14:textFill>
        </w:rPr>
        <w:t>个监测点，即厂区观测井</w:t>
      </w:r>
      <w:r>
        <w:rPr>
          <w:rFonts w:hint="eastAsia" w:ascii="Times New Roman" w:hAnsi="Times New Roman" w:cs="Times New Roman"/>
          <w:color w:val="000000" w:themeColor="text1"/>
          <w:sz w:val="24"/>
          <w:szCs w:val="24"/>
          <w14:textFill>
            <w14:solidFill>
              <w14:schemeClr w14:val="tx1"/>
            </w14:solidFill>
          </w14:textFill>
        </w:rPr>
        <w:t>（位于车间西南面约250m）</w:t>
      </w:r>
      <w:r>
        <w:rPr>
          <w:rFonts w:ascii="Times New Roman" w:hAnsi="Times New Roman" w:cs="Times New Roman"/>
          <w:color w:val="000000" w:themeColor="text1"/>
          <w:sz w:val="24"/>
          <w:szCs w:val="24"/>
          <w14:textFill>
            <w14:solidFill>
              <w14:schemeClr w14:val="tx1"/>
            </w14:solidFill>
          </w14:textFill>
        </w:rPr>
        <w:t>。</w:t>
      </w:r>
    </w:p>
    <w:p w14:paraId="7DD14A33">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（2）监测项目及频次</w:t>
      </w:r>
    </w:p>
    <w:p w14:paraId="61188767">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监测项目：U</w:t>
      </w:r>
      <w:r>
        <w:rPr>
          <w:rFonts w:hint="eastAsia" w:ascii="Times New Roman" w:hAnsi="Times New Roman" w:cs="Times New Roman"/>
          <w:color w:val="000000" w:themeColor="text1"/>
          <w:sz w:val="24"/>
          <w:szCs w:val="24"/>
          <w:vertAlign w:val="subscript"/>
          <w14:textFill>
            <w14:solidFill>
              <w14:schemeClr w14:val="tx1"/>
            </w14:solidFill>
          </w14:textFill>
        </w:rPr>
        <w:t>天然</w:t>
      </w:r>
      <w:r>
        <w:rPr>
          <w:rFonts w:ascii="Times New Roman" w:hAnsi="Times New Roman" w:cs="Times New Roman"/>
          <w:color w:val="000000" w:themeColor="text1"/>
          <w:sz w:val="24"/>
          <w:szCs w:val="24"/>
          <w14:textFill>
            <w14:solidFill>
              <w14:schemeClr w14:val="tx1"/>
            </w14:solidFill>
          </w14:textFill>
        </w:rPr>
        <w:t>、Th、</w:t>
      </w:r>
      <w:r>
        <w:rPr>
          <w:rFonts w:ascii="Times New Roman" w:hAnsi="Times New Roman" w:cs="Times New Roman"/>
          <w:color w:val="000000" w:themeColor="text1"/>
          <w:sz w:val="24"/>
          <w:szCs w:val="24"/>
          <w:vertAlign w:val="superscript"/>
          <w14:textFill>
            <w14:solidFill>
              <w14:schemeClr w14:val="tx1"/>
            </w14:solidFill>
          </w14:textFill>
        </w:rPr>
        <w:t>226</w:t>
      </w:r>
      <w:r>
        <w:rPr>
          <w:rFonts w:ascii="Times New Roman" w:hAnsi="Times New Roman" w:cs="Times New Roman"/>
          <w:color w:val="000000" w:themeColor="text1"/>
          <w:sz w:val="24"/>
          <w:szCs w:val="24"/>
          <w14:textFill>
            <w14:solidFill>
              <w14:schemeClr w14:val="tx1"/>
            </w14:solidFill>
          </w14:textFill>
        </w:rPr>
        <w:t>Ra。</w:t>
      </w:r>
    </w:p>
    <w:p w14:paraId="1FBFF7CD">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u w:val="single"/>
          <w14:textFill>
            <w14:solidFill>
              <w14:schemeClr w14:val="tx1"/>
            </w14:solidFill>
          </w14:textFill>
        </w:rPr>
        <w:t>运营期</w:t>
      </w:r>
      <w:r>
        <w:rPr>
          <w:rFonts w:ascii="Times New Roman" w:hAnsi="Times New Roman" w:cs="Times New Roman"/>
          <w:color w:val="000000" w:themeColor="text1"/>
          <w:sz w:val="24"/>
          <w:szCs w:val="24"/>
          <w:u w:val="single"/>
          <w14:textFill>
            <w14:solidFill>
              <w14:schemeClr w14:val="tx1"/>
            </w14:solidFill>
          </w14:textFill>
        </w:rPr>
        <w:t>监测频次：</w:t>
      </w:r>
      <w:r>
        <w:rPr>
          <w:rFonts w:ascii="Times New Roman" w:hAnsi="Times New Roman" w:cs="Times New Roman"/>
          <w:color w:val="000000" w:themeColor="text1"/>
          <w:sz w:val="24"/>
          <w:szCs w:val="24"/>
          <w14:textFill>
            <w14:solidFill>
              <w14:schemeClr w14:val="tx1"/>
            </w14:solidFill>
          </w14:textFill>
        </w:rPr>
        <w:t>1次/年。每次连续采集两天。</w:t>
      </w:r>
    </w:p>
    <w:p w14:paraId="050F6472">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u w:val="single"/>
          <w14:textFill>
            <w14:solidFill>
              <w14:schemeClr w14:val="tx1"/>
            </w14:solidFill>
          </w14:textFill>
        </w:rPr>
        <w:t>退役期：1次。</w:t>
      </w:r>
    </w:p>
    <w:p w14:paraId="3A8D1DB7">
      <w:pPr>
        <w:pStyle w:val="6"/>
        <w:widowControl w:val="0"/>
        <w:numPr>
          <w:ilvl w:val="3"/>
          <w:numId w:val="1"/>
        </w:numPr>
        <w:spacing w:before="0" w:line="360" w:lineRule="auto"/>
        <w:ind w:left="0" w:firstLine="0"/>
        <w:jc w:val="both"/>
        <w:rPr>
          <w:rFonts w:ascii="Times New Roman" w:hAnsi="Times New Roman" w:eastAsia="黑体" w:cs="Times New Roman"/>
          <w:bCs/>
          <w:i w:val="0"/>
          <w:iCs w:val="0"/>
          <w:color w:val="000000" w:themeColor="text1"/>
          <w:kern w:val="2"/>
          <w:sz w:val="24"/>
          <w14:textFill>
            <w14:solidFill>
              <w14:schemeClr w14:val="tx1"/>
            </w14:solidFill>
          </w14:textFill>
        </w:rPr>
      </w:pPr>
      <w:r>
        <w:rPr>
          <w:rFonts w:ascii="Times New Roman" w:hAnsi="Times New Roman" w:eastAsia="黑体" w:cs="Times New Roman"/>
          <w:bCs/>
          <w:i w:val="0"/>
          <w:iCs w:val="0"/>
          <w:color w:val="000000" w:themeColor="text1"/>
          <w:kern w:val="2"/>
          <w:sz w:val="24"/>
          <w14:textFill>
            <w14:solidFill>
              <w14:schemeClr w14:val="tx1"/>
            </w14:solidFill>
          </w14:textFill>
        </w:rPr>
        <w:t>土壤</w:t>
      </w:r>
    </w:p>
    <w:p w14:paraId="52B9C714">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（1）监测点位</w:t>
      </w:r>
    </w:p>
    <w:p w14:paraId="3C171CB0">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土壤采样点</w:t>
      </w:r>
      <w:r>
        <w:rPr>
          <w:rFonts w:hint="eastAsia" w:ascii="Times New Roman" w:hAnsi="Times New Roman" w:cs="Times New Roman"/>
          <w:color w:val="000000" w:themeColor="text1"/>
          <w:sz w:val="24"/>
          <w:szCs w:val="24"/>
          <w14:textFill>
            <w14:solidFill>
              <w14:schemeClr w14:val="tx1"/>
            </w14:solidFill>
          </w14:textFill>
        </w:rPr>
        <w:t>在创大进口汽车仓储物流园</w:t>
      </w:r>
      <w:r>
        <w:rPr>
          <w:rFonts w:ascii="Times New Roman" w:hAnsi="Times New Roman" w:cs="Times New Roman"/>
          <w:color w:val="000000" w:themeColor="text1"/>
          <w:sz w:val="24"/>
          <w:szCs w:val="24"/>
          <w14:textFill>
            <w14:solidFill>
              <w14:schemeClr w14:val="tx1"/>
            </w14:solidFill>
          </w14:textFill>
        </w:rPr>
        <w:t>厂界四周</w:t>
      </w:r>
      <w:r>
        <w:rPr>
          <w:rFonts w:hint="eastAsia" w:ascii="Times New Roman" w:hAnsi="Times New Roman" w:cs="Times New Roman"/>
          <w:color w:val="000000" w:themeColor="text1"/>
          <w:sz w:val="24"/>
          <w:szCs w:val="24"/>
          <w14:textFill>
            <w14:solidFill>
              <w14:schemeClr w14:val="tx1"/>
            </w14:solidFill>
          </w14:textFill>
        </w:rPr>
        <w:t>布设4个，分别为创大进口汽车仓储物流园厂界</w:t>
      </w:r>
      <w:r>
        <w:rPr>
          <w:rFonts w:ascii="Times New Roman" w:hAnsi="Times New Roman" w:cs="Times New Roman"/>
          <w:color w:val="000000" w:themeColor="text1"/>
          <w:sz w:val="24"/>
          <w:szCs w:val="24"/>
          <w14:textFill>
            <w14:solidFill>
              <w14:schemeClr w14:val="tx1"/>
            </w14:solidFill>
          </w14:textFill>
        </w:rPr>
        <w:t>东、</w:t>
      </w:r>
      <w:r>
        <w:rPr>
          <w:rFonts w:hint="eastAsia" w:ascii="Times New Roman" w:hAnsi="Times New Roman" w:cs="Times New Roman"/>
          <w:color w:val="000000" w:themeColor="text1"/>
          <w:sz w:val="24"/>
          <w:szCs w:val="24"/>
          <w14:textFill>
            <w14:solidFill>
              <w14:schemeClr w14:val="tx1"/>
            </w14:solidFill>
          </w14:textFill>
        </w:rPr>
        <w:t>南、</w:t>
      </w:r>
      <w:r>
        <w:rPr>
          <w:rFonts w:ascii="Times New Roman" w:hAnsi="Times New Roman" w:cs="Times New Roman"/>
          <w:color w:val="000000" w:themeColor="text1"/>
          <w:sz w:val="24"/>
          <w:szCs w:val="24"/>
          <w14:textFill>
            <w14:solidFill>
              <w14:schemeClr w14:val="tx1"/>
            </w14:solidFill>
          </w14:textFill>
        </w:rPr>
        <w:t>西、北</w:t>
      </w:r>
      <w:r>
        <w:rPr>
          <w:rFonts w:hint="eastAsia" w:ascii="Times New Roman" w:hAnsi="Times New Roman" w:cs="Times New Roman"/>
          <w:color w:val="000000" w:themeColor="text1"/>
          <w:sz w:val="24"/>
          <w:szCs w:val="24"/>
          <w14:textFill>
            <w14:solidFill>
              <w14:schemeClr w14:val="tx1"/>
            </w14:solidFill>
          </w14:textFill>
        </w:rPr>
        <w:t>侧</w:t>
      </w:r>
      <w:r>
        <w:rPr>
          <w:rFonts w:ascii="Times New Roman" w:hAnsi="Times New Roman" w:cs="Times New Roman"/>
          <w:color w:val="000000" w:themeColor="text1"/>
          <w:sz w:val="24"/>
          <w:szCs w:val="24"/>
          <w14:textFill>
            <w14:solidFill>
              <w14:schemeClr w14:val="tx1"/>
            </w14:solidFill>
          </w14:textFill>
        </w:rPr>
        <w:t>外1m处</w:t>
      </w:r>
      <w:r>
        <w:rPr>
          <w:rFonts w:hint="eastAsia" w:ascii="Times New Roman" w:hAnsi="Times New Roman" w:cs="Times New Roman"/>
          <w:color w:val="000000" w:themeColor="text1"/>
          <w:sz w:val="24"/>
          <w:szCs w:val="24"/>
          <w14:textFill>
            <w14:solidFill>
              <w14:schemeClr w14:val="tx1"/>
            </w14:solidFill>
          </w14:textFill>
        </w:rPr>
        <w:t>；其中创大进口汽车仓储物流园南面厂界</w:t>
      </w:r>
      <w:r>
        <w:rPr>
          <w:rFonts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下风向120m处</w:t>
      </w:r>
      <w:r>
        <w:rPr>
          <w:rFonts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为项目车间粉尘有组织排放最大落地浓度出现距离附近。</w:t>
      </w:r>
    </w:p>
    <w:p w14:paraId="5DB45E48">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（2）监测项目及频次</w:t>
      </w:r>
    </w:p>
    <w:p w14:paraId="6B91E1E5">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监测项目：U</w:t>
      </w:r>
      <w:r>
        <w:rPr>
          <w:rFonts w:hint="eastAsia" w:ascii="Times New Roman" w:hAnsi="Times New Roman" w:cs="Times New Roman"/>
          <w:color w:val="000000" w:themeColor="text1"/>
          <w:sz w:val="24"/>
          <w:szCs w:val="24"/>
          <w:vertAlign w:val="subscript"/>
          <w14:textFill>
            <w14:solidFill>
              <w14:schemeClr w14:val="tx1"/>
            </w14:solidFill>
          </w14:textFill>
        </w:rPr>
        <w:t>天然</w:t>
      </w:r>
      <w:r>
        <w:rPr>
          <w:rFonts w:ascii="Times New Roman" w:hAnsi="Times New Roman" w:cs="Times New Roman"/>
          <w:color w:val="000000" w:themeColor="text1"/>
          <w:sz w:val="24"/>
          <w:szCs w:val="24"/>
          <w14:textFill>
            <w14:solidFill>
              <w14:schemeClr w14:val="tx1"/>
            </w14:solidFill>
          </w14:textFill>
        </w:rPr>
        <w:t>、Th、</w:t>
      </w:r>
      <w:r>
        <w:rPr>
          <w:rFonts w:ascii="Times New Roman" w:hAnsi="Times New Roman" w:cs="Times New Roman"/>
          <w:color w:val="000000" w:themeColor="text1"/>
          <w:sz w:val="24"/>
          <w:szCs w:val="24"/>
          <w:vertAlign w:val="superscript"/>
          <w14:textFill>
            <w14:solidFill>
              <w14:schemeClr w14:val="tx1"/>
            </w14:solidFill>
          </w14:textFill>
        </w:rPr>
        <w:t>226</w:t>
      </w:r>
      <w:r>
        <w:rPr>
          <w:rFonts w:ascii="Times New Roman" w:hAnsi="Times New Roman" w:cs="Times New Roman"/>
          <w:color w:val="000000" w:themeColor="text1"/>
          <w:sz w:val="24"/>
          <w:szCs w:val="24"/>
          <w14:textFill>
            <w14:solidFill>
              <w14:schemeClr w14:val="tx1"/>
            </w14:solidFill>
          </w14:textFill>
        </w:rPr>
        <w:t>Ra。</w:t>
      </w:r>
    </w:p>
    <w:p w14:paraId="624DD565">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u w:val="single"/>
          <w14:textFill>
            <w14:solidFill>
              <w14:schemeClr w14:val="tx1"/>
            </w14:solidFill>
          </w14:textFill>
        </w:rPr>
        <w:t>运营期</w:t>
      </w:r>
      <w:r>
        <w:rPr>
          <w:rFonts w:ascii="Times New Roman" w:hAnsi="Times New Roman" w:cs="Times New Roman"/>
          <w:color w:val="000000" w:themeColor="text1"/>
          <w:sz w:val="24"/>
          <w:szCs w:val="24"/>
          <w:u w:val="single"/>
          <w14:textFill>
            <w14:solidFill>
              <w14:schemeClr w14:val="tx1"/>
            </w14:solidFill>
          </w14:textFill>
        </w:rPr>
        <w:t>监测频次：</w:t>
      </w:r>
      <w:r>
        <w:rPr>
          <w:rFonts w:ascii="Times New Roman" w:hAnsi="Times New Roman" w:cs="Times New Roman"/>
          <w:color w:val="000000" w:themeColor="text1"/>
          <w:sz w:val="24"/>
          <w:szCs w:val="24"/>
          <w14:textFill>
            <w14:solidFill>
              <w14:schemeClr w14:val="tx1"/>
            </w14:solidFill>
          </w14:textFill>
        </w:rPr>
        <w:t>1次/年。</w:t>
      </w:r>
    </w:p>
    <w:p w14:paraId="5694040D">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u w:val="single"/>
          <w14:textFill>
            <w14:solidFill>
              <w14:schemeClr w14:val="tx1"/>
            </w14:solidFill>
          </w14:textFill>
        </w:rPr>
        <w:t>退役期：1次。</w:t>
      </w:r>
    </w:p>
    <w:p w14:paraId="076C5C4A">
      <w:pPr>
        <w:pStyle w:val="5"/>
        <w:widowControl w:val="0"/>
        <w:numPr>
          <w:ilvl w:val="2"/>
          <w:numId w:val="1"/>
        </w:numPr>
        <w:spacing w:before="0" w:line="360" w:lineRule="auto"/>
        <w:jc w:val="both"/>
        <w:rPr>
          <w:rFonts w:ascii="Times New Roman" w:hAnsi="Times New Roman" w:eastAsia="黑体" w:cs="Times New Roman"/>
          <w:b/>
          <w:bCs/>
          <w:caps w:val="0"/>
          <w:color w:val="000000" w:themeColor="text1"/>
          <w:kern w:val="2"/>
          <w:sz w:val="24"/>
          <w:szCs w:val="32"/>
          <w14:textFill>
            <w14:solidFill>
              <w14:schemeClr w14:val="tx1"/>
            </w14:solidFill>
          </w14:textFill>
        </w:rPr>
      </w:pPr>
      <w:bookmarkStart w:id="154" w:name="_Toc78822690"/>
      <w:r>
        <w:rPr>
          <w:rFonts w:ascii="Times New Roman" w:hAnsi="Times New Roman" w:eastAsia="黑体" w:cs="Times New Roman"/>
          <w:b/>
          <w:bCs/>
          <w:caps w:val="0"/>
          <w:color w:val="000000" w:themeColor="text1"/>
          <w:kern w:val="2"/>
          <w:sz w:val="24"/>
          <w:szCs w:val="32"/>
          <w14:textFill>
            <w14:solidFill>
              <w14:schemeClr w14:val="tx1"/>
            </w14:solidFill>
          </w14:textFill>
        </w:rPr>
        <w:t>监测方法、仪器及其参数</w:t>
      </w:r>
      <w:bookmarkEnd w:id="154"/>
    </w:p>
    <w:p w14:paraId="631D3622">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监测方法采用《伴生放射性矿产资源开发利用企业环境辐射监测及信息公开管理办法》（试行）推荐的监测方法。监测仪器及参数须满足监测方法的要求。</w:t>
      </w:r>
    </w:p>
    <w:p w14:paraId="72B2997B">
      <w:pPr>
        <w:pStyle w:val="4"/>
        <w:widowControl w:val="0"/>
        <w:numPr>
          <w:ilvl w:val="1"/>
          <w:numId w:val="1"/>
        </w:numPr>
        <w:spacing w:before="0" w:line="360" w:lineRule="auto"/>
        <w:ind w:left="0" w:firstLine="0"/>
        <w:jc w:val="both"/>
        <w:rPr>
          <w:rFonts w:ascii="Times New Roman" w:hAnsi="Times New Roman" w:cs="Times New Roman" w:eastAsiaTheme="minorEastAsia"/>
          <w:b/>
          <w:color w:val="000000" w:themeColor="text1"/>
          <w:sz w:val="28"/>
          <w:szCs w:val="28"/>
          <w14:textFill>
            <w14:solidFill>
              <w14:schemeClr w14:val="tx1"/>
            </w14:solidFill>
          </w14:textFill>
        </w:rPr>
      </w:pPr>
      <w:bookmarkStart w:id="155" w:name="_Toc78822691"/>
      <w:bookmarkStart w:id="156" w:name="_Toc187653482"/>
      <w:r>
        <w:rPr>
          <w:rFonts w:ascii="Times New Roman" w:hAnsi="Times New Roman" w:eastAsia="黑体" w:cs="Times New Roman"/>
          <w:b/>
          <w:bCs/>
          <w:color w:val="000000" w:themeColor="text1"/>
          <w:kern w:val="2"/>
          <w:sz w:val="28"/>
          <w:szCs w:val="32"/>
          <w14:textFill>
            <w14:solidFill>
              <w14:schemeClr w14:val="tx1"/>
            </w14:solidFill>
          </w14:textFill>
        </w:rPr>
        <w:t>固体废物监测</w:t>
      </w:r>
      <w:bookmarkEnd w:id="155"/>
      <w:bookmarkEnd w:id="156"/>
    </w:p>
    <w:p w14:paraId="48B6E970">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bookmarkStart w:id="157" w:name="_Toc78822692"/>
      <w:r>
        <w:rPr>
          <w:rFonts w:ascii="Times New Roman" w:hAnsi="Times New Roman" w:cs="Times New Roman"/>
          <w:color w:val="000000" w:themeColor="text1"/>
          <w:sz w:val="24"/>
          <w:szCs w:val="24"/>
          <w14:textFill>
            <w14:solidFill>
              <w14:schemeClr w14:val="tx1"/>
            </w14:solidFill>
          </w14:textFill>
        </w:rPr>
        <w:t>本项目应对每批次</w:t>
      </w:r>
      <w:r>
        <w:rPr>
          <w:rFonts w:hint="eastAsia" w:ascii="Times New Roman" w:hAnsi="Times New Roman" w:cs="Times New Roman"/>
          <w:color w:val="000000" w:themeColor="text1"/>
          <w:sz w:val="24"/>
          <w:szCs w:val="24"/>
          <w14:textFill>
            <w14:solidFill>
              <w14:schemeClr w14:val="tx1"/>
            </w14:solidFill>
          </w14:textFill>
        </w:rPr>
        <w:t>原</w:t>
      </w:r>
      <w:r>
        <w:rPr>
          <w:rFonts w:ascii="Times New Roman" w:hAnsi="Times New Roman" w:cs="Times New Roman"/>
          <w:color w:val="000000" w:themeColor="text1"/>
          <w:sz w:val="24"/>
          <w:szCs w:val="24"/>
          <w14:textFill>
            <w14:solidFill>
              <w14:schemeClr w14:val="tx1"/>
            </w14:solidFill>
          </w14:textFill>
        </w:rPr>
        <w:t>矿对应的</w:t>
      </w:r>
      <w:r>
        <w:rPr>
          <w:rFonts w:hint="eastAsia" w:ascii="Times New Roman" w:hAnsi="Times New Roman" w:cs="Times New Roman"/>
          <w:color w:val="000000" w:themeColor="text1"/>
          <w:sz w:val="24"/>
          <w:szCs w:val="24"/>
          <w14:textFill>
            <w14:solidFill>
              <w14:schemeClr w14:val="tx1"/>
            </w14:solidFill>
          </w14:textFill>
        </w:rPr>
        <w:t>产品、副产品</w:t>
      </w:r>
      <w:r>
        <w:rPr>
          <w:rFonts w:ascii="Times New Roman" w:hAnsi="Times New Roman" w:cs="Times New Roman"/>
          <w:color w:val="000000" w:themeColor="text1"/>
          <w:sz w:val="24"/>
          <w:szCs w:val="24"/>
          <w14:textFill>
            <w14:solidFill>
              <w14:schemeClr w14:val="tx1"/>
            </w14:solidFill>
          </w14:textFill>
        </w:rPr>
        <w:t>进行分析监测，监测项目为</w:t>
      </w:r>
      <w:r>
        <w:rPr>
          <w:rFonts w:hint="eastAsia" w:ascii="Times New Roman" w:hAnsi="Times New Roman" w:cs="Times New Roman"/>
          <w:color w:val="000000" w:themeColor="text1"/>
          <w:sz w:val="24"/>
          <w:szCs w:val="24"/>
          <w14:textFill>
            <w14:solidFill>
              <w14:schemeClr w14:val="tx1"/>
            </w14:solidFill>
          </w14:textFill>
        </w:rPr>
        <w:t>铀</w:t>
      </w:r>
      <w:r>
        <w:rPr>
          <w:rFonts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钍</w:t>
      </w:r>
      <w:r>
        <w:rPr>
          <w:rFonts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镭</w:t>
      </w:r>
      <w:r>
        <w:rPr>
          <w:rFonts w:ascii="Times New Roman" w:hAnsi="Times New Roman" w:cs="Times New Roman"/>
          <w:color w:val="000000" w:themeColor="text1"/>
          <w:sz w:val="24"/>
          <w:szCs w:val="24"/>
          <w14:textFill>
            <w14:solidFill>
              <w14:schemeClr w14:val="tx1"/>
            </w14:solidFill>
          </w14:textFill>
        </w:rPr>
        <w:t>，监测方法建议采用《</w:t>
      </w:r>
      <w:r>
        <w:rPr>
          <w:rFonts w:hint="eastAsia" w:ascii="Times New Roman" w:hAnsi="Times New Roman" w:cs="Times New Roman"/>
          <w:color w:val="000000" w:themeColor="text1"/>
          <w:sz w:val="24"/>
          <w:szCs w:val="24"/>
          <w14:textFill>
            <w14:solidFill>
              <w14:schemeClr w14:val="tx1"/>
            </w14:solidFill>
          </w14:textFill>
        </w:rPr>
        <w:t>建筑</w:t>
      </w:r>
      <w:r>
        <w:rPr>
          <w:rFonts w:ascii="Times New Roman" w:hAnsi="Times New Roman" w:cs="Times New Roman"/>
          <w:color w:val="000000" w:themeColor="text1"/>
          <w:sz w:val="24"/>
          <w:szCs w:val="24"/>
          <w14:textFill>
            <w14:solidFill>
              <w14:schemeClr w14:val="tx1"/>
            </w14:solidFill>
          </w14:textFill>
        </w:rPr>
        <w:t>材料放射性核素限量</w:t>
      </w: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推荐的</w:t>
      </w:r>
      <w:r>
        <w:rPr>
          <w:rFonts w:hint="eastAsia" w:ascii="Times New Roman" w:hAnsi="Times New Roman" w:cs="Times New Roman"/>
          <w:color w:val="000000" w:themeColor="text1"/>
          <w:sz w:val="24"/>
          <w:szCs w:val="24"/>
          <w14:textFill>
            <w14:solidFill>
              <w14:schemeClr w14:val="tx1"/>
            </w14:solidFill>
          </w14:textFill>
        </w:rPr>
        <w:t>分析</w:t>
      </w:r>
      <w:r>
        <w:rPr>
          <w:rFonts w:ascii="Times New Roman" w:hAnsi="Times New Roman" w:cs="Times New Roman"/>
          <w:color w:val="000000" w:themeColor="text1"/>
          <w:sz w:val="24"/>
          <w:szCs w:val="24"/>
          <w14:textFill>
            <w14:solidFill>
              <w14:schemeClr w14:val="tx1"/>
            </w14:solidFill>
          </w14:textFill>
        </w:rPr>
        <w:t>方法。监测仪器及参数须满足监测方法的要求。</w:t>
      </w:r>
    </w:p>
    <w:p w14:paraId="2C263AF1">
      <w:pPr>
        <w:pStyle w:val="4"/>
        <w:widowControl w:val="0"/>
        <w:numPr>
          <w:ilvl w:val="1"/>
          <w:numId w:val="1"/>
        </w:numPr>
        <w:spacing w:before="0" w:line="360" w:lineRule="auto"/>
        <w:ind w:left="0" w:firstLine="0"/>
        <w:jc w:val="both"/>
        <w:rPr>
          <w:rFonts w:ascii="Times New Roman" w:hAnsi="Times New Roman" w:eastAsia="黑体" w:cs="Times New Roman"/>
          <w:b/>
          <w:bCs/>
          <w:color w:val="000000" w:themeColor="text1"/>
          <w:kern w:val="2"/>
          <w:sz w:val="28"/>
          <w:szCs w:val="32"/>
          <w14:textFill>
            <w14:solidFill>
              <w14:schemeClr w14:val="tx1"/>
            </w14:solidFill>
          </w14:textFill>
        </w:rPr>
      </w:pPr>
      <w:bookmarkStart w:id="158" w:name="_Toc187653483"/>
      <w:r>
        <w:rPr>
          <w:rFonts w:ascii="Times New Roman" w:hAnsi="Times New Roman" w:eastAsia="黑体" w:cs="Times New Roman"/>
          <w:b/>
          <w:bCs/>
          <w:color w:val="000000" w:themeColor="text1"/>
          <w:kern w:val="2"/>
          <w:sz w:val="28"/>
          <w:szCs w:val="32"/>
          <w14:textFill>
            <w14:solidFill>
              <w14:schemeClr w14:val="tx1"/>
            </w14:solidFill>
          </w14:textFill>
        </w:rPr>
        <w:t>辐射环境保护竣工验收</w:t>
      </w:r>
      <w:bookmarkEnd w:id="158"/>
    </w:p>
    <w:p w14:paraId="51AFED71">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竣工验收</w:t>
      </w:r>
      <w:r>
        <w:rPr>
          <w:rFonts w:hint="eastAsia" w:ascii="Times New Roman" w:hAnsi="Times New Roman" w:cs="Times New Roman"/>
          <w:color w:val="000000" w:themeColor="text1"/>
          <w:sz w:val="24"/>
          <w:szCs w:val="24"/>
          <w14:textFill>
            <w14:solidFill>
              <w14:schemeClr w14:val="tx1"/>
            </w14:solidFill>
          </w14:textFill>
        </w:rPr>
        <w:t>监测</w:t>
      </w:r>
      <w:r>
        <w:rPr>
          <w:rFonts w:ascii="Times New Roman" w:hAnsi="Times New Roman" w:cs="Times New Roman"/>
          <w:color w:val="000000" w:themeColor="text1"/>
          <w:sz w:val="24"/>
          <w:szCs w:val="24"/>
          <w14:textFill>
            <w14:solidFill>
              <w14:schemeClr w14:val="tx1"/>
            </w14:solidFill>
          </w14:textFill>
        </w:rPr>
        <w:t>内容见下表</w:t>
      </w:r>
      <w:r>
        <w:rPr>
          <w:rFonts w:hint="eastAsia" w:ascii="Times New Roman" w:hAnsi="Times New Roman" w:cs="Times New Roman"/>
          <w:color w:val="000000" w:themeColor="text1"/>
          <w:sz w:val="24"/>
          <w:szCs w:val="24"/>
          <w14:textFill>
            <w14:solidFill>
              <w14:schemeClr w14:val="tx1"/>
            </w14:solidFill>
          </w14:textFill>
        </w:rPr>
        <w:t>5.</w:t>
      </w:r>
      <w:r>
        <w:rPr>
          <w:rFonts w:ascii="Times New Roman" w:hAnsi="Times New Roman" w:cs="Times New Roman"/>
          <w:color w:val="000000" w:themeColor="text1"/>
          <w:sz w:val="24"/>
          <w:szCs w:val="24"/>
          <w14:textFill>
            <w14:solidFill>
              <w14:schemeClr w14:val="tx1"/>
            </w14:solidFill>
          </w14:textFill>
        </w:rPr>
        <w:t>5</w:t>
      </w:r>
      <w:r>
        <w:rPr>
          <w:rFonts w:hint="eastAsia" w:ascii="Times New Roman" w:hAnsi="Times New Roman" w:cs="Times New Roman"/>
          <w:color w:val="000000" w:themeColor="text1"/>
          <w:sz w:val="24"/>
          <w:szCs w:val="24"/>
          <w14:textFill>
            <w14:solidFill>
              <w14:schemeClr w14:val="tx1"/>
            </w14:solidFill>
          </w14:textFill>
        </w:rPr>
        <w:t>-1</w:t>
      </w:r>
      <w:r>
        <w:rPr>
          <w:rFonts w:ascii="Times New Roman" w:hAnsi="Times New Roman" w:cs="Times New Roman"/>
          <w:color w:val="000000" w:themeColor="text1"/>
          <w:sz w:val="24"/>
          <w:szCs w:val="24"/>
          <w14:textFill>
            <w14:solidFill>
              <w14:schemeClr w14:val="tx1"/>
            </w14:solidFill>
          </w14:textFill>
        </w:rPr>
        <w:t>。</w:t>
      </w:r>
    </w:p>
    <w:p w14:paraId="6534E33D">
      <w:pPr>
        <w:widowControl w:val="0"/>
        <w:spacing w:after="0" w:line="360" w:lineRule="auto"/>
        <w:jc w:val="center"/>
        <w:rPr>
          <w:rFonts w:ascii="Times New Roman" w:hAnsi="Times New Roman" w:eastAsia="宋体" w:cs="Times New Roman"/>
          <w:b/>
          <w:bCs/>
          <w:color w:val="000000" w:themeColor="text1"/>
          <w:spacing w:val="-2"/>
          <w:sz w:val="24"/>
          <w:szCs w:val="20"/>
          <w14:textFill>
            <w14:solidFill>
              <w14:schemeClr w14:val="tx1"/>
            </w14:solidFill>
          </w14:textFill>
        </w:rPr>
      </w:pPr>
      <w:r>
        <w:rPr>
          <w:rFonts w:ascii="Times New Roman" w:hAnsi="Times New Roman" w:eastAsia="宋体" w:cs="Times New Roman"/>
          <w:b/>
          <w:bCs/>
          <w:color w:val="000000" w:themeColor="text1"/>
          <w:spacing w:val="-2"/>
          <w:sz w:val="24"/>
          <w:szCs w:val="20"/>
          <w14:textFill>
            <w14:solidFill>
              <w14:schemeClr w14:val="tx1"/>
            </w14:solidFill>
          </w14:textFill>
        </w:rPr>
        <w:t>表5.5-1 辐射环境保护竣工环境保护验收</w:t>
      </w:r>
      <w:r>
        <w:rPr>
          <w:rFonts w:hint="eastAsia" w:ascii="Times New Roman" w:hAnsi="Times New Roman" w:eastAsia="宋体" w:cs="Times New Roman"/>
          <w:b/>
          <w:bCs/>
          <w:color w:val="000000" w:themeColor="text1"/>
          <w:spacing w:val="-2"/>
          <w:sz w:val="24"/>
          <w:szCs w:val="20"/>
          <w14:textFill>
            <w14:solidFill>
              <w14:schemeClr w14:val="tx1"/>
            </w14:solidFill>
          </w14:textFill>
        </w:rPr>
        <w:t>监测</w:t>
      </w:r>
      <w:r>
        <w:rPr>
          <w:rFonts w:ascii="Times New Roman" w:hAnsi="Times New Roman" w:eastAsia="宋体" w:cs="Times New Roman"/>
          <w:b/>
          <w:bCs/>
          <w:color w:val="000000" w:themeColor="text1"/>
          <w:spacing w:val="-2"/>
          <w:sz w:val="24"/>
          <w:szCs w:val="20"/>
          <w14:textFill>
            <w14:solidFill>
              <w14:schemeClr w14:val="tx1"/>
            </w14:solidFill>
          </w14:textFill>
        </w:rPr>
        <w:t>内容</w:t>
      </w:r>
    </w:p>
    <w:tbl>
      <w:tblPr>
        <w:tblStyle w:val="46"/>
        <w:tblW w:w="842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
      <w:tblGrid>
        <w:gridCol w:w="2405"/>
        <w:gridCol w:w="1985"/>
        <w:gridCol w:w="4030"/>
      </w:tblGrid>
      <w:tr w14:paraId="0D329A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cantSplit/>
          <w:trHeight w:val="15" w:hRule="atLeast"/>
          <w:jc w:val="center"/>
        </w:trPr>
        <w:tc>
          <w:tcPr>
            <w:tcW w:w="2405" w:type="dxa"/>
            <w:vAlign w:val="center"/>
          </w:tcPr>
          <w:p w14:paraId="38FE772C">
            <w:pPr>
              <w:autoSpaceDE w:val="0"/>
              <w:autoSpaceDN w:val="0"/>
              <w:adjustRightInd w:val="0"/>
              <w:snapToGrid w:val="0"/>
              <w:spacing w:after="0" w:line="240" w:lineRule="auto"/>
              <w:jc w:val="cente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项目</w:t>
            </w:r>
          </w:p>
        </w:tc>
        <w:tc>
          <w:tcPr>
            <w:tcW w:w="1985" w:type="dxa"/>
            <w:vAlign w:val="center"/>
          </w:tcPr>
          <w:p w14:paraId="152EAEED">
            <w:pPr>
              <w:autoSpaceDE w:val="0"/>
              <w:autoSpaceDN w:val="0"/>
              <w:adjustRightInd w:val="0"/>
              <w:snapToGrid w:val="0"/>
              <w:spacing w:after="0" w:line="240" w:lineRule="auto"/>
              <w:jc w:val="cente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监测介质</w:t>
            </w:r>
          </w:p>
        </w:tc>
        <w:tc>
          <w:tcPr>
            <w:tcW w:w="4030" w:type="dxa"/>
            <w:vAlign w:val="center"/>
          </w:tcPr>
          <w:p w14:paraId="3AF968B4">
            <w:pPr>
              <w:autoSpaceDE w:val="0"/>
              <w:autoSpaceDN w:val="0"/>
              <w:adjustRightInd w:val="0"/>
              <w:snapToGrid w:val="0"/>
              <w:spacing w:after="0" w:line="240" w:lineRule="auto"/>
              <w:jc w:val="cente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具体内容</w:t>
            </w:r>
          </w:p>
        </w:tc>
      </w:tr>
      <w:tr w14:paraId="685061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cantSplit/>
          <w:trHeight w:val="20" w:hRule="atLeast"/>
          <w:jc w:val="center"/>
        </w:trPr>
        <w:tc>
          <w:tcPr>
            <w:tcW w:w="2405" w:type="dxa"/>
            <w:vMerge w:val="restart"/>
            <w:vAlign w:val="center"/>
          </w:tcPr>
          <w:p w14:paraId="695D3966">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放射性污染防治设施调试运行效果监测</w:t>
            </w:r>
          </w:p>
        </w:tc>
        <w:tc>
          <w:tcPr>
            <w:tcW w:w="1985" w:type="dxa"/>
            <w:vAlign w:val="center"/>
          </w:tcPr>
          <w:p w14:paraId="386FDA4B">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烘干炉烟气有组织排放废气、2 个车间粉尘有组织排放废气</w:t>
            </w:r>
          </w:p>
        </w:tc>
        <w:tc>
          <w:tcPr>
            <w:tcW w:w="4030" w:type="dxa"/>
            <w:vAlign w:val="center"/>
          </w:tcPr>
          <w:p w14:paraId="361639BA">
            <w:pPr>
              <w:pStyle w:val="2"/>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监测因子：铀、钍总量</w:t>
            </w:r>
          </w:p>
          <w:p w14:paraId="0DB15D2E">
            <w:pPr>
              <w:pStyle w:val="2"/>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监测频率：一次</w:t>
            </w:r>
          </w:p>
        </w:tc>
      </w:tr>
      <w:tr w14:paraId="5693E7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cantSplit/>
          <w:trHeight w:val="340" w:hRule="atLeast"/>
          <w:jc w:val="center"/>
        </w:trPr>
        <w:tc>
          <w:tcPr>
            <w:tcW w:w="2405" w:type="dxa"/>
            <w:vMerge w:val="continue"/>
            <w:vAlign w:val="center"/>
          </w:tcPr>
          <w:p w14:paraId="6EBB9F76">
            <w:pPr>
              <w:spacing w:after="0" w:line="240" w:lineRule="auto"/>
              <w:jc w:val="center"/>
              <w:rPr>
                <w:rFonts w:ascii="Times New Roman" w:hAnsi="Times New Roman" w:eastAsia="宋体" w:cs="Times New Roman"/>
                <w:color w:val="000000" w:themeColor="text1"/>
                <w14:textFill>
                  <w14:solidFill>
                    <w14:schemeClr w14:val="tx1"/>
                  </w14:solidFill>
                </w14:textFill>
              </w:rPr>
            </w:pPr>
          </w:p>
        </w:tc>
        <w:tc>
          <w:tcPr>
            <w:tcW w:w="1985" w:type="dxa"/>
            <w:vAlign w:val="center"/>
          </w:tcPr>
          <w:p w14:paraId="2EE15D04">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厂界气溶胶</w:t>
            </w:r>
          </w:p>
        </w:tc>
        <w:tc>
          <w:tcPr>
            <w:tcW w:w="4030" w:type="dxa"/>
            <w:vAlign w:val="center"/>
          </w:tcPr>
          <w:p w14:paraId="16BA32B4">
            <w:pPr>
              <w:pStyle w:val="2"/>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监测点位：上风向厂界、下风向厂界</w:t>
            </w:r>
          </w:p>
          <w:p w14:paraId="0037EB7A">
            <w:pPr>
              <w:pStyle w:val="2"/>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监测因子：总α、总β、铀、钍总量</w:t>
            </w:r>
          </w:p>
          <w:p w14:paraId="7C5150C1">
            <w:pPr>
              <w:pStyle w:val="2"/>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监测频率：一次</w:t>
            </w:r>
          </w:p>
        </w:tc>
      </w:tr>
      <w:tr w14:paraId="34BDD7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cantSplit/>
          <w:trHeight w:val="340" w:hRule="atLeast"/>
          <w:jc w:val="center"/>
        </w:trPr>
        <w:tc>
          <w:tcPr>
            <w:tcW w:w="2405" w:type="dxa"/>
            <w:vAlign w:val="center"/>
          </w:tcPr>
          <w:p w14:paraId="03161416">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其他伴生放射性物料</w:t>
            </w:r>
          </w:p>
        </w:tc>
        <w:tc>
          <w:tcPr>
            <w:tcW w:w="1985" w:type="dxa"/>
            <w:vAlign w:val="center"/>
          </w:tcPr>
          <w:p w14:paraId="010D4D96">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原料、各类产品、</w:t>
            </w:r>
            <w:r>
              <w:rPr>
                <w:rFonts w:hint="eastAsia" w:ascii="Times New Roman" w:hAnsi="Times New Roman" w:eastAsia="宋体" w:cs="Times New Roman"/>
                <w:color w:val="000000" w:themeColor="text1"/>
                <w14:textFill>
                  <w14:solidFill>
                    <w14:schemeClr w14:val="tx1"/>
                  </w14:solidFill>
                </w14:textFill>
              </w:rPr>
              <w:t>副产品</w:t>
            </w:r>
          </w:p>
        </w:tc>
        <w:tc>
          <w:tcPr>
            <w:tcW w:w="4030" w:type="dxa"/>
            <w:vAlign w:val="center"/>
          </w:tcPr>
          <w:p w14:paraId="766632CE">
            <w:pPr>
              <w:pStyle w:val="2"/>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监测因子：铀-238、钍-232、镭-226</w:t>
            </w:r>
          </w:p>
          <w:p w14:paraId="49B80C54">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监测频率：一次</w:t>
            </w:r>
          </w:p>
        </w:tc>
      </w:tr>
      <w:tr w14:paraId="33776E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cantSplit/>
          <w:trHeight w:val="340" w:hRule="atLeast"/>
          <w:jc w:val="center"/>
        </w:trPr>
        <w:tc>
          <w:tcPr>
            <w:tcW w:w="2405" w:type="dxa"/>
            <w:vAlign w:val="center"/>
          </w:tcPr>
          <w:p w14:paraId="71F37E1B">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辐射环境监测</w:t>
            </w:r>
          </w:p>
        </w:tc>
        <w:tc>
          <w:tcPr>
            <w:tcW w:w="6015" w:type="dxa"/>
            <w:gridSpan w:val="2"/>
            <w:vAlign w:val="center"/>
          </w:tcPr>
          <w:p w14:paraId="2539BF95">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同5.3章节</w:t>
            </w:r>
          </w:p>
        </w:tc>
      </w:tr>
    </w:tbl>
    <w:p w14:paraId="07DCC700">
      <w:pPr>
        <w:spacing w:after="0" w:line="360" w:lineRule="auto"/>
        <w:ind w:firstLine="420" w:firstLineChars="200"/>
        <w:rPr>
          <w:color w:val="000000" w:themeColor="text1"/>
          <w14:textFill>
            <w14:solidFill>
              <w14:schemeClr w14:val="tx1"/>
            </w14:solidFill>
          </w14:textFill>
        </w:rPr>
      </w:pPr>
    </w:p>
    <w:p w14:paraId="3BCB05AB">
      <w:pPr>
        <w:pStyle w:val="4"/>
        <w:widowControl w:val="0"/>
        <w:numPr>
          <w:ilvl w:val="1"/>
          <w:numId w:val="1"/>
        </w:numPr>
        <w:spacing w:before="0" w:line="360" w:lineRule="auto"/>
        <w:ind w:left="0" w:firstLine="0"/>
        <w:jc w:val="both"/>
        <w:rPr>
          <w:rFonts w:ascii="Times New Roman" w:hAnsi="Times New Roman" w:eastAsia="黑体" w:cs="Times New Roman"/>
          <w:b/>
          <w:bCs/>
          <w:color w:val="000000" w:themeColor="text1"/>
          <w:kern w:val="2"/>
          <w:sz w:val="28"/>
          <w:szCs w:val="32"/>
          <w14:textFill>
            <w14:solidFill>
              <w14:schemeClr w14:val="tx1"/>
            </w14:solidFill>
          </w14:textFill>
        </w:rPr>
      </w:pPr>
      <w:bookmarkStart w:id="159" w:name="_Toc187653484"/>
      <w:r>
        <w:rPr>
          <w:rFonts w:ascii="Times New Roman" w:hAnsi="Times New Roman" w:eastAsia="黑体" w:cs="Times New Roman"/>
          <w:b/>
          <w:bCs/>
          <w:color w:val="000000" w:themeColor="text1"/>
          <w:kern w:val="2"/>
          <w:sz w:val="28"/>
          <w:szCs w:val="32"/>
          <w14:textFill>
            <w14:solidFill>
              <w14:schemeClr w14:val="tx1"/>
            </w14:solidFill>
          </w14:textFill>
        </w:rPr>
        <w:t>质量保证</w:t>
      </w:r>
      <w:bookmarkEnd w:id="157"/>
      <w:bookmarkEnd w:id="159"/>
    </w:p>
    <w:p w14:paraId="76A55393">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企业可依托企业人员、场所、设备开展监测或委托具有相应资质的机构进行监测。并对监测结果及信息公开内容的真实性、准确性</w:t>
      </w:r>
      <w:r>
        <w:rPr>
          <w:rFonts w:hint="eastAsia" w:ascii="Times New Roman" w:hAnsi="Times New Roman" w:cs="Times New Roman"/>
          <w:color w:val="000000" w:themeColor="text1"/>
          <w:sz w:val="24"/>
          <w:szCs w:val="24"/>
          <w14:textFill>
            <w14:solidFill>
              <w14:schemeClr w14:val="tx1"/>
            </w14:solidFill>
          </w14:textFill>
        </w:rPr>
        <w:t>和</w:t>
      </w:r>
      <w:r>
        <w:rPr>
          <w:rFonts w:ascii="Times New Roman" w:hAnsi="Times New Roman" w:cs="Times New Roman"/>
          <w:color w:val="000000" w:themeColor="text1"/>
          <w:sz w:val="24"/>
          <w:szCs w:val="24"/>
          <w14:textFill>
            <w14:solidFill>
              <w14:schemeClr w14:val="tx1"/>
            </w14:solidFill>
          </w14:textFill>
        </w:rPr>
        <w:t>完整性负责。</w:t>
      </w:r>
    </w:p>
    <w:p w14:paraId="3F84222B">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质量保证是环境监测计划的必不可少的重要组成部分，为了保证监测数据准确可靠，监测过程严格执行《辐射环境监测技术规范》（HJ</w:t>
      </w:r>
      <w:r>
        <w:rPr>
          <w:rFonts w:hint="eastAsia"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t>61-2021），以保证获得的测量结果和评价结论使当时的和以后的主管部门和使用部门确信是正确的。</w:t>
      </w:r>
    </w:p>
    <w:p w14:paraId="4B1F9786">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（1）</w:t>
      </w:r>
      <w:r>
        <w:rPr>
          <w:rFonts w:ascii="Times New Roman" w:hAnsi="Times New Roman" w:cs="Times New Roman"/>
          <w:color w:val="000000" w:themeColor="text1"/>
          <w:sz w:val="24"/>
          <w:szCs w:val="24"/>
          <w14:textFill>
            <w14:solidFill>
              <w14:schemeClr w14:val="tx1"/>
            </w14:solidFill>
          </w14:textFill>
        </w:rPr>
        <w:t>监测人员</w:t>
      </w:r>
    </w:p>
    <w:p w14:paraId="1604C999">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对于从事监测的人员在工作作风、专业知识、技术水平等方面予以规定，通过培训和考核合格后才能上岗。</w:t>
      </w:r>
    </w:p>
    <w:p w14:paraId="50B6A4DC">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（2）</w:t>
      </w:r>
      <w:r>
        <w:rPr>
          <w:rFonts w:ascii="Times New Roman" w:hAnsi="Times New Roman" w:cs="Times New Roman"/>
          <w:color w:val="000000" w:themeColor="text1"/>
          <w:sz w:val="24"/>
          <w:szCs w:val="24"/>
          <w14:textFill>
            <w14:solidFill>
              <w14:schemeClr w14:val="tx1"/>
            </w14:solidFill>
          </w14:textFill>
        </w:rPr>
        <w:t>采样的质量控制</w:t>
      </w:r>
    </w:p>
    <w:p w14:paraId="09DF6132">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样品采集尽量采用标准方法或公认方法，采样布点合理、有代表性，部分样品采集平行样。</w:t>
      </w:r>
    </w:p>
    <w:p w14:paraId="59A06366">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采样方法、采样设备调整、样品包装、运输、保存、现场处理、贮存以及采样记录资料，严格执行有关规定。</w:t>
      </w:r>
    </w:p>
    <w:p w14:paraId="79122EA5">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（3）</w:t>
      </w:r>
      <w:r>
        <w:rPr>
          <w:rFonts w:ascii="Times New Roman" w:hAnsi="Times New Roman" w:cs="Times New Roman"/>
          <w:color w:val="000000" w:themeColor="text1"/>
          <w:sz w:val="24"/>
          <w:szCs w:val="24"/>
          <w14:textFill>
            <w14:solidFill>
              <w14:schemeClr w14:val="tx1"/>
            </w14:solidFill>
          </w14:textFill>
        </w:rPr>
        <w:t>样品的分析测试</w:t>
      </w:r>
    </w:p>
    <w:p w14:paraId="4994740A">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分析测量方法尽量采用国家已颁布的标准方法；没有国家标准的，采用行业通用方法或经实际样品考核成熟的分析方法，并用标准物质进行校验。</w:t>
      </w:r>
    </w:p>
    <w:p w14:paraId="5F348676">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分析测量仪器和设备按规定定期送计量部门进行校验和刻度。对于监测仪器，若发现异常情况，随时进行校验；对有质疑的样品，进行双样分析测定或重新取样测定。</w:t>
      </w:r>
    </w:p>
    <w:p w14:paraId="7D174D1B">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为提高分析结果的可靠性，定期或不定期与</w:t>
      </w:r>
      <w:r>
        <w:rPr>
          <w:rFonts w:hint="eastAsia" w:ascii="Times New Roman" w:hAnsi="Times New Roman" w:cs="Times New Roman"/>
          <w:color w:val="000000" w:themeColor="text1"/>
          <w:sz w:val="24"/>
          <w:szCs w:val="24"/>
          <w:lang w:eastAsia="zh-CN"/>
          <w14:textFill>
            <w14:solidFill>
              <w14:schemeClr w14:val="tx1"/>
            </w14:solidFill>
          </w14:textFill>
        </w:rPr>
        <w:t>其他权威</w:t>
      </w:r>
      <w:r>
        <w:rPr>
          <w:rFonts w:ascii="Times New Roman" w:hAnsi="Times New Roman" w:cs="Times New Roman"/>
          <w:color w:val="000000" w:themeColor="text1"/>
          <w:sz w:val="24"/>
          <w:szCs w:val="24"/>
          <w14:textFill>
            <w14:solidFill>
              <w14:schemeClr w14:val="tx1"/>
            </w14:solidFill>
          </w14:textFill>
        </w:rPr>
        <w:t>实验室进行样品分析比对；有的样品必要时送出外检，以保证样品分析测量结果的质量和准确性。</w:t>
      </w:r>
    </w:p>
    <w:p w14:paraId="01F608C3">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分析结果均用专用表格填报，分析数据报表均经采样人员、制样人员、分析测量人员签字，最后经审核人签字后留存和上报。</w:t>
      </w:r>
    </w:p>
    <w:p w14:paraId="56BACF5F">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采集的样品要有一部分长期保留，以便随时抽检；监测结果要永久保存。</w:t>
      </w:r>
    </w:p>
    <w:p w14:paraId="57B241A2">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（4）</w:t>
      </w:r>
      <w:r>
        <w:rPr>
          <w:rFonts w:ascii="Times New Roman" w:hAnsi="Times New Roman" w:cs="Times New Roman"/>
          <w:color w:val="000000" w:themeColor="text1"/>
          <w:sz w:val="24"/>
          <w:szCs w:val="24"/>
          <w14:textFill>
            <w14:solidFill>
              <w14:schemeClr w14:val="tx1"/>
            </w14:solidFill>
          </w14:textFill>
        </w:rPr>
        <w:t>实验室分析质量的内部控制中包括空白试验、校正曲线核查、仪器设备校正、平行样测定、加标样和密码样测定、质量控制图编制。外部控制包括实验室之间的分析比对或交叉核查，参加可以溯源到国家标准的实验室间的比对。</w:t>
      </w:r>
    </w:p>
    <w:p w14:paraId="6C8CD7B0">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（5）</w:t>
      </w:r>
      <w:r>
        <w:rPr>
          <w:rFonts w:ascii="Times New Roman" w:hAnsi="Times New Roman" w:cs="Times New Roman"/>
          <w:color w:val="000000" w:themeColor="text1"/>
          <w:sz w:val="24"/>
          <w:szCs w:val="24"/>
          <w14:textFill>
            <w14:solidFill>
              <w14:schemeClr w14:val="tx1"/>
            </w14:solidFill>
          </w14:textFill>
        </w:rPr>
        <w:t>监测报告中要完整和准确地保留全部原始数据，保留样品容量的信息。数据处理应采用标准方法，所有计算步骤、计算机程序都经过复审和验证，并载入记录文件。</w:t>
      </w:r>
    </w:p>
    <w:p w14:paraId="723B7418">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（6）</w:t>
      </w:r>
      <w:r>
        <w:rPr>
          <w:rFonts w:ascii="Times New Roman" w:hAnsi="Times New Roman" w:cs="Times New Roman"/>
          <w:color w:val="000000" w:themeColor="text1"/>
          <w:sz w:val="24"/>
          <w:szCs w:val="24"/>
          <w14:textFill>
            <w14:solidFill>
              <w14:schemeClr w14:val="tx1"/>
            </w14:solidFill>
          </w14:textFill>
        </w:rPr>
        <w:t>监测计划和采取的质量保证措施应有书面执行程序，并经审核批准后才能实施。文件的格式、术语应具备后人可读性；文件内容应包括从监测方案到结论各部分的详尽描述；并建立文档备份、呈交、保存制度。</w:t>
      </w:r>
    </w:p>
    <w:p w14:paraId="6DE1B1FB">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（7）</w:t>
      </w:r>
      <w:r>
        <w:rPr>
          <w:rFonts w:ascii="Times New Roman" w:hAnsi="Times New Roman" w:cs="Times New Roman"/>
          <w:color w:val="000000" w:themeColor="text1"/>
          <w:sz w:val="24"/>
          <w:szCs w:val="24"/>
          <w14:textFill>
            <w14:solidFill>
              <w14:schemeClr w14:val="tx1"/>
            </w14:solidFill>
          </w14:textFill>
        </w:rPr>
        <w:t>设立质量保证机构，配备专职或兼职监测人员。质量保证机构的职权包括审查监测计划和质量保证的书面程序；监督实施监测过程的质量保证措施；复查监测数据；建立完整的文件档案等项任务。</w:t>
      </w:r>
    </w:p>
    <w:p w14:paraId="0675CE5E">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p>
    <w:p w14:paraId="707A9A14">
      <w:pPr>
        <w:pStyle w:val="3"/>
        <w:rPr>
          <w:rFonts w:ascii="Times New Roman" w:hAnsi="Times New Roman" w:cs="Times New Roman" w:eastAsiaTheme="minorEastAsia"/>
          <w:b/>
          <w:color w:val="000000" w:themeColor="text1"/>
          <w:sz w:val="30"/>
          <w:szCs w:val="30"/>
          <w14:textFill>
            <w14:solidFill>
              <w14:schemeClr w14:val="tx1"/>
            </w14:solidFill>
          </w14:textFill>
        </w:rPr>
        <w:sectPr>
          <w:pgSz w:w="11906" w:h="16838"/>
          <w:pgMar w:top="1440" w:right="1800" w:bottom="1440" w:left="1800" w:header="851" w:footer="992" w:gutter="0"/>
          <w:cols w:space="425" w:num="1"/>
          <w:docGrid w:type="lines" w:linePitch="312" w:charSpace="0"/>
        </w:sectPr>
      </w:pPr>
      <w:bookmarkStart w:id="160" w:name="_Toc78822693"/>
    </w:p>
    <w:p w14:paraId="2A75D85E">
      <w:pPr>
        <w:pStyle w:val="3"/>
        <w:widowControl w:val="0"/>
        <w:numPr>
          <w:ilvl w:val="0"/>
          <w:numId w:val="1"/>
        </w:numPr>
        <w:pBdr>
          <w:left w:val="none" w:color="auto" w:sz="0" w:space="0"/>
        </w:pBdr>
        <w:spacing w:before="0" w:after="0" w:line="360" w:lineRule="auto"/>
        <w:ind w:left="0" w:firstLine="0"/>
        <w:jc w:val="both"/>
        <w:rPr>
          <w:rFonts w:ascii="Times New Roman" w:hAnsi="Times New Roman" w:eastAsia="黑体" w:cs="Times New Roman"/>
          <w:b/>
          <w:bCs/>
          <w:caps w:val="0"/>
          <w:color w:val="000000" w:themeColor="text1"/>
          <w:spacing w:val="0"/>
          <w:kern w:val="44"/>
          <w:sz w:val="30"/>
          <w:szCs w:val="44"/>
          <w14:textFill>
            <w14:solidFill>
              <w14:schemeClr w14:val="tx1"/>
            </w14:solidFill>
          </w14:textFill>
        </w:rPr>
      </w:pPr>
      <w:bookmarkStart w:id="161" w:name="_Toc187653485"/>
      <w:r>
        <w:rPr>
          <w:rFonts w:ascii="Times New Roman" w:hAnsi="Times New Roman" w:eastAsia="黑体" w:cs="Times New Roman"/>
          <w:b/>
          <w:bCs/>
          <w:caps w:val="0"/>
          <w:color w:val="000000" w:themeColor="text1"/>
          <w:spacing w:val="0"/>
          <w:kern w:val="44"/>
          <w:sz w:val="30"/>
          <w:szCs w:val="44"/>
          <w14:textFill>
            <w14:solidFill>
              <w14:schemeClr w14:val="tx1"/>
            </w14:solidFill>
          </w14:textFill>
        </w:rPr>
        <w:t>结论与建议</w:t>
      </w:r>
      <w:bookmarkEnd w:id="160"/>
      <w:bookmarkEnd w:id="161"/>
    </w:p>
    <w:p w14:paraId="05FA6598">
      <w:pPr>
        <w:pStyle w:val="4"/>
        <w:widowControl w:val="0"/>
        <w:numPr>
          <w:ilvl w:val="1"/>
          <w:numId w:val="1"/>
        </w:numPr>
        <w:spacing w:before="0" w:line="360" w:lineRule="auto"/>
        <w:ind w:left="0" w:firstLine="0"/>
        <w:jc w:val="both"/>
        <w:rPr>
          <w:rFonts w:ascii="Times New Roman" w:hAnsi="Times New Roman" w:eastAsia="黑体" w:cs="Times New Roman"/>
          <w:b/>
          <w:bCs/>
          <w:color w:val="000000" w:themeColor="text1"/>
          <w:kern w:val="2"/>
          <w:sz w:val="28"/>
          <w:szCs w:val="32"/>
          <w14:textFill>
            <w14:solidFill>
              <w14:schemeClr w14:val="tx1"/>
            </w14:solidFill>
          </w14:textFill>
        </w:rPr>
      </w:pPr>
      <w:bookmarkStart w:id="162" w:name="_Toc78822694"/>
      <w:bookmarkStart w:id="163" w:name="_Toc187653486"/>
      <w:r>
        <w:rPr>
          <w:rFonts w:ascii="Times New Roman" w:hAnsi="Times New Roman" w:eastAsia="黑体" w:cs="Times New Roman"/>
          <w:b/>
          <w:bCs/>
          <w:color w:val="000000" w:themeColor="text1"/>
          <w:kern w:val="2"/>
          <w:sz w:val="28"/>
          <w:szCs w:val="32"/>
          <w14:textFill>
            <w14:solidFill>
              <w14:schemeClr w14:val="tx1"/>
            </w14:solidFill>
          </w14:textFill>
        </w:rPr>
        <w:t>结论</w:t>
      </w:r>
      <w:bookmarkEnd w:id="162"/>
      <w:bookmarkEnd w:id="163"/>
    </w:p>
    <w:p w14:paraId="72182AB8">
      <w:pPr>
        <w:pStyle w:val="5"/>
        <w:widowControl w:val="0"/>
        <w:numPr>
          <w:ilvl w:val="2"/>
          <w:numId w:val="1"/>
        </w:numPr>
        <w:spacing w:before="0" w:line="360" w:lineRule="auto"/>
        <w:jc w:val="both"/>
        <w:rPr>
          <w:rFonts w:ascii="Times New Roman" w:hAnsi="Times New Roman" w:eastAsia="黑体" w:cs="Times New Roman"/>
          <w:b/>
          <w:bCs/>
          <w:caps w:val="0"/>
          <w:color w:val="000000" w:themeColor="text1"/>
          <w:kern w:val="2"/>
          <w:sz w:val="24"/>
          <w:szCs w:val="32"/>
          <w14:textFill>
            <w14:solidFill>
              <w14:schemeClr w14:val="tx1"/>
            </w14:solidFill>
          </w14:textFill>
        </w:rPr>
      </w:pPr>
      <w:bookmarkStart w:id="164" w:name="_Toc78822695"/>
      <w:r>
        <w:rPr>
          <w:rFonts w:ascii="Times New Roman" w:hAnsi="Times New Roman" w:eastAsia="黑体" w:cs="Times New Roman"/>
          <w:b/>
          <w:bCs/>
          <w:caps w:val="0"/>
          <w:color w:val="000000" w:themeColor="text1"/>
          <w:kern w:val="2"/>
          <w:sz w:val="24"/>
          <w:szCs w:val="32"/>
          <w14:textFill>
            <w14:solidFill>
              <w14:schemeClr w14:val="tx1"/>
            </w14:solidFill>
          </w14:textFill>
        </w:rPr>
        <w:t>辐射环境质量现状评价结论</w:t>
      </w:r>
      <w:bookmarkEnd w:id="164"/>
    </w:p>
    <w:p w14:paraId="242BBF05">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（1）项目周边环境中γ辐射剂量率与广西钦州地区γ辐射剂量率处于同一水平。</w:t>
      </w:r>
    </w:p>
    <w:p w14:paraId="3D4BE521">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（2）项目西面、南面空气中</w:t>
      </w:r>
      <w:r>
        <w:rPr>
          <w:rFonts w:hint="eastAsia" w:ascii="Times New Roman" w:hAnsi="Times New Roman" w:eastAsia="宋体" w:cs="Times New Roman"/>
          <w:color w:val="000000" w:themeColor="text1"/>
          <w:spacing w:val="-2"/>
          <w:sz w:val="24"/>
          <w:szCs w:val="20"/>
          <w:vertAlign w:val="superscript"/>
          <w14:textFill>
            <w14:solidFill>
              <w14:schemeClr w14:val="tx1"/>
            </w14:solidFill>
          </w14:textFill>
        </w:rPr>
        <w:t>222</w:t>
      </w:r>
      <w:r>
        <w:rPr>
          <w:rFonts w:hint="eastAsia" w:ascii="Times New Roman" w:hAnsi="Times New Roman" w:eastAsia="宋体" w:cs="Times New Roman"/>
          <w:color w:val="000000" w:themeColor="text1"/>
          <w:spacing w:val="-2"/>
          <w:sz w:val="24"/>
          <w:szCs w:val="20"/>
          <w14:textFill>
            <w14:solidFill>
              <w14:schemeClr w14:val="tx1"/>
            </w14:solidFill>
          </w14:textFill>
        </w:rPr>
        <w:t>Rn浓度出现高于《中国环境天然放射性水平》中全国城市空气中氡平均浓度的情况，</w:t>
      </w:r>
      <w:r>
        <w:rPr>
          <w:rFonts w:hint="eastAsia" w:ascii="Times New Roman" w:hAnsi="Times New Roman"/>
          <w:color w:val="000000" w:themeColor="text1"/>
          <w:sz w:val="24"/>
          <w:szCs w:val="24"/>
          <w:u w:val="single"/>
          <w14:textFill>
            <w14:solidFill>
              <w14:schemeClr w14:val="tx1"/>
            </w14:solidFill>
          </w14:textFill>
        </w:rPr>
        <w:t>可能是受填海区域吹填土土质背景值的影响</w:t>
      </w:r>
      <w:r>
        <w:rPr>
          <w:rFonts w:ascii="Times New Roman" w:hAnsi="Times New Roman" w:cs="Times New Roman"/>
          <w:color w:val="000000" w:themeColor="text1"/>
          <w:sz w:val="24"/>
          <w:szCs w:val="24"/>
          <w:u w:val="single"/>
          <w14:textFill>
            <w14:solidFill>
              <w14:schemeClr w14:val="tx1"/>
            </w14:solidFill>
          </w14:textFill>
        </w:rPr>
        <w:t>。</w:t>
      </w:r>
    </w:p>
    <w:p w14:paraId="23A1F350">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（3）气溶胶中核素总</w:t>
      </w:r>
      <w:r>
        <w:rPr>
          <w:rFonts w:ascii="Times New Roman" w:hAnsi="Times New Roman" w:eastAsia="宋体" w:cs="Times New Roman"/>
          <w:color w:val="000000" w:themeColor="text1"/>
          <w:spacing w:val="-2"/>
          <w:sz w:val="24"/>
          <w:szCs w:val="20"/>
          <w14:textFill>
            <w14:solidFill>
              <w14:schemeClr w14:val="tx1"/>
            </w14:solidFill>
          </w14:textFill>
        </w:rPr>
        <w:t>α、总β</w:t>
      </w:r>
      <w:r>
        <w:rPr>
          <w:rFonts w:hint="eastAsia" w:ascii="Times New Roman" w:hAnsi="Times New Roman" w:eastAsia="宋体" w:cs="Times New Roman"/>
          <w:color w:val="000000" w:themeColor="text1"/>
          <w:spacing w:val="-2"/>
          <w:sz w:val="24"/>
          <w:szCs w:val="20"/>
          <w14:textFill>
            <w14:solidFill>
              <w14:schemeClr w14:val="tx1"/>
            </w14:solidFill>
          </w14:textFill>
        </w:rPr>
        <w:t>、</w:t>
      </w:r>
      <w:r>
        <w:rPr>
          <w:rFonts w:hint="eastAsia" w:ascii="Times New Roman" w:hAnsi="Times New Roman" w:eastAsia="宋体" w:cs="Times New Roman"/>
          <w:color w:val="000000" w:themeColor="text1"/>
          <w:spacing w:val="-2"/>
          <w:sz w:val="24"/>
          <w:szCs w:val="20"/>
          <w:vertAlign w:val="superscript"/>
          <w14:textFill>
            <w14:solidFill>
              <w14:schemeClr w14:val="tx1"/>
            </w14:solidFill>
          </w14:textFill>
        </w:rPr>
        <w:t>210</w:t>
      </w:r>
      <w:r>
        <w:rPr>
          <w:rFonts w:hint="eastAsia" w:ascii="Times New Roman" w:hAnsi="Times New Roman" w:eastAsia="宋体" w:cs="Times New Roman"/>
          <w:color w:val="000000" w:themeColor="text1"/>
          <w:spacing w:val="-2"/>
          <w:sz w:val="24"/>
          <w:szCs w:val="20"/>
          <w14:textFill>
            <w14:solidFill>
              <w14:schemeClr w14:val="tx1"/>
            </w14:solidFill>
          </w14:textFill>
        </w:rPr>
        <w:t>Po和</w:t>
      </w:r>
      <w:r>
        <w:rPr>
          <w:rFonts w:hint="eastAsia" w:ascii="Times New Roman" w:hAnsi="Times New Roman" w:eastAsia="宋体" w:cs="Times New Roman"/>
          <w:color w:val="000000" w:themeColor="text1"/>
          <w:spacing w:val="-2"/>
          <w:sz w:val="24"/>
          <w:szCs w:val="20"/>
          <w:vertAlign w:val="superscript"/>
          <w14:textFill>
            <w14:solidFill>
              <w14:schemeClr w14:val="tx1"/>
            </w14:solidFill>
          </w14:textFill>
        </w:rPr>
        <w:t>210</w:t>
      </w:r>
      <w:r>
        <w:rPr>
          <w:rFonts w:hint="eastAsia" w:ascii="Times New Roman" w:hAnsi="Times New Roman" w:eastAsia="宋体" w:cs="Times New Roman"/>
          <w:color w:val="000000" w:themeColor="text1"/>
          <w:spacing w:val="-2"/>
          <w:sz w:val="24"/>
          <w:szCs w:val="20"/>
          <w14:textFill>
            <w14:solidFill>
              <w14:schemeClr w14:val="tx1"/>
            </w14:solidFill>
          </w14:textFill>
        </w:rPr>
        <w:t>Pb的含量较低。</w:t>
      </w:r>
    </w:p>
    <w:p w14:paraId="1700131D">
      <w:pPr>
        <w:pStyle w:val="5"/>
        <w:widowControl w:val="0"/>
        <w:numPr>
          <w:ilvl w:val="2"/>
          <w:numId w:val="1"/>
        </w:numPr>
        <w:spacing w:before="0" w:line="360" w:lineRule="auto"/>
        <w:jc w:val="both"/>
        <w:rPr>
          <w:rFonts w:ascii="Times New Roman" w:hAnsi="Times New Roman" w:eastAsia="黑体" w:cs="Times New Roman"/>
          <w:b/>
          <w:bCs/>
          <w:caps w:val="0"/>
          <w:color w:val="000000" w:themeColor="text1"/>
          <w:kern w:val="2"/>
          <w:sz w:val="24"/>
          <w:szCs w:val="32"/>
          <w14:textFill>
            <w14:solidFill>
              <w14:schemeClr w14:val="tx1"/>
            </w14:solidFill>
          </w14:textFill>
        </w:rPr>
      </w:pPr>
      <w:bookmarkStart w:id="165" w:name="_Toc58230736"/>
      <w:bookmarkStart w:id="166" w:name="_Toc78822696"/>
      <w:r>
        <w:rPr>
          <w:rFonts w:ascii="Times New Roman" w:hAnsi="Times New Roman" w:eastAsia="黑体" w:cs="Times New Roman"/>
          <w:b/>
          <w:bCs/>
          <w:caps w:val="0"/>
          <w:color w:val="000000" w:themeColor="text1"/>
          <w:kern w:val="2"/>
          <w:sz w:val="24"/>
          <w:szCs w:val="32"/>
          <w14:textFill>
            <w14:solidFill>
              <w14:schemeClr w14:val="tx1"/>
            </w14:solidFill>
          </w14:textFill>
        </w:rPr>
        <w:t>辐射环境影响</w:t>
      </w:r>
      <w:bookmarkEnd w:id="165"/>
      <w:bookmarkEnd w:id="166"/>
      <w:r>
        <w:rPr>
          <w:rFonts w:hint="eastAsia" w:ascii="Times New Roman" w:hAnsi="Times New Roman" w:eastAsia="黑体" w:cs="Times New Roman"/>
          <w:b/>
          <w:bCs/>
          <w:caps w:val="0"/>
          <w:color w:val="000000" w:themeColor="text1"/>
          <w:kern w:val="2"/>
          <w:sz w:val="24"/>
          <w:szCs w:val="32"/>
          <w14:textFill>
            <w14:solidFill>
              <w14:schemeClr w14:val="tx1"/>
            </w14:solidFill>
          </w14:textFill>
        </w:rPr>
        <w:t>分析结论</w:t>
      </w:r>
    </w:p>
    <w:p w14:paraId="78EA0B36">
      <w:pPr>
        <w:pStyle w:val="6"/>
        <w:widowControl w:val="0"/>
        <w:numPr>
          <w:ilvl w:val="3"/>
          <w:numId w:val="1"/>
        </w:numPr>
        <w:spacing w:before="0" w:line="360" w:lineRule="auto"/>
        <w:ind w:left="0" w:firstLine="0"/>
        <w:jc w:val="both"/>
        <w:rPr>
          <w:rFonts w:ascii="Times New Roman" w:hAnsi="Times New Roman" w:eastAsia="黑体" w:cs="Times New Roman"/>
          <w:bCs/>
          <w:i w:val="0"/>
          <w:iCs w:val="0"/>
          <w:color w:val="000000" w:themeColor="text1"/>
          <w:kern w:val="2"/>
          <w:sz w:val="24"/>
          <w14:textFill>
            <w14:solidFill>
              <w14:schemeClr w14:val="tx1"/>
            </w14:solidFill>
          </w14:textFill>
        </w:rPr>
      </w:pPr>
      <w:bookmarkStart w:id="167" w:name="_Hlk42157086"/>
      <w:r>
        <w:rPr>
          <w:rFonts w:hint="eastAsia" w:ascii="Times New Roman" w:hAnsi="Times New Roman" w:eastAsia="黑体" w:cs="Times New Roman"/>
          <w:bCs/>
          <w:i w:val="0"/>
          <w:iCs w:val="0"/>
          <w:color w:val="000000" w:themeColor="text1"/>
          <w:kern w:val="2"/>
          <w:sz w:val="24"/>
          <w14:textFill>
            <w14:solidFill>
              <w14:schemeClr w14:val="tx1"/>
            </w14:solidFill>
          </w14:textFill>
        </w:rPr>
        <w:t>气载流出物辐射环境影响分析</w:t>
      </w:r>
    </w:p>
    <w:p w14:paraId="45BD01FD">
      <w:pPr>
        <w:widowControl w:val="0"/>
        <w:spacing w:after="0" w:line="360" w:lineRule="auto"/>
        <w:ind w:firstLine="480"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cs="Times New Roman"/>
          <w:color w:val="000000" w:themeColor="text1"/>
          <w:sz w:val="24"/>
          <w:szCs w:val="24"/>
          <w:u w:val="single"/>
          <w14:textFill>
            <w14:solidFill>
              <w14:schemeClr w14:val="tx1"/>
            </w14:solidFill>
          </w14:textFill>
        </w:rPr>
        <w:t>项目气载流出物所致各子区空气中氡浓度贡献值总体相对较小，对周边公众影响不大，其中有人子区中氡吸入所致内照射有效剂量稍大的是项目南面的星火物流及创大仓储。</w:t>
      </w:r>
      <w:r>
        <w:rPr>
          <w:rFonts w:hint="eastAsia" w:ascii="Times New Roman" w:hAnsi="Times New Roman" w:eastAsia="宋体" w:cs="Times New Roman"/>
          <w:color w:val="000000" w:themeColor="text1"/>
          <w:spacing w:val="-2"/>
          <w:sz w:val="24"/>
          <w:szCs w:val="20"/>
          <w:u w:val="single"/>
          <w14:textFill>
            <w14:solidFill>
              <w14:schemeClr w14:val="tx1"/>
            </w14:solidFill>
          </w14:textFill>
        </w:rPr>
        <w:t>项目评价范围内无居民区、配套宿舍区，项目产生气载流出物对周边公众产生辐射影响较小。</w:t>
      </w:r>
    </w:p>
    <w:p w14:paraId="7F022BFC">
      <w:pPr>
        <w:pStyle w:val="6"/>
        <w:widowControl w:val="0"/>
        <w:numPr>
          <w:ilvl w:val="3"/>
          <w:numId w:val="1"/>
        </w:numPr>
        <w:spacing w:before="0" w:line="360" w:lineRule="auto"/>
        <w:ind w:left="0" w:firstLine="0"/>
        <w:jc w:val="both"/>
        <w:rPr>
          <w:rFonts w:ascii="Times New Roman" w:hAnsi="Times New Roman" w:eastAsia="黑体" w:cs="Times New Roman"/>
          <w:bCs/>
          <w:i w:val="0"/>
          <w:iCs w:val="0"/>
          <w:color w:val="000000" w:themeColor="text1"/>
          <w:kern w:val="2"/>
          <w:sz w:val="24"/>
          <w14:textFill>
            <w14:solidFill>
              <w14:schemeClr w14:val="tx1"/>
            </w14:solidFill>
          </w14:textFill>
        </w:rPr>
      </w:pPr>
      <w:r>
        <w:rPr>
          <w:rFonts w:hint="eastAsia" w:ascii="Times New Roman" w:hAnsi="Times New Roman" w:eastAsia="黑体" w:cs="Times New Roman"/>
          <w:bCs/>
          <w:i w:val="0"/>
          <w:iCs w:val="0"/>
          <w:color w:val="000000" w:themeColor="text1"/>
          <w:kern w:val="2"/>
          <w:sz w:val="24"/>
          <w14:textFill>
            <w14:solidFill>
              <w14:schemeClr w14:val="tx1"/>
            </w14:solidFill>
          </w14:textFill>
        </w:rPr>
        <w:t>地表水水环境辐射影响分析结论</w:t>
      </w:r>
    </w:p>
    <w:p w14:paraId="115E6407">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项目采用干式磁选工艺对原料进行分选加工，原料毛矿无需进行清洗，生产过程中无需用水，不产生生产废水；项目周边无地表水体，项目不会对周围地表水环境造成影响。</w:t>
      </w:r>
    </w:p>
    <w:p w14:paraId="6D300F39">
      <w:pPr>
        <w:pStyle w:val="6"/>
        <w:widowControl w:val="0"/>
        <w:numPr>
          <w:ilvl w:val="3"/>
          <w:numId w:val="1"/>
        </w:numPr>
        <w:spacing w:before="0" w:line="360" w:lineRule="auto"/>
        <w:ind w:left="0" w:firstLine="0"/>
        <w:jc w:val="both"/>
        <w:rPr>
          <w:rFonts w:ascii="Times New Roman" w:hAnsi="Times New Roman" w:eastAsia="黑体" w:cs="Times New Roman"/>
          <w:bCs/>
          <w:i w:val="0"/>
          <w:iCs w:val="0"/>
          <w:color w:val="000000" w:themeColor="text1"/>
          <w:kern w:val="2"/>
          <w:sz w:val="24"/>
          <w14:textFill>
            <w14:solidFill>
              <w14:schemeClr w14:val="tx1"/>
            </w14:solidFill>
          </w14:textFill>
        </w:rPr>
      </w:pPr>
      <w:r>
        <w:rPr>
          <w:rFonts w:hint="eastAsia" w:ascii="Times New Roman" w:hAnsi="Times New Roman" w:eastAsia="黑体" w:cs="Times New Roman"/>
          <w:bCs/>
          <w:i w:val="0"/>
          <w:iCs w:val="0"/>
          <w:color w:val="000000" w:themeColor="text1"/>
          <w:kern w:val="2"/>
          <w:sz w:val="24"/>
          <w14:textFill>
            <w14:solidFill>
              <w14:schemeClr w14:val="tx1"/>
            </w14:solidFill>
          </w14:textFill>
        </w:rPr>
        <w:t>地下水辐射环境影响分析结论</w:t>
      </w:r>
    </w:p>
    <w:p w14:paraId="67C4DDC3">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项目建成后生产区均在厂房内，厂房采用封闭式设计，地面均进行了硬化及防渗处理，物料堆存不设置露天堆场，物料堆存均在车间内无雨水</w:t>
      </w:r>
      <w:bookmarkStart w:id="170" w:name="_GoBack"/>
      <w:r>
        <w:rPr>
          <w:rFonts w:hint="eastAsia" w:ascii="Times New Roman" w:hAnsi="Times New Roman" w:eastAsia="宋体" w:cs="Times New Roman"/>
          <w:color w:val="000000" w:themeColor="text1"/>
          <w:spacing w:val="-2"/>
          <w:sz w:val="24"/>
          <w:szCs w:val="20"/>
          <w14:textFill>
            <w14:solidFill>
              <w14:schemeClr w14:val="tx1"/>
            </w14:solidFill>
          </w14:textFill>
        </w:rPr>
        <w:t>淋溶</w:t>
      </w:r>
      <w:bookmarkEnd w:id="170"/>
      <w:r>
        <w:rPr>
          <w:rFonts w:hint="eastAsia" w:ascii="Times New Roman" w:hAnsi="Times New Roman" w:eastAsia="宋体" w:cs="Times New Roman"/>
          <w:color w:val="000000" w:themeColor="text1"/>
          <w:spacing w:val="-2"/>
          <w:sz w:val="24"/>
          <w:szCs w:val="20"/>
          <w14:textFill>
            <w14:solidFill>
              <w14:schemeClr w14:val="tx1"/>
            </w14:solidFill>
          </w14:textFill>
        </w:rPr>
        <w:t>情况，并且项目生产过程中无需用水，仅有少量的工作人员的生活污水产生。项目涉及放射性物料的整个厂房作为1个防渗分区，按一般防渗区及《伴生放射性物料贮存及固体废物填埋辐射环境保护技术规范（试行）》（HJ1114-2020）相关要求建设，对地下水环境影响较小。</w:t>
      </w:r>
    </w:p>
    <w:p w14:paraId="067C7CF3">
      <w:pPr>
        <w:pStyle w:val="6"/>
        <w:widowControl w:val="0"/>
        <w:numPr>
          <w:ilvl w:val="3"/>
          <w:numId w:val="1"/>
        </w:numPr>
        <w:spacing w:before="0" w:line="360" w:lineRule="auto"/>
        <w:ind w:left="0" w:firstLine="0"/>
        <w:jc w:val="both"/>
        <w:rPr>
          <w:rFonts w:ascii="Times New Roman" w:hAnsi="Times New Roman" w:eastAsia="黑体" w:cs="Times New Roman"/>
          <w:bCs/>
          <w:i w:val="0"/>
          <w:iCs w:val="0"/>
          <w:color w:val="000000" w:themeColor="text1"/>
          <w:kern w:val="2"/>
          <w:sz w:val="24"/>
          <w14:textFill>
            <w14:solidFill>
              <w14:schemeClr w14:val="tx1"/>
            </w14:solidFill>
          </w14:textFill>
        </w:rPr>
      </w:pPr>
      <w:r>
        <w:rPr>
          <w:rFonts w:hint="eastAsia" w:ascii="Times New Roman" w:hAnsi="Times New Roman" w:eastAsia="黑体" w:cs="Times New Roman"/>
          <w:bCs/>
          <w:i w:val="0"/>
          <w:iCs w:val="0"/>
          <w:color w:val="000000" w:themeColor="text1"/>
          <w:kern w:val="2"/>
          <w:sz w:val="24"/>
          <w14:textFill>
            <w14:solidFill>
              <w14:schemeClr w14:val="tx1"/>
            </w14:solidFill>
          </w14:textFill>
        </w:rPr>
        <w:t>固体废物辐射环境影响分析结论</w:t>
      </w:r>
    </w:p>
    <w:p w14:paraId="70D23A76">
      <w:pPr>
        <w:widowControl w:val="0"/>
        <w:spacing w:after="0" w:line="360" w:lineRule="auto"/>
        <w:ind w:firstLine="480"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项目含矿粉尘收集后均掺入副产品锆中矿堆放区，与锆中矿一并出售，根据《伴生放射性物料贮存及固体废物填埋辐射环境保护技术规范（试行）》（HJ1114-2020）中伴生放射性物料贮存的要求进行严格管理。</w:t>
      </w:r>
    </w:p>
    <w:p w14:paraId="4C19A5F2">
      <w:pPr>
        <w:pStyle w:val="6"/>
        <w:widowControl w:val="0"/>
        <w:numPr>
          <w:ilvl w:val="3"/>
          <w:numId w:val="1"/>
        </w:numPr>
        <w:spacing w:before="0" w:line="360" w:lineRule="auto"/>
        <w:ind w:left="0" w:firstLine="0"/>
        <w:jc w:val="both"/>
        <w:rPr>
          <w:rFonts w:ascii="Times New Roman" w:hAnsi="Times New Roman" w:eastAsia="黑体" w:cs="Times New Roman"/>
          <w:bCs/>
          <w:i w:val="0"/>
          <w:iCs w:val="0"/>
          <w:color w:val="000000" w:themeColor="text1"/>
          <w:kern w:val="2"/>
          <w:sz w:val="24"/>
          <w14:textFill>
            <w14:solidFill>
              <w14:schemeClr w14:val="tx1"/>
            </w14:solidFill>
          </w14:textFill>
        </w:rPr>
      </w:pPr>
      <w:r>
        <w:rPr>
          <w:rFonts w:hint="eastAsia" w:ascii="Times New Roman" w:hAnsi="Times New Roman" w:eastAsia="黑体" w:cs="Times New Roman"/>
          <w:bCs/>
          <w:i w:val="0"/>
          <w:iCs w:val="0"/>
          <w:color w:val="000000" w:themeColor="text1"/>
          <w:kern w:val="2"/>
          <w:sz w:val="24"/>
          <w14:textFill>
            <w14:solidFill>
              <w14:schemeClr w14:val="tx1"/>
            </w14:solidFill>
          </w14:textFill>
        </w:rPr>
        <w:t>涉及辐射工作人员剂量分析结论</w:t>
      </w:r>
    </w:p>
    <w:p w14:paraId="0F00101B">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u w:val="single"/>
          <w14:textFill>
            <w14:solidFill>
              <w14:schemeClr w14:val="tx1"/>
            </w14:solidFill>
          </w14:textFill>
        </w:rPr>
        <w:t>项目工作人员个人辐射剂量最大值出现在2#分选车间操作工位工作人员，个人有效剂量为3.4012mSv/a，</w:t>
      </w:r>
      <w:r>
        <w:rPr>
          <w:rFonts w:ascii="Times New Roman" w:hAnsi="Times New Roman" w:eastAsia="宋体" w:cs="Times New Roman"/>
          <w:color w:val="000000" w:themeColor="text1"/>
          <w:spacing w:val="-2"/>
          <w:sz w:val="24"/>
          <w:szCs w:val="20"/>
          <w14:textFill>
            <w14:solidFill>
              <w14:schemeClr w14:val="tx1"/>
            </w14:solidFill>
          </w14:textFill>
        </w:rPr>
        <w:t>小于本项目的管理限值5mSv/a，关键核素为</w:t>
      </w:r>
      <w:r>
        <w:rPr>
          <w:rFonts w:hint="eastAsia" w:ascii="Times New Roman" w:hAnsi="Times New Roman" w:eastAsia="宋体" w:cs="Times New Roman"/>
          <w:color w:val="000000" w:themeColor="text1"/>
          <w:spacing w:val="-2"/>
          <w:sz w:val="24"/>
          <w:szCs w:val="20"/>
          <w14:textFill>
            <w14:solidFill>
              <w14:schemeClr w14:val="tx1"/>
            </w14:solidFill>
          </w14:textFill>
        </w:rPr>
        <w:t>钍</w:t>
      </w:r>
      <w:r>
        <w:rPr>
          <w:rFonts w:ascii="Times New Roman" w:hAnsi="Times New Roman" w:eastAsia="宋体" w:cs="Times New Roman"/>
          <w:color w:val="000000" w:themeColor="text1"/>
          <w:spacing w:val="-2"/>
          <w:sz w:val="24"/>
          <w:szCs w:val="20"/>
          <w14:textFill>
            <w14:solidFill>
              <w14:schemeClr w14:val="tx1"/>
            </w14:solidFill>
          </w14:textFill>
        </w:rPr>
        <w:t>，关键照射途径为吸入</w:t>
      </w:r>
      <w:r>
        <w:rPr>
          <w:rFonts w:hint="eastAsia" w:ascii="Times New Roman" w:hAnsi="Times New Roman" w:eastAsia="宋体" w:cs="Times New Roman"/>
          <w:color w:val="000000" w:themeColor="text1"/>
          <w:spacing w:val="-2"/>
          <w:sz w:val="24"/>
          <w:szCs w:val="20"/>
          <w14:textFill>
            <w14:solidFill>
              <w14:schemeClr w14:val="tx1"/>
            </w14:solidFill>
          </w14:textFill>
        </w:rPr>
        <w:t>钍</w:t>
      </w:r>
      <w:r>
        <w:rPr>
          <w:rFonts w:ascii="Times New Roman" w:hAnsi="Times New Roman" w:eastAsia="宋体" w:cs="Times New Roman"/>
          <w:color w:val="000000" w:themeColor="text1"/>
          <w:spacing w:val="-2"/>
          <w:sz w:val="24"/>
          <w:szCs w:val="20"/>
          <w14:textFill>
            <w14:solidFill>
              <w14:schemeClr w14:val="tx1"/>
            </w14:solidFill>
          </w14:textFill>
        </w:rPr>
        <w:t>所致内照射。</w:t>
      </w:r>
    </w:p>
    <w:p w14:paraId="10769176">
      <w:pPr>
        <w:pStyle w:val="6"/>
        <w:widowControl w:val="0"/>
        <w:numPr>
          <w:ilvl w:val="3"/>
          <w:numId w:val="1"/>
        </w:numPr>
        <w:spacing w:before="0" w:line="360" w:lineRule="auto"/>
        <w:ind w:left="0" w:firstLine="0"/>
        <w:jc w:val="both"/>
        <w:rPr>
          <w:rFonts w:ascii="Times New Roman" w:hAnsi="Times New Roman" w:eastAsia="黑体" w:cs="Times New Roman"/>
          <w:bCs/>
          <w:i w:val="0"/>
          <w:iCs w:val="0"/>
          <w:color w:val="000000" w:themeColor="text1"/>
          <w:kern w:val="2"/>
          <w:sz w:val="24"/>
          <w14:textFill>
            <w14:solidFill>
              <w14:schemeClr w14:val="tx1"/>
            </w14:solidFill>
          </w14:textFill>
        </w:rPr>
      </w:pPr>
      <w:r>
        <w:rPr>
          <w:rFonts w:hint="eastAsia" w:ascii="Times New Roman" w:hAnsi="Times New Roman" w:eastAsia="黑体" w:cs="Times New Roman"/>
          <w:bCs/>
          <w:i w:val="0"/>
          <w:iCs w:val="0"/>
          <w:color w:val="000000" w:themeColor="text1"/>
          <w:kern w:val="2"/>
          <w:sz w:val="24"/>
          <w14:textFill>
            <w14:solidFill>
              <w14:schemeClr w14:val="tx1"/>
            </w14:solidFill>
          </w14:textFill>
        </w:rPr>
        <w:t>综合结论</w:t>
      </w:r>
    </w:p>
    <w:p w14:paraId="2FB71171">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4"/>
          <w14:textFill>
            <w14:solidFill>
              <w14:schemeClr w14:val="tx1"/>
            </w14:solidFill>
          </w14:textFill>
        </w:rPr>
        <w:t>广西瑞腾贸易有限公司拟建的锆钛矿石分选加工项目在全面落实本报告提出的各项辐射防护措施的基础上，本项目运营期的辐射影响不会明显增加当地环境的污染负荷，不会对周围敏感点造成明显影响，评价范围内公众成员、涉辐射工作人员的年有效剂量满足相关标准要求，项目在运行中严格落实管理和监测计划，从辐射环境保护角度出发，项目可行。</w:t>
      </w:r>
    </w:p>
    <w:bookmarkEnd w:id="167"/>
    <w:p w14:paraId="1D24F106">
      <w:pPr>
        <w:pStyle w:val="4"/>
        <w:widowControl w:val="0"/>
        <w:numPr>
          <w:ilvl w:val="1"/>
          <w:numId w:val="1"/>
        </w:numPr>
        <w:spacing w:before="0" w:line="360" w:lineRule="auto"/>
        <w:ind w:left="0" w:firstLine="0"/>
        <w:jc w:val="both"/>
        <w:rPr>
          <w:rFonts w:ascii="Times New Roman" w:hAnsi="Times New Roman" w:eastAsia="黑体" w:cs="Times New Roman"/>
          <w:b/>
          <w:bCs/>
          <w:color w:val="000000" w:themeColor="text1"/>
          <w:kern w:val="2"/>
          <w:sz w:val="28"/>
          <w:szCs w:val="32"/>
          <w14:textFill>
            <w14:solidFill>
              <w14:schemeClr w14:val="tx1"/>
            </w14:solidFill>
          </w14:textFill>
        </w:rPr>
      </w:pPr>
      <w:bookmarkStart w:id="168" w:name="_Toc187653487"/>
      <w:bookmarkStart w:id="169" w:name="_Toc78822700"/>
      <w:r>
        <w:rPr>
          <w:rFonts w:ascii="Times New Roman" w:hAnsi="Times New Roman" w:eastAsia="黑体" w:cs="Times New Roman"/>
          <w:b/>
          <w:bCs/>
          <w:color w:val="000000" w:themeColor="text1"/>
          <w:kern w:val="2"/>
          <w:sz w:val="28"/>
          <w:szCs w:val="32"/>
          <w14:textFill>
            <w14:solidFill>
              <w14:schemeClr w14:val="tx1"/>
            </w14:solidFill>
          </w14:textFill>
        </w:rPr>
        <w:t>存在的问题和建议</w:t>
      </w:r>
      <w:bookmarkEnd w:id="168"/>
      <w:bookmarkEnd w:id="169"/>
    </w:p>
    <w:p w14:paraId="2D3F25E8">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（1）</w:t>
      </w:r>
      <w:r>
        <w:rPr>
          <w:rFonts w:ascii="Times New Roman" w:hAnsi="Times New Roman" w:eastAsia="宋体" w:cs="Times New Roman"/>
          <w:color w:val="000000" w:themeColor="text1"/>
          <w:spacing w:val="-2"/>
          <w:sz w:val="24"/>
          <w:szCs w:val="20"/>
          <w14:textFill>
            <w14:solidFill>
              <w14:schemeClr w14:val="tx1"/>
            </w14:solidFill>
          </w14:textFill>
        </w:rPr>
        <w:t>生产过程中，加强对环保设施的维修管理，保证其正常运转，尽量减少污染物排放，避免对环境造成辐射影响。</w:t>
      </w:r>
    </w:p>
    <w:p w14:paraId="6A9E0DFE">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（2）</w:t>
      </w:r>
      <w:r>
        <w:rPr>
          <w:rFonts w:ascii="Times New Roman" w:hAnsi="Times New Roman" w:eastAsia="宋体" w:cs="Times New Roman"/>
          <w:color w:val="000000" w:themeColor="text1"/>
          <w:spacing w:val="-2"/>
          <w:sz w:val="24"/>
          <w:szCs w:val="20"/>
          <w14:textFill>
            <w14:solidFill>
              <w14:schemeClr w14:val="tx1"/>
            </w14:solidFill>
          </w14:textFill>
        </w:rPr>
        <w:t>建议员工在生产车间工作时，严格按照规定要求佩戴劳保用品。</w:t>
      </w:r>
    </w:p>
    <w:p w14:paraId="4C8BCBDF">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（3）</w:t>
      </w:r>
      <w:r>
        <w:rPr>
          <w:rFonts w:ascii="Times New Roman" w:hAnsi="Times New Roman" w:eastAsia="宋体" w:cs="Times New Roman"/>
          <w:color w:val="000000" w:themeColor="text1"/>
          <w:spacing w:val="-2"/>
          <w:sz w:val="24"/>
          <w:szCs w:val="20"/>
          <w14:textFill>
            <w14:solidFill>
              <w14:schemeClr w14:val="tx1"/>
            </w14:solidFill>
          </w14:textFill>
        </w:rPr>
        <w:t>生产过程中，加强环境管理，严格执行流出物和环境监测计划，确保污染物达标排放，尽可能减少对周围环境和敏感点的辐射环境影响。</w:t>
      </w:r>
    </w:p>
    <w:p w14:paraId="2A191ADB">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（4）</w:t>
      </w:r>
      <w:r>
        <w:rPr>
          <w:rFonts w:ascii="Times New Roman" w:hAnsi="Times New Roman" w:eastAsia="宋体" w:cs="Times New Roman"/>
          <w:color w:val="000000" w:themeColor="text1"/>
          <w:spacing w:val="-2"/>
          <w:sz w:val="24"/>
          <w:szCs w:val="20"/>
          <w14:textFill>
            <w14:solidFill>
              <w14:schemeClr w14:val="tx1"/>
            </w14:solidFill>
          </w14:textFill>
        </w:rPr>
        <w:t>建设单位应对原料、产品、独居石等物料建立台账，明确其来源、去向，做到账物相符。</w:t>
      </w:r>
    </w:p>
    <w:p w14:paraId="20280C2B">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p>
    <w:p w14:paraId="3B678179">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MS Mincho">
    <w:panose1 w:val="02020609040205080304"/>
    <w:charset w:val="80"/>
    <w:family w:val="modern"/>
    <w:pitch w:val="default"/>
    <w:sig w:usb0="E00002FF" w:usb1="6AC7FDFB" w:usb2="00000012" w:usb3="00000000" w:csb0="4002009F" w:csb1="DFD70000"/>
  </w:font>
  <w:font w:name="Courier New">
    <w:panose1 w:val="02070309020205020404"/>
    <w:charset w:val="00"/>
    <w:family w:val="modern"/>
    <w:pitch w:val="default"/>
    <w:sig w:usb0="E0002AFF" w:usb1="C0007843" w:usb2="00000009" w:usb3="00000000" w:csb0="400001FF" w:csb1="FFFF0000"/>
  </w:font>
  <w:font w:name="Consolas">
    <w:panose1 w:val="020B0609020204030204"/>
    <w:charset w:val="00"/>
    <w:family w:val="modern"/>
    <w:pitch w:val="default"/>
    <w:sig w:usb0="E10002FF" w:usb1="4000FCFF" w:usb2="00000009" w:usb3="00000000" w:csb0="6000019F" w:csb1="DFD70000"/>
  </w:font>
  <w:font w:name="Arial">
    <w:panose1 w:val="020B0604020202020204"/>
    <w:charset w:val="00"/>
    <w:family w:val="swiss"/>
    <w:pitch w:val="default"/>
    <w:sig w:usb0="E0002AFF" w:usb1="C0007843" w:usb2="00000009" w:usb3="00000000" w:csb0="400001FF" w:csb1="FFFF0000"/>
  </w:font>
  <w:font w:name="MingLiU">
    <w:panose1 w:val="02020509000000000000"/>
    <w:charset w:val="88"/>
    <w:family w:val="modern"/>
    <w:pitch w:val="default"/>
    <w:sig w:usb0="A00002FF" w:usb1="28CFFCFA" w:usb2="00000016" w:usb3="00000000" w:csb0="00100001" w:csb1="00000000"/>
  </w:font>
  <w:font w:name="Microsoft YaHei UI">
    <w:altName w:val="宋体"/>
    <w:panose1 w:val="020B0503020204020204"/>
    <w:charset w:val="86"/>
    <w:family w:val="swiss"/>
    <w:pitch w:val="default"/>
    <w:sig w:usb0="00000000" w:usb1="00000000" w:usb2="00000016" w:usb3="00000000" w:csb0="0004001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 w:name="TimesNewRomanPSMT">
    <w:altName w:val="Times New Roman"/>
    <w:panose1 w:val="00000000000000000000"/>
    <w:charset w:val="00"/>
    <w:family w:val="roman"/>
    <w:pitch w:val="default"/>
    <w:sig w:usb0="00000000" w:usb1="00000000" w:usb2="00000000" w:usb3="00000000" w:csb0="00040001" w:csb1="00000000"/>
  </w:font>
  <w:font w:name="等线">
    <w:altName w:val="微软雅黑"/>
    <w:panose1 w:val="02010600030101010101"/>
    <w:charset w:val="86"/>
    <w:family w:val="auto"/>
    <w:pitch w:val="default"/>
    <w:sig w:usb0="00000000" w:usb1="00000000" w:usb2="00000016" w:usb3="00000000" w:csb0="0004000F" w:csb1="00000000"/>
  </w:font>
  <w:font w:name="DengXian">
    <w:altName w:val="Segoe Print"/>
    <w:panose1 w:val="00000000000000000000"/>
    <w:charset w:val="00"/>
    <w:family w:val="auto"/>
    <w:pitch w:val="default"/>
    <w:sig w:usb0="00000000" w:usb1="00000000" w:usb2="00000000" w:usb3="00000000" w:csb0="00000000" w:csb1="00000000"/>
  </w:font>
  <w:font w:name="Verdana">
    <w:panose1 w:val="020B0604030504040204"/>
    <w:charset w:val="00"/>
    <w:family w:val="swiss"/>
    <w:pitch w:val="default"/>
    <w:sig w:usb0="A10006FF" w:usb1="4000205B" w:usb2="00000010" w:usb3="00000000" w:csb0="2000019F" w:csb1="00000000"/>
  </w:font>
  <w:font w:name="Batang">
    <w:panose1 w:val="02030600000101010101"/>
    <w:charset w:val="81"/>
    <w:family w:val="roman"/>
    <w:pitch w:val="default"/>
    <w:sig w:usb0="B00002AF" w:usb1="69D77CFB" w:usb2="00000030" w:usb3="00000000" w:csb0="4008009F" w:csb1="DFD70000"/>
  </w:font>
  <w:font w:name="Cambria Math">
    <w:panose1 w:val="02040503050406030204"/>
    <w:charset w:val="00"/>
    <w:family w:val="roman"/>
    <w:pitch w:val="default"/>
    <w:sig w:usb0="E00002FF" w:usb1="420024FF" w:usb2="00000000" w:usb3="00000000" w:csb0="2000019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14959910"/>
    </w:sdtPr>
    <w:sdtContent>
      <w:p w14:paraId="488070E8">
        <w:pPr>
          <w:pStyle w:val="29"/>
          <w:jc w:val="center"/>
        </w:pPr>
        <w:r>
          <w:fldChar w:fldCharType="begin"/>
        </w:r>
        <w:r>
          <w:instrText xml:space="preserve">PAGE   \* MERGEFORMAT</w:instrText>
        </w:r>
        <w:r>
          <w:fldChar w:fldCharType="separate"/>
        </w:r>
        <w:r>
          <w:rPr>
            <w:lang w:val="zh-CN"/>
          </w:rPr>
          <w:t>2</w:t>
        </w:r>
        <w:r>
          <w:fldChar w:fldCharType="end"/>
        </w:r>
      </w:p>
    </w:sdtContent>
  </w:sdt>
  <w:p w14:paraId="027841D6">
    <w:pPr>
      <w:pStyle w:val="2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62EA0">
    <w:pPr>
      <w:pStyle w:val="2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C30ECB">
    <w:pPr>
      <w:pStyle w:val="2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84135B">
    <w:pPr>
      <w:pStyle w:val="29"/>
      <w:framePr w:wrap="around" w:vAnchor="text" w:hAnchor="margin" w:xAlign="center" w:y="1"/>
      <w:ind w:firstLine="360"/>
      <w:rPr>
        <w:rStyle w:val="50"/>
      </w:rPr>
    </w:pPr>
    <w:r>
      <w:fldChar w:fldCharType="begin"/>
    </w:r>
    <w:r>
      <w:rPr>
        <w:rStyle w:val="50"/>
      </w:rPr>
      <w:instrText xml:space="preserve">PAGE  </w:instrText>
    </w:r>
    <w:r>
      <w:fldChar w:fldCharType="separate"/>
    </w:r>
    <w:r>
      <w:rPr>
        <w:rStyle w:val="50"/>
      </w:rPr>
      <w:t>126</w:t>
    </w:r>
    <w:r>
      <w:fldChar w:fldCharType="end"/>
    </w:r>
  </w:p>
  <w:p w14:paraId="4BE75343">
    <w:pPr>
      <w:pStyle w:val="29"/>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B3A38D">
    <w:pPr>
      <w:pStyle w:val="2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79680538"/>
    </w:sdtPr>
    <w:sdtContent>
      <w:p w14:paraId="0916076C">
        <w:pPr>
          <w:pStyle w:val="29"/>
          <w:jc w:val="center"/>
        </w:pPr>
        <w:r>
          <w:fldChar w:fldCharType="begin"/>
        </w:r>
        <w:r>
          <w:instrText xml:space="preserve">PAGE   \* MERGEFORMAT</w:instrText>
        </w:r>
        <w:r>
          <w:fldChar w:fldCharType="separate"/>
        </w:r>
        <w:r>
          <w:rPr>
            <w:lang w:val="zh-CN"/>
          </w:rPr>
          <w:t>2</w:t>
        </w:r>
        <w:r>
          <w:fldChar w:fldCharType="end"/>
        </w:r>
      </w:p>
    </w:sdtContent>
  </w:sdt>
  <w:p w14:paraId="2D276458">
    <w:pPr>
      <w:pStyle w:val="2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14281404"/>
    </w:sdtPr>
    <w:sdtContent>
      <w:p w14:paraId="76315A70">
        <w:pPr>
          <w:pStyle w:val="29"/>
          <w:jc w:val="center"/>
        </w:pPr>
        <w:r>
          <w:fldChar w:fldCharType="begin"/>
        </w:r>
        <w:r>
          <w:instrText xml:space="preserve">PAGE   \* MERGEFORMAT</w:instrText>
        </w:r>
        <w:r>
          <w:fldChar w:fldCharType="separate"/>
        </w:r>
        <w:r>
          <w:rPr>
            <w:lang w:val="zh-CN"/>
          </w:rPr>
          <w:t>2</w:t>
        </w:r>
        <w:r>
          <w:fldChar w:fldCharType="end"/>
        </w:r>
      </w:p>
    </w:sdtContent>
  </w:sdt>
  <w:p w14:paraId="5E6766CF">
    <w:pPr>
      <w:pStyle w:val="2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12" w:lineRule="auto"/>
      </w:pPr>
      <w:r>
        <w:separator/>
      </w:r>
    </w:p>
  </w:footnote>
  <w:footnote w:type="continuationSeparator" w:id="1">
    <w:p>
      <w:pPr>
        <w:spacing w:before="0" w:after="0" w:line="312"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0B6684">
    <w:pPr>
      <w:pStyle w:val="30"/>
      <w:ind w:firstLine="36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5FEE32">
    <w:pPr>
      <w:pStyle w:val="30"/>
      <w:ind w:firstLine="36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CCF6BC">
    <w:pPr>
      <w:pStyle w:val="30"/>
      <w:ind w:firstLine="36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4D455E1"/>
    <w:multiLevelType w:val="multilevel"/>
    <w:tmpl w:val="34D455E1"/>
    <w:lvl w:ilvl="0" w:tentative="0">
      <w:start w:val="1"/>
      <w:numFmt w:val="decimal"/>
      <w:lvlText w:val="%1."/>
      <w:lvlJc w:val="left"/>
      <w:pPr>
        <w:ind w:left="440" w:hanging="440"/>
      </w:pPr>
    </w:lvl>
    <w:lvl w:ilvl="1" w:tentative="0">
      <w:start w:val="1"/>
      <w:numFmt w:val="decimal"/>
      <w:isLgl/>
      <w:lvlText w:val="%1.%2"/>
      <w:lvlJc w:val="left"/>
      <w:pPr>
        <w:ind w:left="495" w:hanging="495"/>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1080" w:hanging="108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440" w:hanging="144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800" w:hanging="1800"/>
      </w:pPr>
      <w:rPr>
        <w:rFonts w:hint="default"/>
      </w:rPr>
    </w:lvl>
    <w:lvl w:ilvl="8" w:tentative="0">
      <w:start w:val="1"/>
      <w:numFmt w:val="decimal"/>
      <w:isLgl/>
      <w:lvlText w:val="%1.%2.%3.%4.%5.%6.%7.%8.%9"/>
      <w:lvlJc w:val="left"/>
      <w:pPr>
        <w:ind w:left="2160" w:hanging="21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I2NDYyZjM3YjdmZTFkYzA1NGE5M2I3MzYxMjdlNzMifQ=="/>
  </w:docVars>
  <w:rsids>
    <w:rsidRoot w:val="00594F84"/>
    <w:rsid w:val="000001B8"/>
    <w:rsid w:val="00001A1A"/>
    <w:rsid w:val="000070C2"/>
    <w:rsid w:val="0001179D"/>
    <w:rsid w:val="00014103"/>
    <w:rsid w:val="00016051"/>
    <w:rsid w:val="00020245"/>
    <w:rsid w:val="00020863"/>
    <w:rsid w:val="00021062"/>
    <w:rsid w:val="00022229"/>
    <w:rsid w:val="00022DA5"/>
    <w:rsid w:val="000242DF"/>
    <w:rsid w:val="00025D9F"/>
    <w:rsid w:val="000266A9"/>
    <w:rsid w:val="00026FE6"/>
    <w:rsid w:val="0002703D"/>
    <w:rsid w:val="00030A09"/>
    <w:rsid w:val="000314EC"/>
    <w:rsid w:val="000343F6"/>
    <w:rsid w:val="00034713"/>
    <w:rsid w:val="00035683"/>
    <w:rsid w:val="00037171"/>
    <w:rsid w:val="00037308"/>
    <w:rsid w:val="00037991"/>
    <w:rsid w:val="0004139D"/>
    <w:rsid w:val="0004224C"/>
    <w:rsid w:val="00042ED1"/>
    <w:rsid w:val="000440E4"/>
    <w:rsid w:val="000462D2"/>
    <w:rsid w:val="0005243B"/>
    <w:rsid w:val="0005284B"/>
    <w:rsid w:val="00052A42"/>
    <w:rsid w:val="00052E64"/>
    <w:rsid w:val="000546BE"/>
    <w:rsid w:val="00055EE4"/>
    <w:rsid w:val="00057329"/>
    <w:rsid w:val="00060AC1"/>
    <w:rsid w:val="00062569"/>
    <w:rsid w:val="00065140"/>
    <w:rsid w:val="00065B5F"/>
    <w:rsid w:val="00066638"/>
    <w:rsid w:val="0006693A"/>
    <w:rsid w:val="00067044"/>
    <w:rsid w:val="000704DB"/>
    <w:rsid w:val="00070BC0"/>
    <w:rsid w:val="00071F88"/>
    <w:rsid w:val="00072C8D"/>
    <w:rsid w:val="00073461"/>
    <w:rsid w:val="00073509"/>
    <w:rsid w:val="000737E5"/>
    <w:rsid w:val="000738E0"/>
    <w:rsid w:val="00074616"/>
    <w:rsid w:val="00075626"/>
    <w:rsid w:val="00081D66"/>
    <w:rsid w:val="00082812"/>
    <w:rsid w:val="00083EB4"/>
    <w:rsid w:val="000843AA"/>
    <w:rsid w:val="0008539D"/>
    <w:rsid w:val="00085712"/>
    <w:rsid w:val="00086A94"/>
    <w:rsid w:val="000901EB"/>
    <w:rsid w:val="000916D5"/>
    <w:rsid w:val="00093CE2"/>
    <w:rsid w:val="00094DDA"/>
    <w:rsid w:val="00097087"/>
    <w:rsid w:val="00097BD4"/>
    <w:rsid w:val="000A00C1"/>
    <w:rsid w:val="000A1D78"/>
    <w:rsid w:val="000A611D"/>
    <w:rsid w:val="000A69AB"/>
    <w:rsid w:val="000B0962"/>
    <w:rsid w:val="000B09BD"/>
    <w:rsid w:val="000B0E8F"/>
    <w:rsid w:val="000B2097"/>
    <w:rsid w:val="000B3389"/>
    <w:rsid w:val="000B38C5"/>
    <w:rsid w:val="000B579D"/>
    <w:rsid w:val="000C02BC"/>
    <w:rsid w:val="000C2A24"/>
    <w:rsid w:val="000C408D"/>
    <w:rsid w:val="000C4127"/>
    <w:rsid w:val="000C4806"/>
    <w:rsid w:val="000C4C92"/>
    <w:rsid w:val="000C4EF3"/>
    <w:rsid w:val="000C5945"/>
    <w:rsid w:val="000D2D64"/>
    <w:rsid w:val="000D40E5"/>
    <w:rsid w:val="000E11F2"/>
    <w:rsid w:val="000E2401"/>
    <w:rsid w:val="000E5F4F"/>
    <w:rsid w:val="000E6EA5"/>
    <w:rsid w:val="000E6FA9"/>
    <w:rsid w:val="000F257B"/>
    <w:rsid w:val="000F3019"/>
    <w:rsid w:val="000F34DC"/>
    <w:rsid w:val="000F34E2"/>
    <w:rsid w:val="000F3D68"/>
    <w:rsid w:val="000F6360"/>
    <w:rsid w:val="000F63BE"/>
    <w:rsid w:val="000F716B"/>
    <w:rsid w:val="000F749D"/>
    <w:rsid w:val="0010030C"/>
    <w:rsid w:val="00101D10"/>
    <w:rsid w:val="00102FBC"/>
    <w:rsid w:val="0010442B"/>
    <w:rsid w:val="00104CBF"/>
    <w:rsid w:val="00104E63"/>
    <w:rsid w:val="00105837"/>
    <w:rsid w:val="00106B56"/>
    <w:rsid w:val="00107292"/>
    <w:rsid w:val="0011189F"/>
    <w:rsid w:val="00114E01"/>
    <w:rsid w:val="00115E11"/>
    <w:rsid w:val="00120A2D"/>
    <w:rsid w:val="00120B11"/>
    <w:rsid w:val="00120F50"/>
    <w:rsid w:val="001213EB"/>
    <w:rsid w:val="001220F4"/>
    <w:rsid w:val="00123172"/>
    <w:rsid w:val="001302A8"/>
    <w:rsid w:val="00130406"/>
    <w:rsid w:val="00131829"/>
    <w:rsid w:val="0013283F"/>
    <w:rsid w:val="0013318E"/>
    <w:rsid w:val="00134557"/>
    <w:rsid w:val="00134DEE"/>
    <w:rsid w:val="00135719"/>
    <w:rsid w:val="00140324"/>
    <w:rsid w:val="001410DA"/>
    <w:rsid w:val="00143B95"/>
    <w:rsid w:val="00145B64"/>
    <w:rsid w:val="0014725A"/>
    <w:rsid w:val="001504F8"/>
    <w:rsid w:val="00152E92"/>
    <w:rsid w:val="001531DD"/>
    <w:rsid w:val="00155307"/>
    <w:rsid w:val="00156A4E"/>
    <w:rsid w:val="00157600"/>
    <w:rsid w:val="00157F78"/>
    <w:rsid w:val="00165BF1"/>
    <w:rsid w:val="00175B06"/>
    <w:rsid w:val="0017629E"/>
    <w:rsid w:val="00176E14"/>
    <w:rsid w:val="00180937"/>
    <w:rsid w:val="00181019"/>
    <w:rsid w:val="001848FB"/>
    <w:rsid w:val="00187274"/>
    <w:rsid w:val="00187E5F"/>
    <w:rsid w:val="001901AD"/>
    <w:rsid w:val="00192DC8"/>
    <w:rsid w:val="001942D0"/>
    <w:rsid w:val="00194552"/>
    <w:rsid w:val="00194973"/>
    <w:rsid w:val="001A0749"/>
    <w:rsid w:val="001A1F02"/>
    <w:rsid w:val="001A2B2D"/>
    <w:rsid w:val="001A2BFA"/>
    <w:rsid w:val="001A306D"/>
    <w:rsid w:val="001A36CF"/>
    <w:rsid w:val="001A3C83"/>
    <w:rsid w:val="001A5D10"/>
    <w:rsid w:val="001A640D"/>
    <w:rsid w:val="001A6C4E"/>
    <w:rsid w:val="001A7577"/>
    <w:rsid w:val="001B2A7E"/>
    <w:rsid w:val="001B77E1"/>
    <w:rsid w:val="001B7FF6"/>
    <w:rsid w:val="001C0ED2"/>
    <w:rsid w:val="001C5111"/>
    <w:rsid w:val="001C6A01"/>
    <w:rsid w:val="001C774D"/>
    <w:rsid w:val="001E073C"/>
    <w:rsid w:val="001E1FB6"/>
    <w:rsid w:val="001E201E"/>
    <w:rsid w:val="001E2F4B"/>
    <w:rsid w:val="001E33BC"/>
    <w:rsid w:val="001E740D"/>
    <w:rsid w:val="001E7B8F"/>
    <w:rsid w:val="001F05EC"/>
    <w:rsid w:val="001F1206"/>
    <w:rsid w:val="001F1C9E"/>
    <w:rsid w:val="001F40D6"/>
    <w:rsid w:val="001F533F"/>
    <w:rsid w:val="001F6DDF"/>
    <w:rsid w:val="001F7276"/>
    <w:rsid w:val="001F7706"/>
    <w:rsid w:val="001F7932"/>
    <w:rsid w:val="00200C28"/>
    <w:rsid w:val="0020156A"/>
    <w:rsid w:val="002023B2"/>
    <w:rsid w:val="00202FC7"/>
    <w:rsid w:val="0020428A"/>
    <w:rsid w:val="002057F0"/>
    <w:rsid w:val="00207F5E"/>
    <w:rsid w:val="00210C1F"/>
    <w:rsid w:val="00211464"/>
    <w:rsid w:val="00211891"/>
    <w:rsid w:val="002142F6"/>
    <w:rsid w:val="00214C73"/>
    <w:rsid w:val="0021623A"/>
    <w:rsid w:val="0021696C"/>
    <w:rsid w:val="002173AA"/>
    <w:rsid w:val="00217EC4"/>
    <w:rsid w:val="00220817"/>
    <w:rsid w:val="002211B6"/>
    <w:rsid w:val="00222116"/>
    <w:rsid w:val="00223446"/>
    <w:rsid w:val="00224A6F"/>
    <w:rsid w:val="00227F33"/>
    <w:rsid w:val="00230567"/>
    <w:rsid w:val="00231C4F"/>
    <w:rsid w:val="00232E9E"/>
    <w:rsid w:val="002331C6"/>
    <w:rsid w:val="00233E51"/>
    <w:rsid w:val="0024110C"/>
    <w:rsid w:val="0024163E"/>
    <w:rsid w:val="002441FA"/>
    <w:rsid w:val="00247814"/>
    <w:rsid w:val="00247F71"/>
    <w:rsid w:val="0025197E"/>
    <w:rsid w:val="00252747"/>
    <w:rsid w:val="00252B39"/>
    <w:rsid w:val="00255A97"/>
    <w:rsid w:val="00257BA5"/>
    <w:rsid w:val="00257BD3"/>
    <w:rsid w:val="002661CC"/>
    <w:rsid w:val="002708E9"/>
    <w:rsid w:val="00270CF8"/>
    <w:rsid w:val="00277F7E"/>
    <w:rsid w:val="00281BB7"/>
    <w:rsid w:val="00284042"/>
    <w:rsid w:val="00285513"/>
    <w:rsid w:val="002861B9"/>
    <w:rsid w:val="0029066C"/>
    <w:rsid w:val="00290BFC"/>
    <w:rsid w:val="00291259"/>
    <w:rsid w:val="00291F0C"/>
    <w:rsid w:val="00293B44"/>
    <w:rsid w:val="00294450"/>
    <w:rsid w:val="00294C2A"/>
    <w:rsid w:val="00297EC4"/>
    <w:rsid w:val="002A1271"/>
    <w:rsid w:val="002A42FC"/>
    <w:rsid w:val="002A45ED"/>
    <w:rsid w:val="002A5042"/>
    <w:rsid w:val="002B060C"/>
    <w:rsid w:val="002B1617"/>
    <w:rsid w:val="002B5809"/>
    <w:rsid w:val="002B6B61"/>
    <w:rsid w:val="002B7930"/>
    <w:rsid w:val="002B7996"/>
    <w:rsid w:val="002C00B6"/>
    <w:rsid w:val="002C04BF"/>
    <w:rsid w:val="002C2FB3"/>
    <w:rsid w:val="002D1B0D"/>
    <w:rsid w:val="002D1BBD"/>
    <w:rsid w:val="002D37D9"/>
    <w:rsid w:val="002D7C70"/>
    <w:rsid w:val="002E049D"/>
    <w:rsid w:val="002E0ABA"/>
    <w:rsid w:val="002E171E"/>
    <w:rsid w:val="002E1AB1"/>
    <w:rsid w:val="002E3715"/>
    <w:rsid w:val="002E37E1"/>
    <w:rsid w:val="002E52BB"/>
    <w:rsid w:val="002E6449"/>
    <w:rsid w:val="002E6828"/>
    <w:rsid w:val="002F4513"/>
    <w:rsid w:val="002F6912"/>
    <w:rsid w:val="003001E8"/>
    <w:rsid w:val="0030163D"/>
    <w:rsid w:val="00301B82"/>
    <w:rsid w:val="0030321E"/>
    <w:rsid w:val="00304E9A"/>
    <w:rsid w:val="00305B98"/>
    <w:rsid w:val="00306C7D"/>
    <w:rsid w:val="00307A84"/>
    <w:rsid w:val="003106ED"/>
    <w:rsid w:val="00311473"/>
    <w:rsid w:val="00317780"/>
    <w:rsid w:val="00317842"/>
    <w:rsid w:val="00321543"/>
    <w:rsid w:val="003215DB"/>
    <w:rsid w:val="00321C17"/>
    <w:rsid w:val="003235CA"/>
    <w:rsid w:val="003236A2"/>
    <w:rsid w:val="00323E81"/>
    <w:rsid w:val="00324A12"/>
    <w:rsid w:val="00326D29"/>
    <w:rsid w:val="003318FB"/>
    <w:rsid w:val="00331D0D"/>
    <w:rsid w:val="00335648"/>
    <w:rsid w:val="00337B4E"/>
    <w:rsid w:val="00337EB4"/>
    <w:rsid w:val="0034250B"/>
    <w:rsid w:val="00344B28"/>
    <w:rsid w:val="00345AE6"/>
    <w:rsid w:val="0035136E"/>
    <w:rsid w:val="00353728"/>
    <w:rsid w:val="003537F6"/>
    <w:rsid w:val="00355391"/>
    <w:rsid w:val="00355ED5"/>
    <w:rsid w:val="00360138"/>
    <w:rsid w:val="003617CA"/>
    <w:rsid w:val="0036279E"/>
    <w:rsid w:val="00362EC6"/>
    <w:rsid w:val="00363A63"/>
    <w:rsid w:val="00366D01"/>
    <w:rsid w:val="00366D4C"/>
    <w:rsid w:val="0037070A"/>
    <w:rsid w:val="00373966"/>
    <w:rsid w:val="0037740D"/>
    <w:rsid w:val="0037764B"/>
    <w:rsid w:val="0038070D"/>
    <w:rsid w:val="003843E0"/>
    <w:rsid w:val="00385310"/>
    <w:rsid w:val="00386F75"/>
    <w:rsid w:val="00387D7F"/>
    <w:rsid w:val="00391560"/>
    <w:rsid w:val="003958E0"/>
    <w:rsid w:val="003A1CFA"/>
    <w:rsid w:val="003A1E38"/>
    <w:rsid w:val="003A1FDB"/>
    <w:rsid w:val="003A29D6"/>
    <w:rsid w:val="003A3EBD"/>
    <w:rsid w:val="003A6AFD"/>
    <w:rsid w:val="003A7CB1"/>
    <w:rsid w:val="003B1FB7"/>
    <w:rsid w:val="003B4D5F"/>
    <w:rsid w:val="003B58B0"/>
    <w:rsid w:val="003C12D6"/>
    <w:rsid w:val="003C2511"/>
    <w:rsid w:val="003C6303"/>
    <w:rsid w:val="003C6499"/>
    <w:rsid w:val="003C786B"/>
    <w:rsid w:val="003D3176"/>
    <w:rsid w:val="003D4441"/>
    <w:rsid w:val="003D44B7"/>
    <w:rsid w:val="003D44C8"/>
    <w:rsid w:val="003D50E4"/>
    <w:rsid w:val="003D531E"/>
    <w:rsid w:val="003D564A"/>
    <w:rsid w:val="003D6E3F"/>
    <w:rsid w:val="003E0C35"/>
    <w:rsid w:val="003E116F"/>
    <w:rsid w:val="003E2D1B"/>
    <w:rsid w:val="003E31B5"/>
    <w:rsid w:val="003E3C14"/>
    <w:rsid w:val="003E3E4E"/>
    <w:rsid w:val="003E6436"/>
    <w:rsid w:val="003E7C5F"/>
    <w:rsid w:val="003F1FC6"/>
    <w:rsid w:val="003F1FE2"/>
    <w:rsid w:val="003F49E7"/>
    <w:rsid w:val="003F5862"/>
    <w:rsid w:val="003F5DDB"/>
    <w:rsid w:val="00400BC5"/>
    <w:rsid w:val="00401117"/>
    <w:rsid w:val="004027C5"/>
    <w:rsid w:val="004041A6"/>
    <w:rsid w:val="00406BF8"/>
    <w:rsid w:val="00406C2D"/>
    <w:rsid w:val="00406CB4"/>
    <w:rsid w:val="00406DF0"/>
    <w:rsid w:val="004079A7"/>
    <w:rsid w:val="00407D0E"/>
    <w:rsid w:val="00412271"/>
    <w:rsid w:val="004142B4"/>
    <w:rsid w:val="00417187"/>
    <w:rsid w:val="0041754C"/>
    <w:rsid w:val="00420ACD"/>
    <w:rsid w:val="00420D06"/>
    <w:rsid w:val="0042140B"/>
    <w:rsid w:val="004228E6"/>
    <w:rsid w:val="00422C45"/>
    <w:rsid w:val="00427B64"/>
    <w:rsid w:val="00427F3F"/>
    <w:rsid w:val="0043030E"/>
    <w:rsid w:val="0043062C"/>
    <w:rsid w:val="0043342C"/>
    <w:rsid w:val="00435364"/>
    <w:rsid w:val="00436D6B"/>
    <w:rsid w:val="004379CF"/>
    <w:rsid w:val="004407E2"/>
    <w:rsid w:val="004426F6"/>
    <w:rsid w:val="004438A9"/>
    <w:rsid w:val="00443AC9"/>
    <w:rsid w:val="00443E5B"/>
    <w:rsid w:val="00444BD1"/>
    <w:rsid w:val="00444F10"/>
    <w:rsid w:val="004473B9"/>
    <w:rsid w:val="00450024"/>
    <w:rsid w:val="00453C6E"/>
    <w:rsid w:val="004544FF"/>
    <w:rsid w:val="00456B73"/>
    <w:rsid w:val="00460229"/>
    <w:rsid w:val="0046185A"/>
    <w:rsid w:val="0046217A"/>
    <w:rsid w:val="0046275D"/>
    <w:rsid w:val="004628DF"/>
    <w:rsid w:val="00462B1F"/>
    <w:rsid w:val="00464540"/>
    <w:rsid w:val="00464661"/>
    <w:rsid w:val="00466E6D"/>
    <w:rsid w:val="0047293D"/>
    <w:rsid w:val="00474292"/>
    <w:rsid w:val="00474D19"/>
    <w:rsid w:val="0047706C"/>
    <w:rsid w:val="004773EA"/>
    <w:rsid w:val="004807F7"/>
    <w:rsid w:val="00483FAB"/>
    <w:rsid w:val="00484157"/>
    <w:rsid w:val="004847D1"/>
    <w:rsid w:val="0048596F"/>
    <w:rsid w:val="00486283"/>
    <w:rsid w:val="0049135C"/>
    <w:rsid w:val="00491E86"/>
    <w:rsid w:val="00493B24"/>
    <w:rsid w:val="00494694"/>
    <w:rsid w:val="00495097"/>
    <w:rsid w:val="004961AA"/>
    <w:rsid w:val="004969ED"/>
    <w:rsid w:val="00496F6E"/>
    <w:rsid w:val="004977EF"/>
    <w:rsid w:val="004A078B"/>
    <w:rsid w:val="004A0E80"/>
    <w:rsid w:val="004A0EF0"/>
    <w:rsid w:val="004A22B7"/>
    <w:rsid w:val="004A33C7"/>
    <w:rsid w:val="004A4152"/>
    <w:rsid w:val="004A427A"/>
    <w:rsid w:val="004A43D4"/>
    <w:rsid w:val="004A4903"/>
    <w:rsid w:val="004A7D61"/>
    <w:rsid w:val="004B090C"/>
    <w:rsid w:val="004B1A62"/>
    <w:rsid w:val="004B1C88"/>
    <w:rsid w:val="004B202F"/>
    <w:rsid w:val="004B2517"/>
    <w:rsid w:val="004B2974"/>
    <w:rsid w:val="004B2B1C"/>
    <w:rsid w:val="004B4341"/>
    <w:rsid w:val="004C13F4"/>
    <w:rsid w:val="004C48C8"/>
    <w:rsid w:val="004C5577"/>
    <w:rsid w:val="004C561D"/>
    <w:rsid w:val="004C6A16"/>
    <w:rsid w:val="004C7C7E"/>
    <w:rsid w:val="004C7ECA"/>
    <w:rsid w:val="004C7F27"/>
    <w:rsid w:val="004D270C"/>
    <w:rsid w:val="004D6A30"/>
    <w:rsid w:val="004E173F"/>
    <w:rsid w:val="004E3295"/>
    <w:rsid w:val="004E3EF0"/>
    <w:rsid w:val="004E458F"/>
    <w:rsid w:val="004E4FDA"/>
    <w:rsid w:val="004E5350"/>
    <w:rsid w:val="004F4E59"/>
    <w:rsid w:val="004F55CD"/>
    <w:rsid w:val="004F5DBD"/>
    <w:rsid w:val="00500FB7"/>
    <w:rsid w:val="0050196A"/>
    <w:rsid w:val="00503294"/>
    <w:rsid w:val="0050435E"/>
    <w:rsid w:val="005044BC"/>
    <w:rsid w:val="0050705A"/>
    <w:rsid w:val="00507A77"/>
    <w:rsid w:val="00507BF8"/>
    <w:rsid w:val="005117C4"/>
    <w:rsid w:val="00511FC5"/>
    <w:rsid w:val="00514CDE"/>
    <w:rsid w:val="005214B8"/>
    <w:rsid w:val="0052207A"/>
    <w:rsid w:val="00524310"/>
    <w:rsid w:val="00525B15"/>
    <w:rsid w:val="00525BA1"/>
    <w:rsid w:val="005260C6"/>
    <w:rsid w:val="00526C71"/>
    <w:rsid w:val="00527D1B"/>
    <w:rsid w:val="00531020"/>
    <w:rsid w:val="005320C1"/>
    <w:rsid w:val="00536570"/>
    <w:rsid w:val="0054021E"/>
    <w:rsid w:val="005403E5"/>
    <w:rsid w:val="0054387A"/>
    <w:rsid w:val="00544343"/>
    <w:rsid w:val="00550B9F"/>
    <w:rsid w:val="00551315"/>
    <w:rsid w:val="00551748"/>
    <w:rsid w:val="005527E6"/>
    <w:rsid w:val="00555299"/>
    <w:rsid w:val="00555708"/>
    <w:rsid w:val="005627B8"/>
    <w:rsid w:val="005648BE"/>
    <w:rsid w:val="0056630B"/>
    <w:rsid w:val="005667B8"/>
    <w:rsid w:val="0056712F"/>
    <w:rsid w:val="00567A62"/>
    <w:rsid w:val="00567BFF"/>
    <w:rsid w:val="00570C1D"/>
    <w:rsid w:val="005728FA"/>
    <w:rsid w:val="0057407D"/>
    <w:rsid w:val="0057517C"/>
    <w:rsid w:val="0057617C"/>
    <w:rsid w:val="00576F4E"/>
    <w:rsid w:val="005771D5"/>
    <w:rsid w:val="00577CD6"/>
    <w:rsid w:val="00583F37"/>
    <w:rsid w:val="0058424D"/>
    <w:rsid w:val="00590940"/>
    <w:rsid w:val="00594F84"/>
    <w:rsid w:val="005974B6"/>
    <w:rsid w:val="00597C7C"/>
    <w:rsid w:val="005A0E34"/>
    <w:rsid w:val="005A1229"/>
    <w:rsid w:val="005A152D"/>
    <w:rsid w:val="005A15EE"/>
    <w:rsid w:val="005A2B04"/>
    <w:rsid w:val="005A4A25"/>
    <w:rsid w:val="005A4F26"/>
    <w:rsid w:val="005A6C0B"/>
    <w:rsid w:val="005A739A"/>
    <w:rsid w:val="005B2574"/>
    <w:rsid w:val="005B36FB"/>
    <w:rsid w:val="005B3A65"/>
    <w:rsid w:val="005B4653"/>
    <w:rsid w:val="005C148F"/>
    <w:rsid w:val="005C2060"/>
    <w:rsid w:val="005C2F68"/>
    <w:rsid w:val="005C3AC4"/>
    <w:rsid w:val="005D0B01"/>
    <w:rsid w:val="005D1585"/>
    <w:rsid w:val="005D381A"/>
    <w:rsid w:val="005D3918"/>
    <w:rsid w:val="005D4953"/>
    <w:rsid w:val="005D503C"/>
    <w:rsid w:val="005E1681"/>
    <w:rsid w:val="005E199B"/>
    <w:rsid w:val="005E2820"/>
    <w:rsid w:val="005E30C4"/>
    <w:rsid w:val="005E46C3"/>
    <w:rsid w:val="005E5885"/>
    <w:rsid w:val="005E5A8D"/>
    <w:rsid w:val="005E5C32"/>
    <w:rsid w:val="005E71D1"/>
    <w:rsid w:val="005E7B83"/>
    <w:rsid w:val="005E7E53"/>
    <w:rsid w:val="005F012B"/>
    <w:rsid w:val="005F0864"/>
    <w:rsid w:val="005F1405"/>
    <w:rsid w:val="005F1674"/>
    <w:rsid w:val="005F2C28"/>
    <w:rsid w:val="005F31C8"/>
    <w:rsid w:val="005F31FF"/>
    <w:rsid w:val="005F351F"/>
    <w:rsid w:val="005F487A"/>
    <w:rsid w:val="005F73DA"/>
    <w:rsid w:val="005F73DB"/>
    <w:rsid w:val="00602D1C"/>
    <w:rsid w:val="00602FFA"/>
    <w:rsid w:val="00607C63"/>
    <w:rsid w:val="00607C9B"/>
    <w:rsid w:val="00612172"/>
    <w:rsid w:val="00613392"/>
    <w:rsid w:val="006155AC"/>
    <w:rsid w:val="00615C2F"/>
    <w:rsid w:val="006173FA"/>
    <w:rsid w:val="00617953"/>
    <w:rsid w:val="0062020C"/>
    <w:rsid w:val="00621B86"/>
    <w:rsid w:val="00622071"/>
    <w:rsid w:val="006227F0"/>
    <w:rsid w:val="00623186"/>
    <w:rsid w:val="0062322B"/>
    <w:rsid w:val="0062559E"/>
    <w:rsid w:val="00625A67"/>
    <w:rsid w:val="006262E0"/>
    <w:rsid w:val="0062733E"/>
    <w:rsid w:val="00627CA5"/>
    <w:rsid w:val="006311E2"/>
    <w:rsid w:val="00631773"/>
    <w:rsid w:val="00633D89"/>
    <w:rsid w:val="00634F81"/>
    <w:rsid w:val="00636662"/>
    <w:rsid w:val="0064373F"/>
    <w:rsid w:val="0065067A"/>
    <w:rsid w:val="00653115"/>
    <w:rsid w:val="00653986"/>
    <w:rsid w:val="00656408"/>
    <w:rsid w:val="00656F1F"/>
    <w:rsid w:val="00660D1F"/>
    <w:rsid w:val="00660FB7"/>
    <w:rsid w:val="00661460"/>
    <w:rsid w:val="006617F1"/>
    <w:rsid w:val="00661F10"/>
    <w:rsid w:val="0066313E"/>
    <w:rsid w:val="00670ADB"/>
    <w:rsid w:val="00671D56"/>
    <w:rsid w:val="00674A0B"/>
    <w:rsid w:val="00675B52"/>
    <w:rsid w:val="00677597"/>
    <w:rsid w:val="00680C58"/>
    <w:rsid w:val="00681241"/>
    <w:rsid w:val="00683D49"/>
    <w:rsid w:val="00684133"/>
    <w:rsid w:val="006847E2"/>
    <w:rsid w:val="00686053"/>
    <w:rsid w:val="0069259A"/>
    <w:rsid w:val="006928D9"/>
    <w:rsid w:val="00695582"/>
    <w:rsid w:val="0069663D"/>
    <w:rsid w:val="006A062C"/>
    <w:rsid w:val="006A1E74"/>
    <w:rsid w:val="006A6B46"/>
    <w:rsid w:val="006A77B3"/>
    <w:rsid w:val="006A7928"/>
    <w:rsid w:val="006B1359"/>
    <w:rsid w:val="006B1B52"/>
    <w:rsid w:val="006B1F7C"/>
    <w:rsid w:val="006B4273"/>
    <w:rsid w:val="006B546E"/>
    <w:rsid w:val="006C0698"/>
    <w:rsid w:val="006C1334"/>
    <w:rsid w:val="006C47B3"/>
    <w:rsid w:val="006C4C45"/>
    <w:rsid w:val="006C58FC"/>
    <w:rsid w:val="006C5D67"/>
    <w:rsid w:val="006C5FF7"/>
    <w:rsid w:val="006C6A7F"/>
    <w:rsid w:val="006C7C76"/>
    <w:rsid w:val="006C7E34"/>
    <w:rsid w:val="006D42E8"/>
    <w:rsid w:val="006D6008"/>
    <w:rsid w:val="006D75A2"/>
    <w:rsid w:val="006D7E46"/>
    <w:rsid w:val="006E03FE"/>
    <w:rsid w:val="006E465B"/>
    <w:rsid w:val="006E6700"/>
    <w:rsid w:val="006E7253"/>
    <w:rsid w:val="006F05CE"/>
    <w:rsid w:val="006F0B1D"/>
    <w:rsid w:val="006F1ABF"/>
    <w:rsid w:val="006F6329"/>
    <w:rsid w:val="006F7769"/>
    <w:rsid w:val="007003C2"/>
    <w:rsid w:val="007043F5"/>
    <w:rsid w:val="007052F4"/>
    <w:rsid w:val="00706D51"/>
    <w:rsid w:val="00710B3D"/>
    <w:rsid w:val="0071359C"/>
    <w:rsid w:val="00714579"/>
    <w:rsid w:val="007145D8"/>
    <w:rsid w:val="007157CC"/>
    <w:rsid w:val="00717F0A"/>
    <w:rsid w:val="0072099B"/>
    <w:rsid w:val="007225FD"/>
    <w:rsid w:val="00725538"/>
    <w:rsid w:val="00725B6E"/>
    <w:rsid w:val="007306F7"/>
    <w:rsid w:val="00732BAF"/>
    <w:rsid w:val="00732D6B"/>
    <w:rsid w:val="00733312"/>
    <w:rsid w:val="007345D8"/>
    <w:rsid w:val="00736EAD"/>
    <w:rsid w:val="00740D82"/>
    <w:rsid w:val="007413AC"/>
    <w:rsid w:val="00742FA2"/>
    <w:rsid w:val="0074342B"/>
    <w:rsid w:val="00744869"/>
    <w:rsid w:val="0074520E"/>
    <w:rsid w:val="007469EC"/>
    <w:rsid w:val="00746E7D"/>
    <w:rsid w:val="00750228"/>
    <w:rsid w:val="00750B4F"/>
    <w:rsid w:val="00752571"/>
    <w:rsid w:val="00754772"/>
    <w:rsid w:val="0075688E"/>
    <w:rsid w:val="00761844"/>
    <w:rsid w:val="00761E61"/>
    <w:rsid w:val="007637E6"/>
    <w:rsid w:val="00764F83"/>
    <w:rsid w:val="0076502D"/>
    <w:rsid w:val="0076793A"/>
    <w:rsid w:val="007701D1"/>
    <w:rsid w:val="00770D0A"/>
    <w:rsid w:val="007750D1"/>
    <w:rsid w:val="00776CAA"/>
    <w:rsid w:val="00777C1D"/>
    <w:rsid w:val="00777D9B"/>
    <w:rsid w:val="00780D80"/>
    <w:rsid w:val="007810D0"/>
    <w:rsid w:val="00781C18"/>
    <w:rsid w:val="007820C0"/>
    <w:rsid w:val="007822F2"/>
    <w:rsid w:val="00782753"/>
    <w:rsid w:val="00783479"/>
    <w:rsid w:val="0078379C"/>
    <w:rsid w:val="0078393C"/>
    <w:rsid w:val="00784301"/>
    <w:rsid w:val="007847BE"/>
    <w:rsid w:val="00784902"/>
    <w:rsid w:val="007856C9"/>
    <w:rsid w:val="00786AAC"/>
    <w:rsid w:val="00791C02"/>
    <w:rsid w:val="00792BF1"/>
    <w:rsid w:val="00793523"/>
    <w:rsid w:val="007936B2"/>
    <w:rsid w:val="00793F7D"/>
    <w:rsid w:val="007956E4"/>
    <w:rsid w:val="00795B03"/>
    <w:rsid w:val="00795F75"/>
    <w:rsid w:val="00796749"/>
    <w:rsid w:val="007A1A16"/>
    <w:rsid w:val="007A27CD"/>
    <w:rsid w:val="007A3238"/>
    <w:rsid w:val="007A4A61"/>
    <w:rsid w:val="007A4C6C"/>
    <w:rsid w:val="007A6517"/>
    <w:rsid w:val="007B0D8C"/>
    <w:rsid w:val="007B1E04"/>
    <w:rsid w:val="007B44E3"/>
    <w:rsid w:val="007B4D49"/>
    <w:rsid w:val="007B4FAD"/>
    <w:rsid w:val="007B5684"/>
    <w:rsid w:val="007B5C16"/>
    <w:rsid w:val="007C04CC"/>
    <w:rsid w:val="007C0D87"/>
    <w:rsid w:val="007C4344"/>
    <w:rsid w:val="007C5C6A"/>
    <w:rsid w:val="007C5EBA"/>
    <w:rsid w:val="007C6CED"/>
    <w:rsid w:val="007C759B"/>
    <w:rsid w:val="007C765F"/>
    <w:rsid w:val="007C7DDB"/>
    <w:rsid w:val="007D2136"/>
    <w:rsid w:val="007D326C"/>
    <w:rsid w:val="007D435F"/>
    <w:rsid w:val="007E1253"/>
    <w:rsid w:val="007E2B21"/>
    <w:rsid w:val="007E37F2"/>
    <w:rsid w:val="007E41BE"/>
    <w:rsid w:val="007E64AD"/>
    <w:rsid w:val="007E6734"/>
    <w:rsid w:val="007E7DC9"/>
    <w:rsid w:val="007F3FFE"/>
    <w:rsid w:val="007F42A6"/>
    <w:rsid w:val="007F4478"/>
    <w:rsid w:val="007F4A12"/>
    <w:rsid w:val="007F7EA9"/>
    <w:rsid w:val="007F7FC7"/>
    <w:rsid w:val="0080022D"/>
    <w:rsid w:val="008008E7"/>
    <w:rsid w:val="0080093E"/>
    <w:rsid w:val="008021B9"/>
    <w:rsid w:val="008023AD"/>
    <w:rsid w:val="00803C26"/>
    <w:rsid w:val="008056E7"/>
    <w:rsid w:val="00813CAE"/>
    <w:rsid w:val="00814D0E"/>
    <w:rsid w:val="0081506F"/>
    <w:rsid w:val="008151F1"/>
    <w:rsid w:val="00815E11"/>
    <w:rsid w:val="00816308"/>
    <w:rsid w:val="008178E8"/>
    <w:rsid w:val="008200E3"/>
    <w:rsid w:val="008211C2"/>
    <w:rsid w:val="008243AC"/>
    <w:rsid w:val="008250AA"/>
    <w:rsid w:val="0082522C"/>
    <w:rsid w:val="00826C9E"/>
    <w:rsid w:val="008303FD"/>
    <w:rsid w:val="008341D0"/>
    <w:rsid w:val="008359AD"/>
    <w:rsid w:val="00835E70"/>
    <w:rsid w:val="00836C23"/>
    <w:rsid w:val="0084364C"/>
    <w:rsid w:val="00846727"/>
    <w:rsid w:val="00850A0B"/>
    <w:rsid w:val="00851AC5"/>
    <w:rsid w:val="00851C32"/>
    <w:rsid w:val="00852419"/>
    <w:rsid w:val="00852CF4"/>
    <w:rsid w:val="00854242"/>
    <w:rsid w:val="00856106"/>
    <w:rsid w:val="0085646F"/>
    <w:rsid w:val="0085686D"/>
    <w:rsid w:val="00856A24"/>
    <w:rsid w:val="0085710B"/>
    <w:rsid w:val="008576F0"/>
    <w:rsid w:val="00862AA5"/>
    <w:rsid w:val="008639D3"/>
    <w:rsid w:val="00866878"/>
    <w:rsid w:val="00867AE8"/>
    <w:rsid w:val="008709D2"/>
    <w:rsid w:val="00872F4A"/>
    <w:rsid w:val="008739BB"/>
    <w:rsid w:val="00873B71"/>
    <w:rsid w:val="00873EFD"/>
    <w:rsid w:val="00875CE1"/>
    <w:rsid w:val="00876F43"/>
    <w:rsid w:val="008771A8"/>
    <w:rsid w:val="00880273"/>
    <w:rsid w:val="00882931"/>
    <w:rsid w:val="008850FE"/>
    <w:rsid w:val="00885161"/>
    <w:rsid w:val="008852EE"/>
    <w:rsid w:val="008876C9"/>
    <w:rsid w:val="008939ED"/>
    <w:rsid w:val="00895AE9"/>
    <w:rsid w:val="00897A15"/>
    <w:rsid w:val="008A03E9"/>
    <w:rsid w:val="008A28D0"/>
    <w:rsid w:val="008A4DD8"/>
    <w:rsid w:val="008A589C"/>
    <w:rsid w:val="008A6122"/>
    <w:rsid w:val="008A70C5"/>
    <w:rsid w:val="008A7344"/>
    <w:rsid w:val="008A7445"/>
    <w:rsid w:val="008B0B4A"/>
    <w:rsid w:val="008B18C1"/>
    <w:rsid w:val="008B4A90"/>
    <w:rsid w:val="008C045E"/>
    <w:rsid w:val="008C1596"/>
    <w:rsid w:val="008C330E"/>
    <w:rsid w:val="008C37D9"/>
    <w:rsid w:val="008C43AC"/>
    <w:rsid w:val="008C584A"/>
    <w:rsid w:val="008D6CF0"/>
    <w:rsid w:val="008D6EC0"/>
    <w:rsid w:val="008D798F"/>
    <w:rsid w:val="008E0040"/>
    <w:rsid w:val="008E0814"/>
    <w:rsid w:val="008E0D27"/>
    <w:rsid w:val="008E1B35"/>
    <w:rsid w:val="008E5728"/>
    <w:rsid w:val="008E6662"/>
    <w:rsid w:val="008F04B3"/>
    <w:rsid w:val="008F0858"/>
    <w:rsid w:val="008F13FD"/>
    <w:rsid w:val="008F62F0"/>
    <w:rsid w:val="008F7F17"/>
    <w:rsid w:val="00902C8F"/>
    <w:rsid w:val="009050DD"/>
    <w:rsid w:val="00911720"/>
    <w:rsid w:val="0091294C"/>
    <w:rsid w:val="0091390B"/>
    <w:rsid w:val="00915A45"/>
    <w:rsid w:val="0091664D"/>
    <w:rsid w:val="0092052E"/>
    <w:rsid w:val="00922636"/>
    <w:rsid w:val="00922A90"/>
    <w:rsid w:val="009235EC"/>
    <w:rsid w:val="009241CD"/>
    <w:rsid w:val="009249E9"/>
    <w:rsid w:val="009304EE"/>
    <w:rsid w:val="009334E7"/>
    <w:rsid w:val="00934298"/>
    <w:rsid w:val="00934363"/>
    <w:rsid w:val="00934F4C"/>
    <w:rsid w:val="00935F2C"/>
    <w:rsid w:val="00937B79"/>
    <w:rsid w:val="009412A9"/>
    <w:rsid w:val="0094411C"/>
    <w:rsid w:val="00946B69"/>
    <w:rsid w:val="00950E41"/>
    <w:rsid w:val="0095162D"/>
    <w:rsid w:val="00951A54"/>
    <w:rsid w:val="00953C54"/>
    <w:rsid w:val="009547DE"/>
    <w:rsid w:val="00954BC3"/>
    <w:rsid w:val="00955234"/>
    <w:rsid w:val="00956993"/>
    <w:rsid w:val="0096071E"/>
    <w:rsid w:val="0096440C"/>
    <w:rsid w:val="00970261"/>
    <w:rsid w:val="00971298"/>
    <w:rsid w:val="00971879"/>
    <w:rsid w:val="00971FBC"/>
    <w:rsid w:val="009735C7"/>
    <w:rsid w:val="00973C72"/>
    <w:rsid w:val="009775C0"/>
    <w:rsid w:val="00977B73"/>
    <w:rsid w:val="00977C2F"/>
    <w:rsid w:val="00980080"/>
    <w:rsid w:val="009813D2"/>
    <w:rsid w:val="0098155B"/>
    <w:rsid w:val="00983294"/>
    <w:rsid w:val="00993F07"/>
    <w:rsid w:val="009950B3"/>
    <w:rsid w:val="0099613D"/>
    <w:rsid w:val="009962F6"/>
    <w:rsid w:val="009A1ACE"/>
    <w:rsid w:val="009A1ACF"/>
    <w:rsid w:val="009A28D8"/>
    <w:rsid w:val="009A3B67"/>
    <w:rsid w:val="009A3D7E"/>
    <w:rsid w:val="009A460C"/>
    <w:rsid w:val="009A5E6A"/>
    <w:rsid w:val="009A6078"/>
    <w:rsid w:val="009B1B3F"/>
    <w:rsid w:val="009B2377"/>
    <w:rsid w:val="009B2F5D"/>
    <w:rsid w:val="009B36DC"/>
    <w:rsid w:val="009B4874"/>
    <w:rsid w:val="009B54B0"/>
    <w:rsid w:val="009B5A5F"/>
    <w:rsid w:val="009C517A"/>
    <w:rsid w:val="009C7157"/>
    <w:rsid w:val="009D1A2F"/>
    <w:rsid w:val="009D1A56"/>
    <w:rsid w:val="009D37A4"/>
    <w:rsid w:val="009D7E10"/>
    <w:rsid w:val="009D7E3A"/>
    <w:rsid w:val="009E0635"/>
    <w:rsid w:val="009E0D7A"/>
    <w:rsid w:val="009E0DA3"/>
    <w:rsid w:val="009E12F3"/>
    <w:rsid w:val="009E13DA"/>
    <w:rsid w:val="009E31F6"/>
    <w:rsid w:val="009E33E1"/>
    <w:rsid w:val="009E62CB"/>
    <w:rsid w:val="009E6713"/>
    <w:rsid w:val="009F16B1"/>
    <w:rsid w:val="009F18B2"/>
    <w:rsid w:val="009F29B8"/>
    <w:rsid w:val="009F36EA"/>
    <w:rsid w:val="009F5C47"/>
    <w:rsid w:val="009F6109"/>
    <w:rsid w:val="009F680D"/>
    <w:rsid w:val="00A00B89"/>
    <w:rsid w:val="00A039A2"/>
    <w:rsid w:val="00A03C2E"/>
    <w:rsid w:val="00A044E0"/>
    <w:rsid w:val="00A05924"/>
    <w:rsid w:val="00A06C36"/>
    <w:rsid w:val="00A06DCE"/>
    <w:rsid w:val="00A074B1"/>
    <w:rsid w:val="00A10CDA"/>
    <w:rsid w:val="00A1615C"/>
    <w:rsid w:val="00A166FF"/>
    <w:rsid w:val="00A16F13"/>
    <w:rsid w:val="00A225B3"/>
    <w:rsid w:val="00A22BC0"/>
    <w:rsid w:val="00A235FD"/>
    <w:rsid w:val="00A245D5"/>
    <w:rsid w:val="00A25E87"/>
    <w:rsid w:val="00A26013"/>
    <w:rsid w:val="00A26476"/>
    <w:rsid w:val="00A2796F"/>
    <w:rsid w:val="00A30BD1"/>
    <w:rsid w:val="00A32C2F"/>
    <w:rsid w:val="00A35C61"/>
    <w:rsid w:val="00A3644B"/>
    <w:rsid w:val="00A41F34"/>
    <w:rsid w:val="00A438CF"/>
    <w:rsid w:val="00A44B95"/>
    <w:rsid w:val="00A46911"/>
    <w:rsid w:val="00A46E50"/>
    <w:rsid w:val="00A473CB"/>
    <w:rsid w:val="00A47F51"/>
    <w:rsid w:val="00A50B9F"/>
    <w:rsid w:val="00A50C34"/>
    <w:rsid w:val="00A52065"/>
    <w:rsid w:val="00A5257D"/>
    <w:rsid w:val="00A52B6D"/>
    <w:rsid w:val="00A55108"/>
    <w:rsid w:val="00A55E09"/>
    <w:rsid w:val="00A560F4"/>
    <w:rsid w:val="00A56903"/>
    <w:rsid w:val="00A610D7"/>
    <w:rsid w:val="00A624D6"/>
    <w:rsid w:val="00A63B5A"/>
    <w:rsid w:val="00A65BE0"/>
    <w:rsid w:val="00A67857"/>
    <w:rsid w:val="00A71055"/>
    <w:rsid w:val="00A724D7"/>
    <w:rsid w:val="00A747C0"/>
    <w:rsid w:val="00A74F5B"/>
    <w:rsid w:val="00A75A61"/>
    <w:rsid w:val="00A800FB"/>
    <w:rsid w:val="00A806B7"/>
    <w:rsid w:val="00A80928"/>
    <w:rsid w:val="00A82BE5"/>
    <w:rsid w:val="00A85070"/>
    <w:rsid w:val="00A87B8E"/>
    <w:rsid w:val="00A87BA0"/>
    <w:rsid w:val="00A92B8F"/>
    <w:rsid w:val="00A94C01"/>
    <w:rsid w:val="00A95725"/>
    <w:rsid w:val="00AA0977"/>
    <w:rsid w:val="00AA1789"/>
    <w:rsid w:val="00AA1ACD"/>
    <w:rsid w:val="00AA24D7"/>
    <w:rsid w:val="00AA2847"/>
    <w:rsid w:val="00AB0D9E"/>
    <w:rsid w:val="00AB2194"/>
    <w:rsid w:val="00AB298C"/>
    <w:rsid w:val="00AB2C5C"/>
    <w:rsid w:val="00AB4B63"/>
    <w:rsid w:val="00AB59B7"/>
    <w:rsid w:val="00AB7511"/>
    <w:rsid w:val="00AC0CCE"/>
    <w:rsid w:val="00AC1192"/>
    <w:rsid w:val="00AC15D6"/>
    <w:rsid w:val="00AC19B9"/>
    <w:rsid w:val="00AC3ECF"/>
    <w:rsid w:val="00AC4469"/>
    <w:rsid w:val="00AC52BA"/>
    <w:rsid w:val="00AC55E3"/>
    <w:rsid w:val="00AC6E17"/>
    <w:rsid w:val="00AD1261"/>
    <w:rsid w:val="00AD177A"/>
    <w:rsid w:val="00AD3697"/>
    <w:rsid w:val="00AD37AA"/>
    <w:rsid w:val="00AD5281"/>
    <w:rsid w:val="00AD65E5"/>
    <w:rsid w:val="00AD78DD"/>
    <w:rsid w:val="00AE3140"/>
    <w:rsid w:val="00AE3189"/>
    <w:rsid w:val="00AE72F9"/>
    <w:rsid w:val="00AF0678"/>
    <w:rsid w:val="00AF0B46"/>
    <w:rsid w:val="00AF4912"/>
    <w:rsid w:val="00AF578D"/>
    <w:rsid w:val="00AF57FF"/>
    <w:rsid w:val="00AF5DD7"/>
    <w:rsid w:val="00AF6096"/>
    <w:rsid w:val="00AF6DBC"/>
    <w:rsid w:val="00AF70F1"/>
    <w:rsid w:val="00AF737D"/>
    <w:rsid w:val="00B00D7A"/>
    <w:rsid w:val="00B0298B"/>
    <w:rsid w:val="00B03464"/>
    <w:rsid w:val="00B05212"/>
    <w:rsid w:val="00B106DC"/>
    <w:rsid w:val="00B10938"/>
    <w:rsid w:val="00B125AF"/>
    <w:rsid w:val="00B128C4"/>
    <w:rsid w:val="00B12E62"/>
    <w:rsid w:val="00B157D3"/>
    <w:rsid w:val="00B1783E"/>
    <w:rsid w:val="00B17F1D"/>
    <w:rsid w:val="00B21107"/>
    <w:rsid w:val="00B21637"/>
    <w:rsid w:val="00B23049"/>
    <w:rsid w:val="00B245B1"/>
    <w:rsid w:val="00B252B5"/>
    <w:rsid w:val="00B3081F"/>
    <w:rsid w:val="00B32EB4"/>
    <w:rsid w:val="00B33BA1"/>
    <w:rsid w:val="00B3421E"/>
    <w:rsid w:val="00B3528E"/>
    <w:rsid w:val="00B358BB"/>
    <w:rsid w:val="00B36F69"/>
    <w:rsid w:val="00B41387"/>
    <w:rsid w:val="00B41765"/>
    <w:rsid w:val="00B429CF"/>
    <w:rsid w:val="00B43B6A"/>
    <w:rsid w:val="00B44892"/>
    <w:rsid w:val="00B4771B"/>
    <w:rsid w:val="00B479CC"/>
    <w:rsid w:val="00B51751"/>
    <w:rsid w:val="00B535B0"/>
    <w:rsid w:val="00B55881"/>
    <w:rsid w:val="00B55F2F"/>
    <w:rsid w:val="00B56711"/>
    <w:rsid w:val="00B56A67"/>
    <w:rsid w:val="00B57237"/>
    <w:rsid w:val="00B60567"/>
    <w:rsid w:val="00B621AF"/>
    <w:rsid w:val="00B64414"/>
    <w:rsid w:val="00B64CE5"/>
    <w:rsid w:val="00B65047"/>
    <w:rsid w:val="00B66E69"/>
    <w:rsid w:val="00B7019A"/>
    <w:rsid w:val="00B70C83"/>
    <w:rsid w:val="00B72E16"/>
    <w:rsid w:val="00B74034"/>
    <w:rsid w:val="00B74E7D"/>
    <w:rsid w:val="00B7533C"/>
    <w:rsid w:val="00B775CC"/>
    <w:rsid w:val="00B814B9"/>
    <w:rsid w:val="00B8214C"/>
    <w:rsid w:val="00B821C1"/>
    <w:rsid w:val="00B85002"/>
    <w:rsid w:val="00B8721D"/>
    <w:rsid w:val="00B9185F"/>
    <w:rsid w:val="00B92362"/>
    <w:rsid w:val="00B92A7C"/>
    <w:rsid w:val="00B931F9"/>
    <w:rsid w:val="00B94393"/>
    <w:rsid w:val="00B9508D"/>
    <w:rsid w:val="00B95D4C"/>
    <w:rsid w:val="00B96A54"/>
    <w:rsid w:val="00B96F17"/>
    <w:rsid w:val="00B97A62"/>
    <w:rsid w:val="00BA1527"/>
    <w:rsid w:val="00BA5112"/>
    <w:rsid w:val="00BA7589"/>
    <w:rsid w:val="00BA7BF2"/>
    <w:rsid w:val="00BA7F1F"/>
    <w:rsid w:val="00BB0DA8"/>
    <w:rsid w:val="00BB0F43"/>
    <w:rsid w:val="00BB364B"/>
    <w:rsid w:val="00BB57D1"/>
    <w:rsid w:val="00BB76F5"/>
    <w:rsid w:val="00BC025C"/>
    <w:rsid w:val="00BC155E"/>
    <w:rsid w:val="00BC4EFA"/>
    <w:rsid w:val="00BC571A"/>
    <w:rsid w:val="00BC6A3D"/>
    <w:rsid w:val="00BD16C7"/>
    <w:rsid w:val="00BD1D26"/>
    <w:rsid w:val="00BD27BA"/>
    <w:rsid w:val="00BD36DE"/>
    <w:rsid w:val="00BD386D"/>
    <w:rsid w:val="00BD671C"/>
    <w:rsid w:val="00BD690A"/>
    <w:rsid w:val="00BE15C7"/>
    <w:rsid w:val="00BE2E71"/>
    <w:rsid w:val="00BF10F2"/>
    <w:rsid w:val="00BF2912"/>
    <w:rsid w:val="00BF2C34"/>
    <w:rsid w:val="00BF5EE7"/>
    <w:rsid w:val="00BF6002"/>
    <w:rsid w:val="00BF673D"/>
    <w:rsid w:val="00BF74EE"/>
    <w:rsid w:val="00C00039"/>
    <w:rsid w:val="00C00479"/>
    <w:rsid w:val="00C005F2"/>
    <w:rsid w:val="00C00785"/>
    <w:rsid w:val="00C029FE"/>
    <w:rsid w:val="00C05CA3"/>
    <w:rsid w:val="00C07C59"/>
    <w:rsid w:val="00C12543"/>
    <w:rsid w:val="00C16A34"/>
    <w:rsid w:val="00C16A98"/>
    <w:rsid w:val="00C179A8"/>
    <w:rsid w:val="00C17A09"/>
    <w:rsid w:val="00C20E9F"/>
    <w:rsid w:val="00C21833"/>
    <w:rsid w:val="00C22271"/>
    <w:rsid w:val="00C22DF5"/>
    <w:rsid w:val="00C23DE7"/>
    <w:rsid w:val="00C248DD"/>
    <w:rsid w:val="00C273B2"/>
    <w:rsid w:val="00C3349D"/>
    <w:rsid w:val="00C33978"/>
    <w:rsid w:val="00C34629"/>
    <w:rsid w:val="00C3541F"/>
    <w:rsid w:val="00C3606D"/>
    <w:rsid w:val="00C3659F"/>
    <w:rsid w:val="00C36AE7"/>
    <w:rsid w:val="00C37F33"/>
    <w:rsid w:val="00C4004F"/>
    <w:rsid w:val="00C41864"/>
    <w:rsid w:val="00C42B47"/>
    <w:rsid w:val="00C42FD5"/>
    <w:rsid w:val="00C439CC"/>
    <w:rsid w:val="00C444EB"/>
    <w:rsid w:val="00C45491"/>
    <w:rsid w:val="00C50172"/>
    <w:rsid w:val="00C51727"/>
    <w:rsid w:val="00C53135"/>
    <w:rsid w:val="00C54AC6"/>
    <w:rsid w:val="00C60723"/>
    <w:rsid w:val="00C618E1"/>
    <w:rsid w:val="00C63042"/>
    <w:rsid w:val="00C64AD1"/>
    <w:rsid w:val="00C65348"/>
    <w:rsid w:val="00C66156"/>
    <w:rsid w:val="00C66FFC"/>
    <w:rsid w:val="00C672D6"/>
    <w:rsid w:val="00C67668"/>
    <w:rsid w:val="00C677F6"/>
    <w:rsid w:val="00C71353"/>
    <w:rsid w:val="00C7226D"/>
    <w:rsid w:val="00C75A7A"/>
    <w:rsid w:val="00C77CAB"/>
    <w:rsid w:val="00C80573"/>
    <w:rsid w:val="00C80980"/>
    <w:rsid w:val="00C8291E"/>
    <w:rsid w:val="00C83199"/>
    <w:rsid w:val="00C83FFE"/>
    <w:rsid w:val="00C86D3D"/>
    <w:rsid w:val="00C86DAD"/>
    <w:rsid w:val="00C93AB0"/>
    <w:rsid w:val="00C95C99"/>
    <w:rsid w:val="00C9603D"/>
    <w:rsid w:val="00CA437D"/>
    <w:rsid w:val="00CA4542"/>
    <w:rsid w:val="00CA462F"/>
    <w:rsid w:val="00CA5091"/>
    <w:rsid w:val="00CA687D"/>
    <w:rsid w:val="00CA7695"/>
    <w:rsid w:val="00CB0D51"/>
    <w:rsid w:val="00CB124F"/>
    <w:rsid w:val="00CB1A9A"/>
    <w:rsid w:val="00CB2D29"/>
    <w:rsid w:val="00CB66A1"/>
    <w:rsid w:val="00CB6CB9"/>
    <w:rsid w:val="00CB78A4"/>
    <w:rsid w:val="00CC3B1B"/>
    <w:rsid w:val="00CC3E03"/>
    <w:rsid w:val="00CD0B9D"/>
    <w:rsid w:val="00CD1E7C"/>
    <w:rsid w:val="00CD3CCA"/>
    <w:rsid w:val="00CD6B88"/>
    <w:rsid w:val="00CE0110"/>
    <w:rsid w:val="00CE302B"/>
    <w:rsid w:val="00CE3864"/>
    <w:rsid w:val="00CE711F"/>
    <w:rsid w:val="00CE74C2"/>
    <w:rsid w:val="00CF0C84"/>
    <w:rsid w:val="00CF26C0"/>
    <w:rsid w:val="00CF28AB"/>
    <w:rsid w:val="00CF2CF9"/>
    <w:rsid w:val="00CF2D84"/>
    <w:rsid w:val="00CF3929"/>
    <w:rsid w:val="00CF3C14"/>
    <w:rsid w:val="00CF44C1"/>
    <w:rsid w:val="00CF483F"/>
    <w:rsid w:val="00CF6244"/>
    <w:rsid w:val="00D00A56"/>
    <w:rsid w:val="00D01DB2"/>
    <w:rsid w:val="00D03C72"/>
    <w:rsid w:val="00D057DC"/>
    <w:rsid w:val="00D06934"/>
    <w:rsid w:val="00D10C40"/>
    <w:rsid w:val="00D114C6"/>
    <w:rsid w:val="00D1233F"/>
    <w:rsid w:val="00D145D9"/>
    <w:rsid w:val="00D14F91"/>
    <w:rsid w:val="00D21D04"/>
    <w:rsid w:val="00D2280C"/>
    <w:rsid w:val="00D22BF5"/>
    <w:rsid w:val="00D23D4B"/>
    <w:rsid w:val="00D2709A"/>
    <w:rsid w:val="00D360E1"/>
    <w:rsid w:val="00D4035E"/>
    <w:rsid w:val="00D409E9"/>
    <w:rsid w:val="00D41727"/>
    <w:rsid w:val="00D42D0A"/>
    <w:rsid w:val="00D44F28"/>
    <w:rsid w:val="00D46388"/>
    <w:rsid w:val="00D53EBF"/>
    <w:rsid w:val="00D54ED7"/>
    <w:rsid w:val="00D6141C"/>
    <w:rsid w:val="00D653A9"/>
    <w:rsid w:val="00D653EE"/>
    <w:rsid w:val="00D70BD2"/>
    <w:rsid w:val="00D72261"/>
    <w:rsid w:val="00D732C7"/>
    <w:rsid w:val="00D73DC1"/>
    <w:rsid w:val="00D741D1"/>
    <w:rsid w:val="00D74A04"/>
    <w:rsid w:val="00D75235"/>
    <w:rsid w:val="00D75AB4"/>
    <w:rsid w:val="00D77989"/>
    <w:rsid w:val="00D92A88"/>
    <w:rsid w:val="00D930A4"/>
    <w:rsid w:val="00D933CA"/>
    <w:rsid w:val="00D957C5"/>
    <w:rsid w:val="00D96C56"/>
    <w:rsid w:val="00DA2459"/>
    <w:rsid w:val="00DA4955"/>
    <w:rsid w:val="00DA4E1F"/>
    <w:rsid w:val="00DA6B80"/>
    <w:rsid w:val="00DA78DE"/>
    <w:rsid w:val="00DB0E11"/>
    <w:rsid w:val="00DB55CC"/>
    <w:rsid w:val="00DB580A"/>
    <w:rsid w:val="00DB6473"/>
    <w:rsid w:val="00DC03DA"/>
    <w:rsid w:val="00DC2B91"/>
    <w:rsid w:val="00DC2E88"/>
    <w:rsid w:val="00DC57DD"/>
    <w:rsid w:val="00DD07AA"/>
    <w:rsid w:val="00DD309E"/>
    <w:rsid w:val="00DD4DFC"/>
    <w:rsid w:val="00DD6527"/>
    <w:rsid w:val="00DE3835"/>
    <w:rsid w:val="00DE5B69"/>
    <w:rsid w:val="00DE5EC8"/>
    <w:rsid w:val="00DE7591"/>
    <w:rsid w:val="00DF177B"/>
    <w:rsid w:val="00DF1ADE"/>
    <w:rsid w:val="00DF277F"/>
    <w:rsid w:val="00DF3DC8"/>
    <w:rsid w:val="00DF3FAB"/>
    <w:rsid w:val="00DF6EF9"/>
    <w:rsid w:val="00E00169"/>
    <w:rsid w:val="00E01853"/>
    <w:rsid w:val="00E023AA"/>
    <w:rsid w:val="00E04036"/>
    <w:rsid w:val="00E04075"/>
    <w:rsid w:val="00E042DF"/>
    <w:rsid w:val="00E04D08"/>
    <w:rsid w:val="00E058DB"/>
    <w:rsid w:val="00E1228D"/>
    <w:rsid w:val="00E12A42"/>
    <w:rsid w:val="00E12C5C"/>
    <w:rsid w:val="00E15362"/>
    <w:rsid w:val="00E21146"/>
    <w:rsid w:val="00E211B6"/>
    <w:rsid w:val="00E21954"/>
    <w:rsid w:val="00E21A18"/>
    <w:rsid w:val="00E21D28"/>
    <w:rsid w:val="00E22859"/>
    <w:rsid w:val="00E30FBF"/>
    <w:rsid w:val="00E316D0"/>
    <w:rsid w:val="00E3210E"/>
    <w:rsid w:val="00E335C5"/>
    <w:rsid w:val="00E35673"/>
    <w:rsid w:val="00E35722"/>
    <w:rsid w:val="00E364B7"/>
    <w:rsid w:val="00E37709"/>
    <w:rsid w:val="00E41A70"/>
    <w:rsid w:val="00E4352F"/>
    <w:rsid w:val="00E43DA1"/>
    <w:rsid w:val="00E44EF3"/>
    <w:rsid w:val="00E4556B"/>
    <w:rsid w:val="00E475AB"/>
    <w:rsid w:val="00E535E5"/>
    <w:rsid w:val="00E5398A"/>
    <w:rsid w:val="00E55D0A"/>
    <w:rsid w:val="00E55DCE"/>
    <w:rsid w:val="00E600AE"/>
    <w:rsid w:val="00E6234F"/>
    <w:rsid w:val="00E62C4D"/>
    <w:rsid w:val="00E6428E"/>
    <w:rsid w:val="00E66BBA"/>
    <w:rsid w:val="00E67690"/>
    <w:rsid w:val="00E67A30"/>
    <w:rsid w:val="00E70B52"/>
    <w:rsid w:val="00E7271F"/>
    <w:rsid w:val="00E73161"/>
    <w:rsid w:val="00E735D8"/>
    <w:rsid w:val="00E7427F"/>
    <w:rsid w:val="00E744F0"/>
    <w:rsid w:val="00E74FC3"/>
    <w:rsid w:val="00E751C3"/>
    <w:rsid w:val="00E757F8"/>
    <w:rsid w:val="00E77E84"/>
    <w:rsid w:val="00E81B53"/>
    <w:rsid w:val="00E82ED1"/>
    <w:rsid w:val="00E86506"/>
    <w:rsid w:val="00E87B90"/>
    <w:rsid w:val="00E90BC5"/>
    <w:rsid w:val="00E9109D"/>
    <w:rsid w:val="00E91F9D"/>
    <w:rsid w:val="00E920B0"/>
    <w:rsid w:val="00E92FFA"/>
    <w:rsid w:val="00E94CD4"/>
    <w:rsid w:val="00E96701"/>
    <w:rsid w:val="00EA001E"/>
    <w:rsid w:val="00EA146E"/>
    <w:rsid w:val="00EA1B4D"/>
    <w:rsid w:val="00EA1EC7"/>
    <w:rsid w:val="00EA46C7"/>
    <w:rsid w:val="00EA5361"/>
    <w:rsid w:val="00EA683C"/>
    <w:rsid w:val="00EA6A59"/>
    <w:rsid w:val="00EB0E07"/>
    <w:rsid w:val="00EB126D"/>
    <w:rsid w:val="00EB2A80"/>
    <w:rsid w:val="00EB3904"/>
    <w:rsid w:val="00EB4018"/>
    <w:rsid w:val="00EB5D78"/>
    <w:rsid w:val="00EB5D97"/>
    <w:rsid w:val="00EB7044"/>
    <w:rsid w:val="00EB70AB"/>
    <w:rsid w:val="00EB7817"/>
    <w:rsid w:val="00EC0D4A"/>
    <w:rsid w:val="00EC2822"/>
    <w:rsid w:val="00EC2F7A"/>
    <w:rsid w:val="00EC3386"/>
    <w:rsid w:val="00EC50EE"/>
    <w:rsid w:val="00ED0417"/>
    <w:rsid w:val="00ED08E5"/>
    <w:rsid w:val="00ED1C87"/>
    <w:rsid w:val="00ED424C"/>
    <w:rsid w:val="00ED642E"/>
    <w:rsid w:val="00ED770B"/>
    <w:rsid w:val="00ED77D3"/>
    <w:rsid w:val="00EE02C7"/>
    <w:rsid w:val="00EE05C5"/>
    <w:rsid w:val="00EE3139"/>
    <w:rsid w:val="00EE4655"/>
    <w:rsid w:val="00EE56DF"/>
    <w:rsid w:val="00EE6698"/>
    <w:rsid w:val="00EF03F7"/>
    <w:rsid w:val="00EF09FB"/>
    <w:rsid w:val="00EF2696"/>
    <w:rsid w:val="00EF3271"/>
    <w:rsid w:val="00EF51CC"/>
    <w:rsid w:val="00EF6837"/>
    <w:rsid w:val="00EF69A5"/>
    <w:rsid w:val="00EF7664"/>
    <w:rsid w:val="00EF7CDC"/>
    <w:rsid w:val="00EF7DD7"/>
    <w:rsid w:val="00F0672C"/>
    <w:rsid w:val="00F0681F"/>
    <w:rsid w:val="00F077DC"/>
    <w:rsid w:val="00F107EF"/>
    <w:rsid w:val="00F10EBA"/>
    <w:rsid w:val="00F12D25"/>
    <w:rsid w:val="00F175E8"/>
    <w:rsid w:val="00F21F30"/>
    <w:rsid w:val="00F220FF"/>
    <w:rsid w:val="00F24D74"/>
    <w:rsid w:val="00F25E8D"/>
    <w:rsid w:val="00F276B4"/>
    <w:rsid w:val="00F30877"/>
    <w:rsid w:val="00F33563"/>
    <w:rsid w:val="00F352A0"/>
    <w:rsid w:val="00F36E37"/>
    <w:rsid w:val="00F36E70"/>
    <w:rsid w:val="00F37CE1"/>
    <w:rsid w:val="00F403DA"/>
    <w:rsid w:val="00F40426"/>
    <w:rsid w:val="00F44D19"/>
    <w:rsid w:val="00F458A5"/>
    <w:rsid w:val="00F45E2E"/>
    <w:rsid w:val="00F45FCA"/>
    <w:rsid w:val="00F46202"/>
    <w:rsid w:val="00F476BB"/>
    <w:rsid w:val="00F516B1"/>
    <w:rsid w:val="00F526F6"/>
    <w:rsid w:val="00F550F5"/>
    <w:rsid w:val="00F556F6"/>
    <w:rsid w:val="00F607B5"/>
    <w:rsid w:val="00F60E6C"/>
    <w:rsid w:val="00F61415"/>
    <w:rsid w:val="00F63AB4"/>
    <w:rsid w:val="00F6524A"/>
    <w:rsid w:val="00F6600F"/>
    <w:rsid w:val="00F6697B"/>
    <w:rsid w:val="00F70FB3"/>
    <w:rsid w:val="00F736A2"/>
    <w:rsid w:val="00F7544E"/>
    <w:rsid w:val="00F7544F"/>
    <w:rsid w:val="00F779F9"/>
    <w:rsid w:val="00F810C8"/>
    <w:rsid w:val="00F839C9"/>
    <w:rsid w:val="00F841E3"/>
    <w:rsid w:val="00F84D45"/>
    <w:rsid w:val="00F87BD5"/>
    <w:rsid w:val="00F93269"/>
    <w:rsid w:val="00F93315"/>
    <w:rsid w:val="00F948FC"/>
    <w:rsid w:val="00F95047"/>
    <w:rsid w:val="00FA1053"/>
    <w:rsid w:val="00FA418D"/>
    <w:rsid w:val="00FA570D"/>
    <w:rsid w:val="00FA6545"/>
    <w:rsid w:val="00FB1492"/>
    <w:rsid w:val="00FB2240"/>
    <w:rsid w:val="00FB382A"/>
    <w:rsid w:val="00FB4710"/>
    <w:rsid w:val="00FB47D7"/>
    <w:rsid w:val="00FB534A"/>
    <w:rsid w:val="00FB5AAC"/>
    <w:rsid w:val="00FB79A6"/>
    <w:rsid w:val="00FC01B3"/>
    <w:rsid w:val="00FC0221"/>
    <w:rsid w:val="00FC1502"/>
    <w:rsid w:val="00FC1EA8"/>
    <w:rsid w:val="00FC2B4E"/>
    <w:rsid w:val="00FC58B9"/>
    <w:rsid w:val="00FC7117"/>
    <w:rsid w:val="00FC7603"/>
    <w:rsid w:val="00FD21BF"/>
    <w:rsid w:val="00FD3D4C"/>
    <w:rsid w:val="00FD4CF7"/>
    <w:rsid w:val="00FD5E30"/>
    <w:rsid w:val="00FD6692"/>
    <w:rsid w:val="00FD773B"/>
    <w:rsid w:val="00FE022F"/>
    <w:rsid w:val="00FE18DB"/>
    <w:rsid w:val="00FE66F8"/>
    <w:rsid w:val="00FE68F7"/>
    <w:rsid w:val="00FE6996"/>
    <w:rsid w:val="00FF1CCC"/>
    <w:rsid w:val="00FF1F43"/>
    <w:rsid w:val="00FF41CC"/>
    <w:rsid w:val="00FF4E95"/>
    <w:rsid w:val="00FF7BF7"/>
    <w:rsid w:val="02691FCE"/>
    <w:rsid w:val="043D09D3"/>
    <w:rsid w:val="048F4874"/>
    <w:rsid w:val="083D5871"/>
    <w:rsid w:val="08884D84"/>
    <w:rsid w:val="0ABF5013"/>
    <w:rsid w:val="0E516924"/>
    <w:rsid w:val="0F22458F"/>
    <w:rsid w:val="10017A19"/>
    <w:rsid w:val="11483D66"/>
    <w:rsid w:val="11702F3A"/>
    <w:rsid w:val="11A83264"/>
    <w:rsid w:val="136261DE"/>
    <w:rsid w:val="15891E60"/>
    <w:rsid w:val="15EE5FD1"/>
    <w:rsid w:val="15FB4C7F"/>
    <w:rsid w:val="1662268E"/>
    <w:rsid w:val="17C05FF9"/>
    <w:rsid w:val="188618C7"/>
    <w:rsid w:val="18B46B17"/>
    <w:rsid w:val="19287A29"/>
    <w:rsid w:val="1D682B0D"/>
    <w:rsid w:val="1DD10AA9"/>
    <w:rsid w:val="1E9B2A6E"/>
    <w:rsid w:val="1F130AD7"/>
    <w:rsid w:val="1F244029"/>
    <w:rsid w:val="1F3A2287"/>
    <w:rsid w:val="1FA3607E"/>
    <w:rsid w:val="1FFD0266"/>
    <w:rsid w:val="224909DE"/>
    <w:rsid w:val="243A2D8F"/>
    <w:rsid w:val="25867FD4"/>
    <w:rsid w:val="267D0C93"/>
    <w:rsid w:val="27BF1A0A"/>
    <w:rsid w:val="2A027E45"/>
    <w:rsid w:val="2A967AD1"/>
    <w:rsid w:val="2BF13CCD"/>
    <w:rsid w:val="2C763D7D"/>
    <w:rsid w:val="2D297497"/>
    <w:rsid w:val="2E1428B6"/>
    <w:rsid w:val="2F4D3910"/>
    <w:rsid w:val="2FAB16A4"/>
    <w:rsid w:val="2FFB15BE"/>
    <w:rsid w:val="30506217"/>
    <w:rsid w:val="30647164"/>
    <w:rsid w:val="357B23B5"/>
    <w:rsid w:val="35B37917"/>
    <w:rsid w:val="36901B27"/>
    <w:rsid w:val="37A84685"/>
    <w:rsid w:val="383C5AE5"/>
    <w:rsid w:val="39037259"/>
    <w:rsid w:val="3B17219A"/>
    <w:rsid w:val="3B404329"/>
    <w:rsid w:val="3BA26D92"/>
    <w:rsid w:val="3C7A1210"/>
    <w:rsid w:val="3CF7098C"/>
    <w:rsid w:val="3EB71137"/>
    <w:rsid w:val="3F412663"/>
    <w:rsid w:val="41746202"/>
    <w:rsid w:val="429A1C1E"/>
    <w:rsid w:val="4361159F"/>
    <w:rsid w:val="44991D93"/>
    <w:rsid w:val="45321187"/>
    <w:rsid w:val="45556EC2"/>
    <w:rsid w:val="46DE69BB"/>
    <w:rsid w:val="48567CB8"/>
    <w:rsid w:val="4976429F"/>
    <w:rsid w:val="49A31ED8"/>
    <w:rsid w:val="49D2118A"/>
    <w:rsid w:val="4C5616BD"/>
    <w:rsid w:val="52945984"/>
    <w:rsid w:val="52F2383B"/>
    <w:rsid w:val="532B7386"/>
    <w:rsid w:val="539E5BEF"/>
    <w:rsid w:val="53C733E2"/>
    <w:rsid w:val="55D53411"/>
    <w:rsid w:val="5726177E"/>
    <w:rsid w:val="576176AA"/>
    <w:rsid w:val="61ED089A"/>
    <w:rsid w:val="62593D9F"/>
    <w:rsid w:val="62DF233A"/>
    <w:rsid w:val="64220BE9"/>
    <w:rsid w:val="66372EE3"/>
    <w:rsid w:val="666A50FE"/>
    <w:rsid w:val="66904F7B"/>
    <w:rsid w:val="67066277"/>
    <w:rsid w:val="671D410F"/>
    <w:rsid w:val="68210DCA"/>
    <w:rsid w:val="6A160172"/>
    <w:rsid w:val="6A813E93"/>
    <w:rsid w:val="6C1E27E7"/>
    <w:rsid w:val="6C212D00"/>
    <w:rsid w:val="6E8746B1"/>
    <w:rsid w:val="710D4677"/>
    <w:rsid w:val="75FC065D"/>
    <w:rsid w:val="77ED6D6B"/>
    <w:rsid w:val="78854AE5"/>
    <w:rsid w:val="797509D8"/>
    <w:rsid w:val="7A313596"/>
    <w:rsid w:val="7B090F35"/>
    <w:rsid w:val="7B3867F0"/>
    <w:rsid w:val="7C4D7967"/>
    <w:rsid w:val="7CDC6A3C"/>
    <w:rsid w:val="7E014BC1"/>
    <w:rsid w:val="7F9414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0" w:semiHidden="0" w:name="caption"/>
    <w:lsdException w:qFormat="1" w:unhideWhenUsed="0" w:uiPriority="0" w:semiHidden="0"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nhideWhenUsed="0" w:uiPriority="0"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qFormat="1" w:unhideWhenUsed="0" w:uiPriority="0" w:semiHidden="0"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qFormat="1" w:unhideWhenUsed="0" w:uiPriority="0" w:semiHidden="0" w:name="HTML Acronym"/>
    <w:lsdException w:uiPriority="99"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uiPriority="99" w:name="HTML Typewriter"/>
    <w:lsdException w:qFormat="1" w:unhideWhenUsed="0" w:uiPriority="0" w:semiHidden="0" w:name="HTML Variable"/>
    <w:lsdException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after="160" w:line="312" w:lineRule="auto"/>
    </w:pPr>
    <w:rPr>
      <w:rFonts w:asciiTheme="minorHAnsi" w:hAnsiTheme="minorHAnsi" w:eastAsiaTheme="minorEastAsia" w:cstheme="minorBidi"/>
      <w:sz w:val="21"/>
      <w:szCs w:val="21"/>
      <w:lang w:val="en-US" w:eastAsia="zh-CN" w:bidi="ar-SA"/>
    </w:rPr>
  </w:style>
  <w:style w:type="paragraph" w:styleId="3">
    <w:name w:val="heading 1"/>
    <w:basedOn w:val="1"/>
    <w:next w:val="1"/>
    <w:link w:val="62"/>
    <w:qFormat/>
    <w:uiPriority w:val="0"/>
    <w:pPr>
      <w:keepNext/>
      <w:keepLines/>
      <w:pBdr>
        <w:left w:val="single" w:color="ED7D31" w:themeColor="accent2" w:sz="12" w:space="12"/>
      </w:pBdr>
      <w:spacing w:before="80" w:after="80" w:line="240" w:lineRule="auto"/>
      <w:outlineLvl w:val="0"/>
    </w:pPr>
    <w:rPr>
      <w:rFonts w:asciiTheme="majorHAnsi" w:hAnsiTheme="majorHAnsi" w:eastAsiaTheme="majorEastAsia" w:cstheme="majorBidi"/>
      <w:caps/>
      <w:spacing w:val="10"/>
      <w:sz w:val="36"/>
      <w:szCs w:val="36"/>
    </w:rPr>
  </w:style>
  <w:style w:type="paragraph" w:styleId="4">
    <w:name w:val="heading 2"/>
    <w:basedOn w:val="1"/>
    <w:next w:val="1"/>
    <w:link w:val="63"/>
    <w:unhideWhenUsed/>
    <w:qFormat/>
    <w:uiPriority w:val="0"/>
    <w:pPr>
      <w:keepNext/>
      <w:keepLines/>
      <w:spacing w:before="120" w:after="0" w:line="240" w:lineRule="auto"/>
      <w:outlineLvl w:val="1"/>
    </w:pPr>
    <w:rPr>
      <w:rFonts w:asciiTheme="majorHAnsi" w:hAnsiTheme="majorHAnsi" w:eastAsiaTheme="majorEastAsia" w:cstheme="majorBidi"/>
      <w:sz w:val="36"/>
      <w:szCs w:val="36"/>
    </w:rPr>
  </w:style>
  <w:style w:type="paragraph" w:styleId="5">
    <w:name w:val="heading 3"/>
    <w:basedOn w:val="1"/>
    <w:next w:val="1"/>
    <w:link w:val="64"/>
    <w:unhideWhenUsed/>
    <w:qFormat/>
    <w:uiPriority w:val="0"/>
    <w:pPr>
      <w:keepNext/>
      <w:keepLines/>
      <w:spacing w:before="80" w:after="0" w:line="240" w:lineRule="auto"/>
      <w:outlineLvl w:val="2"/>
    </w:pPr>
    <w:rPr>
      <w:rFonts w:asciiTheme="majorHAnsi" w:hAnsiTheme="majorHAnsi" w:eastAsiaTheme="majorEastAsia" w:cstheme="majorBidi"/>
      <w:caps/>
      <w:sz w:val="28"/>
      <w:szCs w:val="28"/>
    </w:rPr>
  </w:style>
  <w:style w:type="paragraph" w:styleId="6">
    <w:name w:val="heading 4"/>
    <w:basedOn w:val="1"/>
    <w:next w:val="1"/>
    <w:link w:val="65"/>
    <w:unhideWhenUsed/>
    <w:qFormat/>
    <w:uiPriority w:val="0"/>
    <w:pPr>
      <w:keepNext/>
      <w:keepLines/>
      <w:spacing w:before="80" w:after="0" w:line="240" w:lineRule="auto"/>
      <w:outlineLvl w:val="3"/>
    </w:pPr>
    <w:rPr>
      <w:rFonts w:asciiTheme="majorHAnsi" w:hAnsiTheme="majorHAnsi" w:eastAsiaTheme="majorEastAsia" w:cstheme="majorBidi"/>
      <w:i/>
      <w:iCs/>
      <w:sz w:val="28"/>
      <w:szCs w:val="28"/>
    </w:rPr>
  </w:style>
  <w:style w:type="paragraph" w:styleId="7">
    <w:name w:val="heading 5"/>
    <w:basedOn w:val="1"/>
    <w:next w:val="1"/>
    <w:link w:val="66"/>
    <w:unhideWhenUsed/>
    <w:qFormat/>
    <w:uiPriority w:val="0"/>
    <w:pPr>
      <w:keepNext/>
      <w:keepLines/>
      <w:spacing w:before="80" w:after="0" w:line="240" w:lineRule="auto"/>
      <w:outlineLvl w:val="4"/>
    </w:pPr>
    <w:rPr>
      <w:rFonts w:asciiTheme="majorHAnsi" w:hAnsiTheme="majorHAnsi" w:eastAsiaTheme="majorEastAsia" w:cstheme="majorBidi"/>
      <w:sz w:val="24"/>
      <w:szCs w:val="24"/>
    </w:rPr>
  </w:style>
  <w:style w:type="paragraph" w:styleId="8">
    <w:name w:val="heading 6"/>
    <w:basedOn w:val="1"/>
    <w:next w:val="1"/>
    <w:link w:val="67"/>
    <w:unhideWhenUsed/>
    <w:qFormat/>
    <w:uiPriority w:val="0"/>
    <w:pPr>
      <w:keepNext/>
      <w:keepLines/>
      <w:spacing w:before="80" w:after="0" w:line="240" w:lineRule="auto"/>
      <w:outlineLvl w:val="5"/>
    </w:pPr>
    <w:rPr>
      <w:rFonts w:asciiTheme="majorHAnsi" w:hAnsiTheme="majorHAnsi" w:eastAsiaTheme="majorEastAsia" w:cstheme="majorBidi"/>
      <w:i/>
      <w:iCs/>
      <w:sz w:val="24"/>
      <w:szCs w:val="24"/>
    </w:rPr>
  </w:style>
  <w:style w:type="paragraph" w:styleId="9">
    <w:name w:val="heading 7"/>
    <w:basedOn w:val="1"/>
    <w:next w:val="1"/>
    <w:link w:val="68"/>
    <w:unhideWhenUsed/>
    <w:qFormat/>
    <w:uiPriority w:val="0"/>
    <w:pPr>
      <w:keepNext/>
      <w:keepLines/>
      <w:spacing w:before="80" w:after="0" w:line="240" w:lineRule="auto"/>
      <w:outlineLvl w:val="6"/>
    </w:pPr>
    <w:rPr>
      <w:rFonts w:asciiTheme="majorHAnsi" w:hAnsiTheme="majorHAnsi" w:eastAsiaTheme="majorEastAsia" w:cstheme="majorBidi"/>
      <w:color w:val="595959" w:themeColor="text1" w:themeTint="A6"/>
      <w:sz w:val="24"/>
      <w:szCs w:val="24"/>
      <w14:textFill>
        <w14:solidFill>
          <w14:schemeClr w14:val="tx1">
            <w14:lumMod w14:val="65000"/>
            <w14:lumOff w14:val="35000"/>
          </w14:schemeClr>
        </w14:solidFill>
      </w14:textFill>
    </w:rPr>
  </w:style>
  <w:style w:type="paragraph" w:styleId="10">
    <w:name w:val="heading 8"/>
    <w:basedOn w:val="1"/>
    <w:next w:val="1"/>
    <w:link w:val="69"/>
    <w:unhideWhenUsed/>
    <w:qFormat/>
    <w:uiPriority w:val="0"/>
    <w:pPr>
      <w:keepNext/>
      <w:keepLines/>
      <w:spacing w:before="80" w:after="0" w:line="240" w:lineRule="auto"/>
      <w:outlineLvl w:val="7"/>
    </w:pPr>
    <w:rPr>
      <w:rFonts w:asciiTheme="majorHAnsi" w:hAnsiTheme="majorHAnsi" w:eastAsiaTheme="majorEastAsia" w:cstheme="majorBidi"/>
      <w:caps/>
    </w:rPr>
  </w:style>
  <w:style w:type="paragraph" w:styleId="11">
    <w:name w:val="heading 9"/>
    <w:basedOn w:val="1"/>
    <w:next w:val="1"/>
    <w:link w:val="70"/>
    <w:unhideWhenUsed/>
    <w:qFormat/>
    <w:uiPriority w:val="0"/>
    <w:pPr>
      <w:keepNext/>
      <w:keepLines/>
      <w:spacing w:before="80" w:after="0" w:line="240" w:lineRule="auto"/>
      <w:outlineLvl w:val="8"/>
    </w:pPr>
    <w:rPr>
      <w:rFonts w:asciiTheme="majorHAnsi" w:hAnsiTheme="majorHAnsi" w:eastAsiaTheme="majorEastAsia" w:cstheme="majorBidi"/>
      <w:i/>
      <w:iCs/>
      <w:caps/>
    </w:rPr>
  </w:style>
  <w:style w:type="character" w:default="1" w:styleId="48">
    <w:name w:val="Default Paragraph Font"/>
    <w:semiHidden/>
    <w:unhideWhenUsed/>
    <w:uiPriority w:val="1"/>
  </w:style>
  <w:style w:type="table" w:default="1" w:styleId="46">
    <w:name w:val="Normal Table"/>
    <w:semiHidden/>
    <w:unhideWhenUsed/>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paragraph" w:styleId="12">
    <w:name w:val="toc 7"/>
    <w:basedOn w:val="1"/>
    <w:next w:val="1"/>
    <w:qFormat/>
    <w:uiPriority w:val="39"/>
    <w:pPr>
      <w:widowControl w:val="0"/>
      <w:adjustRightInd w:val="0"/>
      <w:spacing w:after="0" w:line="360" w:lineRule="auto"/>
      <w:ind w:left="1440"/>
    </w:pPr>
    <w:rPr>
      <w:rFonts w:ascii="Calibri" w:hAnsi="Calibri" w:eastAsia="宋体" w:cs="Times New Roman"/>
      <w:kern w:val="2"/>
      <w:sz w:val="18"/>
      <w:szCs w:val="18"/>
    </w:rPr>
  </w:style>
  <w:style w:type="paragraph" w:styleId="13">
    <w:name w:val="Note Heading"/>
    <w:basedOn w:val="1"/>
    <w:next w:val="1"/>
    <w:link w:val="92"/>
    <w:qFormat/>
    <w:uiPriority w:val="0"/>
    <w:pPr>
      <w:widowControl w:val="0"/>
      <w:adjustRightInd w:val="0"/>
      <w:spacing w:after="0" w:line="312" w:lineRule="atLeast"/>
      <w:jc w:val="center"/>
      <w:textAlignment w:val="baseline"/>
    </w:pPr>
    <w:rPr>
      <w:rFonts w:ascii="Times New Roman" w:hAnsi="Times New Roman" w:eastAsia="宋体" w:cs="Times New Roman"/>
      <w:szCs w:val="20"/>
    </w:rPr>
  </w:style>
  <w:style w:type="paragraph" w:styleId="14">
    <w:name w:val="Normal Indent"/>
    <w:basedOn w:val="1"/>
    <w:link w:val="122"/>
    <w:qFormat/>
    <w:uiPriority w:val="0"/>
    <w:pPr>
      <w:widowControl w:val="0"/>
      <w:adjustRightInd w:val="0"/>
      <w:spacing w:after="0" w:line="360" w:lineRule="auto"/>
      <w:ind w:firstLine="420" w:firstLineChars="200"/>
    </w:pPr>
    <w:rPr>
      <w:rFonts w:ascii="宋体" w:hAnsi="宋体" w:eastAsia="宋体" w:cs="宋体"/>
      <w:color w:val="000000"/>
      <w:sz w:val="24"/>
    </w:rPr>
  </w:style>
  <w:style w:type="paragraph" w:styleId="15">
    <w:name w:val="caption"/>
    <w:basedOn w:val="1"/>
    <w:next w:val="1"/>
    <w:link w:val="87"/>
    <w:unhideWhenUsed/>
    <w:qFormat/>
    <w:uiPriority w:val="0"/>
    <w:pPr>
      <w:spacing w:line="240" w:lineRule="auto"/>
    </w:pPr>
    <w:rPr>
      <w:b/>
      <w:bCs/>
      <w:color w:val="ED7D31" w:themeColor="accent2"/>
      <w:spacing w:val="10"/>
      <w:sz w:val="16"/>
      <w:szCs w:val="16"/>
      <w14:textFill>
        <w14:solidFill>
          <w14:schemeClr w14:val="accent2"/>
        </w14:solidFill>
      </w14:textFill>
    </w:rPr>
  </w:style>
  <w:style w:type="paragraph" w:styleId="16">
    <w:name w:val="List Bullet"/>
    <w:basedOn w:val="1"/>
    <w:qFormat/>
    <w:uiPriority w:val="0"/>
    <w:pPr>
      <w:widowControl w:val="0"/>
      <w:tabs>
        <w:tab w:val="left" w:pos="420"/>
      </w:tabs>
      <w:overflowPunct w:val="0"/>
      <w:spacing w:after="0" w:line="240" w:lineRule="auto"/>
      <w:ind w:left="420"/>
      <w:jc w:val="both"/>
    </w:pPr>
    <w:rPr>
      <w:rFonts w:ascii="Times New Roman" w:hAnsi="Times New Roman" w:eastAsia="宋体" w:cs="Times New Roman"/>
      <w:kern w:val="2"/>
      <w:sz w:val="24"/>
    </w:rPr>
  </w:style>
  <w:style w:type="paragraph" w:styleId="17">
    <w:name w:val="Document Map"/>
    <w:basedOn w:val="1"/>
    <w:link w:val="93"/>
    <w:qFormat/>
    <w:uiPriority w:val="0"/>
    <w:pPr>
      <w:widowControl w:val="0"/>
      <w:shd w:val="clear" w:color="auto" w:fill="000080"/>
      <w:spacing w:after="0" w:line="240" w:lineRule="auto"/>
      <w:jc w:val="both"/>
    </w:pPr>
    <w:rPr>
      <w:rFonts w:ascii="Times New Roman" w:hAnsi="Times New Roman" w:eastAsia="宋体" w:cs="Times New Roman"/>
      <w:kern w:val="2"/>
    </w:rPr>
  </w:style>
  <w:style w:type="paragraph" w:styleId="18">
    <w:name w:val="annotation text"/>
    <w:basedOn w:val="1"/>
    <w:link w:val="88"/>
    <w:qFormat/>
    <w:uiPriority w:val="99"/>
    <w:pPr>
      <w:widowControl w:val="0"/>
      <w:spacing w:after="0" w:line="240" w:lineRule="auto"/>
      <w:ind w:firstLine="573"/>
    </w:pPr>
    <w:rPr>
      <w:rFonts w:eastAsia="宋体"/>
      <w:sz w:val="28"/>
    </w:rPr>
  </w:style>
  <w:style w:type="paragraph" w:styleId="19">
    <w:name w:val="Body Text 3"/>
    <w:basedOn w:val="1"/>
    <w:link w:val="94"/>
    <w:qFormat/>
    <w:uiPriority w:val="0"/>
    <w:pPr>
      <w:widowControl w:val="0"/>
      <w:autoSpaceDE w:val="0"/>
      <w:autoSpaceDN w:val="0"/>
      <w:adjustRightInd w:val="0"/>
      <w:spacing w:after="0" w:line="240" w:lineRule="auto"/>
      <w:jc w:val="both"/>
    </w:pPr>
    <w:rPr>
      <w:rFonts w:ascii="Times New Roman" w:hAnsi="Times New Roman" w:eastAsia="宋体" w:cs="Times New Roman"/>
      <w:color w:val="000000"/>
      <w:kern w:val="2"/>
      <w:sz w:val="18"/>
      <w:szCs w:val="28"/>
    </w:rPr>
  </w:style>
  <w:style w:type="paragraph" w:styleId="20">
    <w:name w:val="Body Text"/>
    <w:basedOn w:val="1"/>
    <w:link w:val="95"/>
    <w:qFormat/>
    <w:uiPriority w:val="0"/>
    <w:pPr>
      <w:widowControl w:val="0"/>
      <w:adjustRightInd w:val="0"/>
      <w:spacing w:before="100" w:beforeAutospacing="1" w:after="120" w:line="360" w:lineRule="auto"/>
    </w:pPr>
    <w:rPr>
      <w:rFonts w:ascii="Times New Roman" w:hAnsi="Times New Roman" w:eastAsia="宋体" w:cs="Times New Roman"/>
      <w:kern w:val="2"/>
      <w:sz w:val="24"/>
    </w:rPr>
  </w:style>
  <w:style w:type="paragraph" w:styleId="21">
    <w:name w:val="Body Text Indent"/>
    <w:basedOn w:val="1"/>
    <w:link w:val="96"/>
    <w:qFormat/>
    <w:uiPriority w:val="0"/>
    <w:pPr>
      <w:widowControl w:val="0"/>
      <w:adjustRightInd w:val="0"/>
      <w:spacing w:before="50" w:after="100" w:afterAutospacing="1" w:line="360" w:lineRule="auto"/>
      <w:ind w:left="720" w:leftChars="300"/>
    </w:pPr>
    <w:rPr>
      <w:rFonts w:ascii="宋体" w:hAnsi="宋体" w:eastAsia="宋体" w:cs="宋体"/>
      <w:color w:val="FF0000"/>
      <w:sz w:val="24"/>
    </w:rPr>
  </w:style>
  <w:style w:type="paragraph" w:styleId="22">
    <w:name w:val="toc 5"/>
    <w:basedOn w:val="1"/>
    <w:next w:val="1"/>
    <w:qFormat/>
    <w:uiPriority w:val="39"/>
    <w:pPr>
      <w:widowControl w:val="0"/>
      <w:adjustRightInd w:val="0"/>
      <w:spacing w:after="0" w:line="360" w:lineRule="auto"/>
      <w:ind w:left="960"/>
    </w:pPr>
    <w:rPr>
      <w:rFonts w:ascii="Calibri" w:hAnsi="Calibri" w:eastAsia="宋体" w:cs="Times New Roman"/>
      <w:kern w:val="2"/>
      <w:sz w:val="18"/>
      <w:szCs w:val="18"/>
    </w:rPr>
  </w:style>
  <w:style w:type="paragraph" w:styleId="23">
    <w:name w:val="toc 3"/>
    <w:basedOn w:val="1"/>
    <w:next w:val="1"/>
    <w:qFormat/>
    <w:uiPriority w:val="39"/>
    <w:pPr>
      <w:widowControl w:val="0"/>
      <w:adjustRightInd w:val="0"/>
      <w:spacing w:after="0" w:line="360" w:lineRule="auto"/>
      <w:ind w:left="480"/>
    </w:pPr>
    <w:rPr>
      <w:rFonts w:ascii="Calibri" w:hAnsi="Calibri" w:eastAsia="宋体" w:cs="Times New Roman"/>
      <w:i/>
      <w:iCs/>
      <w:kern w:val="2"/>
      <w:sz w:val="20"/>
      <w:szCs w:val="20"/>
    </w:rPr>
  </w:style>
  <w:style w:type="paragraph" w:styleId="24">
    <w:name w:val="Plain Text"/>
    <w:basedOn w:val="1"/>
    <w:link w:val="97"/>
    <w:qFormat/>
    <w:uiPriority w:val="0"/>
    <w:pPr>
      <w:widowControl w:val="0"/>
      <w:adjustRightInd w:val="0"/>
      <w:spacing w:after="0" w:line="360" w:lineRule="auto"/>
    </w:pPr>
    <w:rPr>
      <w:rFonts w:ascii="MS Mincho" w:hAnsi="Courier New" w:eastAsia="MS Mincho" w:cs="Times New Roman"/>
      <w:kern w:val="2"/>
      <w:sz w:val="24"/>
    </w:rPr>
  </w:style>
  <w:style w:type="paragraph" w:styleId="25">
    <w:name w:val="toc 8"/>
    <w:basedOn w:val="1"/>
    <w:next w:val="1"/>
    <w:qFormat/>
    <w:uiPriority w:val="39"/>
    <w:pPr>
      <w:widowControl w:val="0"/>
      <w:adjustRightInd w:val="0"/>
      <w:spacing w:after="0" w:line="360" w:lineRule="auto"/>
      <w:ind w:left="1680"/>
    </w:pPr>
    <w:rPr>
      <w:rFonts w:ascii="Calibri" w:hAnsi="Calibri" w:eastAsia="宋体" w:cs="Times New Roman"/>
      <w:kern w:val="2"/>
      <w:sz w:val="18"/>
      <w:szCs w:val="18"/>
    </w:rPr>
  </w:style>
  <w:style w:type="paragraph" w:styleId="26">
    <w:name w:val="Date"/>
    <w:basedOn w:val="1"/>
    <w:next w:val="1"/>
    <w:link w:val="98"/>
    <w:qFormat/>
    <w:uiPriority w:val="0"/>
    <w:pPr>
      <w:widowControl w:val="0"/>
      <w:adjustRightInd w:val="0"/>
      <w:spacing w:after="0" w:line="360" w:lineRule="auto"/>
      <w:jc w:val="both"/>
      <w:textAlignment w:val="baseline"/>
    </w:pPr>
    <w:rPr>
      <w:rFonts w:ascii="Times New Roman" w:hAnsi="Times New Roman" w:eastAsia="黑体" w:cs="Times New Roman"/>
      <w:sz w:val="24"/>
      <w:szCs w:val="20"/>
    </w:rPr>
  </w:style>
  <w:style w:type="paragraph" w:styleId="27">
    <w:name w:val="Body Text Indent 2"/>
    <w:basedOn w:val="1"/>
    <w:link w:val="119"/>
    <w:qFormat/>
    <w:uiPriority w:val="0"/>
    <w:pPr>
      <w:widowControl w:val="0"/>
      <w:adjustRightInd w:val="0"/>
      <w:spacing w:before="100" w:beforeAutospacing="1" w:after="120" w:line="480" w:lineRule="auto"/>
      <w:ind w:left="420" w:leftChars="200"/>
    </w:pPr>
    <w:rPr>
      <w:rFonts w:ascii="Times New Roman" w:hAnsi="Times New Roman" w:eastAsia="宋体" w:cs="Times New Roman"/>
      <w:kern w:val="2"/>
      <w:sz w:val="24"/>
    </w:rPr>
  </w:style>
  <w:style w:type="paragraph" w:styleId="28">
    <w:name w:val="Balloon Text"/>
    <w:basedOn w:val="1"/>
    <w:link w:val="90"/>
    <w:unhideWhenUsed/>
    <w:qFormat/>
    <w:uiPriority w:val="0"/>
    <w:pPr>
      <w:spacing w:after="0" w:line="240" w:lineRule="auto"/>
    </w:pPr>
    <w:rPr>
      <w:sz w:val="18"/>
      <w:szCs w:val="18"/>
    </w:rPr>
  </w:style>
  <w:style w:type="paragraph" w:styleId="29">
    <w:name w:val="footer"/>
    <w:basedOn w:val="1"/>
    <w:link w:val="85"/>
    <w:unhideWhenUsed/>
    <w:qFormat/>
    <w:uiPriority w:val="99"/>
    <w:pPr>
      <w:tabs>
        <w:tab w:val="center" w:pos="4153"/>
        <w:tab w:val="right" w:pos="8306"/>
      </w:tabs>
      <w:snapToGrid w:val="0"/>
      <w:spacing w:line="240" w:lineRule="auto"/>
    </w:pPr>
    <w:rPr>
      <w:sz w:val="18"/>
      <w:szCs w:val="18"/>
    </w:rPr>
  </w:style>
  <w:style w:type="paragraph" w:styleId="30">
    <w:name w:val="header"/>
    <w:basedOn w:val="1"/>
    <w:link w:val="84"/>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31">
    <w:name w:val="toc 1"/>
    <w:basedOn w:val="1"/>
    <w:next w:val="1"/>
    <w:qFormat/>
    <w:uiPriority w:val="39"/>
    <w:pPr>
      <w:widowControl w:val="0"/>
      <w:adjustRightInd w:val="0"/>
      <w:spacing w:before="120" w:after="120" w:line="360" w:lineRule="auto"/>
    </w:pPr>
    <w:rPr>
      <w:rFonts w:ascii="Calibri" w:hAnsi="Calibri" w:eastAsia="宋体" w:cs="Times New Roman"/>
      <w:b/>
      <w:bCs/>
      <w:caps/>
      <w:kern w:val="2"/>
      <w:sz w:val="20"/>
      <w:szCs w:val="20"/>
    </w:rPr>
  </w:style>
  <w:style w:type="paragraph" w:styleId="32">
    <w:name w:val="toc 4"/>
    <w:basedOn w:val="1"/>
    <w:next w:val="1"/>
    <w:qFormat/>
    <w:uiPriority w:val="39"/>
    <w:pPr>
      <w:widowControl w:val="0"/>
      <w:adjustRightInd w:val="0"/>
      <w:spacing w:after="0" w:line="360" w:lineRule="auto"/>
      <w:ind w:left="720"/>
    </w:pPr>
    <w:rPr>
      <w:rFonts w:ascii="Calibri" w:hAnsi="Calibri" w:eastAsia="宋体" w:cs="Times New Roman"/>
      <w:kern w:val="2"/>
      <w:sz w:val="18"/>
      <w:szCs w:val="18"/>
    </w:rPr>
  </w:style>
  <w:style w:type="paragraph" w:styleId="33">
    <w:name w:val="Subtitle"/>
    <w:basedOn w:val="1"/>
    <w:next w:val="1"/>
    <w:link w:val="72"/>
    <w:qFormat/>
    <w:uiPriority w:val="11"/>
    <w:pPr>
      <w:spacing w:after="240"/>
    </w:pPr>
    <w:rPr>
      <w:color w:val="000000" w:themeColor="text1"/>
      <w:sz w:val="24"/>
      <w:szCs w:val="24"/>
      <w14:textFill>
        <w14:solidFill>
          <w14:schemeClr w14:val="tx1"/>
        </w14:solidFill>
      </w14:textFill>
    </w:rPr>
  </w:style>
  <w:style w:type="paragraph" w:styleId="34">
    <w:name w:val="toc 6"/>
    <w:basedOn w:val="1"/>
    <w:next w:val="1"/>
    <w:qFormat/>
    <w:uiPriority w:val="39"/>
    <w:pPr>
      <w:widowControl w:val="0"/>
      <w:adjustRightInd w:val="0"/>
      <w:spacing w:after="0" w:line="360" w:lineRule="auto"/>
      <w:ind w:left="1200"/>
    </w:pPr>
    <w:rPr>
      <w:rFonts w:ascii="Calibri" w:hAnsi="Calibri" w:eastAsia="宋体" w:cs="Times New Roman"/>
      <w:kern w:val="2"/>
      <w:sz w:val="18"/>
      <w:szCs w:val="18"/>
    </w:rPr>
  </w:style>
  <w:style w:type="paragraph" w:styleId="35">
    <w:name w:val="Body Text Indent 3"/>
    <w:basedOn w:val="1"/>
    <w:link w:val="101"/>
    <w:qFormat/>
    <w:uiPriority w:val="0"/>
    <w:pPr>
      <w:widowControl w:val="0"/>
      <w:spacing w:after="0" w:line="500" w:lineRule="exact"/>
      <w:ind w:firstLine="480"/>
      <w:jc w:val="both"/>
    </w:pPr>
    <w:rPr>
      <w:rFonts w:ascii="Times New Roman" w:hAnsi="Times New Roman" w:eastAsia="宋体" w:cs="Times New Roman"/>
      <w:color w:val="000000"/>
      <w:sz w:val="24"/>
      <w:szCs w:val="20"/>
    </w:rPr>
  </w:style>
  <w:style w:type="paragraph" w:styleId="36">
    <w:name w:val="table of figures"/>
    <w:basedOn w:val="1"/>
    <w:next w:val="1"/>
    <w:qFormat/>
    <w:uiPriority w:val="0"/>
    <w:pPr>
      <w:widowControl w:val="0"/>
      <w:spacing w:after="0" w:line="560" w:lineRule="exact"/>
      <w:ind w:left="200" w:hanging="200" w:hangingChars="200"/>
      <w:jc w:val="both"/>
    </w:pPr>
    <w:rPr>
      <w:rFonts w:ascii="Times New Roman" w:hAnsi="Times New Roman" w:eastAsia="宋体" w:cs="Times New Roman"/>
      <w:kern w:val="2"/>
      <w:sz w:val="24"/>
    </w:rPr>
  </w:style>
  <w:style w:type="paragraph" w:styleId="37">
    <w:name w:val="toc 2"/>
    <w:basedOn w:val="1"/>
    <w:next w:val="1"/>
    <w:qFormat/>
    <w:uiPriority w:val="39"/>
    <w:pPr>
      <w:widowControl w:val="0"/>
      <w:adjustRightInd w:val="0"/>
      <w:spacing w:after="0" w:line="360" w:lineRule="auto"/>
      <w:ind w:left="240"/>
    </w:pPr>
    <w:rPr>
      <w:rFonts w:ascii="Calibri" w:hAnsi="Calibri" w:eastAsia="宋体" w:cs="Times New Roman"/>
      <w:smallCaps/>
      <w:kern w:val="2"/>
      <w:sz w:val="20"/>
      <w:szCs w:val="20"/>
    </w:rPr>
  </w:style>
  <w:style w:type="paragraph" w:styleId="38">
    <w:name w:val="toc 9"/>
    <w:basedOn w:val="1"/>
    <w:next w:val="1"/>
    <w:qFormat/>
    <w:uiPriority w:val="39"/>
    <w:pPr>
      <w:widowControl w:val="0"/>
      <w:adjustRightInd w:val="0"/>
      <w:spacing w:after="0" w:line="360" w:lineRule="auto"/>
      <w:ind w:left="1920"/>
    </w:pPr>
    <w:rPr>
      <w:rFonts w:ascii="Calibri" w:hAnsi="Calibri" w:eastAsia="宋体" w:cs="Times New Roman"/>
      <w:kern w:val="2"/>
      <w:sz w:val="18"/>
      <w:szCs w:val="18"/>
    </w:rPr>
  </w:style>
  <w:style w:type="paragraph" w:styleId="39">
    <w:name w:val="Body Text 2"/>
    <w:basedOn w:val="1"/>
    <w:link w:val="102"/>
    <w:qFormat/>
    <w:uiPriority w:val="0"/>
    <w:pPr>
      <w:widowControl w:val="0"/>
      <w:spacing w:after="0" w:line="240" w:lineRule="auto"/>
      <w:jc w:val="center"/>
    </w:pPr>
    <w:rPr>
      <w:rFonts w:ascii="Times New Roman" w:hAnsi="Times New Roman" w:eastAsia="宋体" w:cs="Times New Roman"/>
      <w:kern w:val="2"/>
      <w:sz w:val="18"/>
    </w:rPr>
  </w:style>
  <w:style w:type="paragraph" w:styleId="40">
    <w:name w:val="HTML Preformatted"/>
    <w:basedOn w:val="1"/>
    <w:link w:val="103"/>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Times New Roman" w:hAnsi="宋体" w:eastAsia="宋体" w:cs="宋体"/>
      <w:sz w:val="24"/>
    </w:rPr>
  </w:style>
  <w:style w:type="paragraph" w:styleId="41">
    <w:name w:val="Normal (Web)"/>
    <w:basedOn w:val="1"/>
    <w:qFormat/>
    <w:uiPriority w:val="0"/>
    <w:pPr>
      <w:widowControl w:val="0"/>
      <w:adjustRightInd w:val="0"/>
      <w:spacing w:before="100" w:beforeAutospacing="1" w:after="100" w:afterAutospacing="1" w:line="360" w:lineRule="auto"/>
    </w:pPr>
    <w:rPr>
      <w:rFonts w:ascii="Calibri" w:hAnsi="Calibri" w:eastAsia="宋体" w:cs="宋体"/>
      <w:sz w:val="24"/>
    </w:rPr>
  </w:style>
  <w:style w:type="paragraph" w:styleId="42">
    <w:name w:val="List Continue 3"/>
    <w:basedOn w:val="1"/>
    <w:qFormat/>
    <w:uiPriority w:val="0"/>
    <w:pPr>
      <w:widowControl w:val="0"/>
      <w:spacing w:after="120" w:line="240" w:lineRule="auto"/>
      <w:ind w:left="1260" w:leftChars="600"/>
      <w:jc w:val="both"/>
    </w:pPr>
    <w:rPr>
      <w:rFonts w:ascii="Times New Roman" w:hAnsi="Times New Roman" w:eastAsia="宋体" w:cs="Times New Roman"/>
      <w:color w:val="000000"/>
      <w:sz w:val="24"/>
      <w:szCs w:val="20"/>
    </w:rPr>
  </w:style>
  <w:style w:type="paragraph" w:styleId="43">
    <w:name w:val="index 1"/>
    <w:basedOn w:val="1"/>
    <w:next w:val="1"/>
    <w:qFormat/>
    <w:uiPriority w:val="0"/>
    <w:pPr>
      <w:widowControl w:val="0"/>
      <w:spacing w:after="0" w:line="360" w:lineRule="auto"/>
      <w:jc w:val="both"/>
    </w:pPr>
    <w:rPr>
      <w:rFonts w:ascii="Times New Roman" w:hAnsi="Times New Roman" w:eastAsia="宋体" w:cs="Times New Roman"/>
      <w:sz w:val="24"/>
    </w:rPr>
  </w:style>
  <w:style w:type="paragraph" w:styleId="44">
    <w:name w:val="Title"/>
    <w:basedOn w:val="1"/>
    <w:next w:val="1"/>
    <w:link w:val="71"/>
    <w:qFormat/>
    <w:uiPriority w:val="0"/>
    <w:pPr>
      <w:spacing w:after="0" w:line="240" w:lineRule="auto"/>
      <w:contextualSpacing/>
    </w:pPr>
    <w:rPr>
      <w:rFonts w:asciiTheme="majorHAnsi" w:hAnsiTheme="majorHAnsi" w:eastAsiaTheme="majorEastAsia" w:cstheme="majorBidi"/>
      <w:caps/>
      <w:spacing w:val="40"/>
      <w:sz w:val="76"/>
      <w:szCs w:val="76"/>
    </w:rPr>
  </w:style>
  <w:style w:type="paragraph" w:styleId="45">
    <w:name w:val="annotation subject"/>
    <w:basedOn w:val="18"/>
    <w:next w:val="18"/>
    <w:link w:val="91"/>
    <w:qFormat/>
    <w:uiPriority w:val="0"/>
    <w:pPr>
      <w:adjustRightInd w:val="0"/>
      <w:spacing w:line="360" w:lineRule="auto"/>
      <w:ind w:firstLine="0"/>
    </w:pPr>
    <w:rPr>
      <w:rFonts w:ascii="Times New Roman" w:hAnsi="Times New Roman" w:cs="Times New Roman"/>
      <w:b/>
      <w:bCs/>
      <w:kern w:val="2"/>
      <w:sz w:val="24"/>
    </w:rPr>
  </w:style>
  <w:style w:type="table" w:styleId="47">
    <w:name w:val="Table Grid"/>
    <w:basedOn w:val="46"/>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9">
    <w:name w:val="Strong"/>
    <w:basedOn w:val="48"/>
    <w:qFormat/>
    <w:uiPriority w:val="22"/>
    <w:rPr>
      <w:rFonts w:asciiTheme="minorHAnsi" w:hAnsiTheme="minorHAnsi" w:eastAsiaTheme="minorEastAsia" w:cstheme="minorBidi"/>
      <w:b/>
      <w:bCs/>
      <w:spacing w:val="0"/>
      <w:w w:val="100"/>
      <w:position w:val="0"/>
      <w:sz w:val="20"/>
      <w:szCs w:val="20"/>
    </w:rPr>
  </w:style>
  <w:style w:type="character" w:styleId="50">
    <w:name w:val="page number"/>
    <w:basedOn w:val="48"/>
    <w:qFormat/>
    <w:uiPriority w:val="0"/>
  </w:style>
  <w:style w:type="character" w:styleId="51">
    <w:name w:val="FollowedHyperlink"/>
    <w:qFormat/>
    <w:uiPriority w:val="0"/>
    <w:rPr>
      <w:color w:val="00AAE8"/>
      <w:u w:val="none"/>
    </w:rPr>
  </w:style>
  <w:style w:type="character" w:styleId="52">
    <w:name w:val="Emphasis"/>
    <w:basedOn w:val="48"/>
    <w:qFormat/>
    <w:uiPriority w:val="0"/>
    <w:rPr>
      <w:rFonts w:asciiTheme="minorHAnsi" w:hAnsiTheme="minorHAnsi" w:eastAsiaTheme="minorEastAsia" w:cstheme="minorBidi"/>
      <w:i/>
      <w:iCs/>
      <w:color w:val="C55A11" w:themeColor="accent2" w:themeShade="BF"/>
      <w:sz w:val="20"/>
      <w:szCs w:val="20"/>
    </w:rPr>
  </w:style>
  <w:style w:type="character" w:styleId="53">
    <w:name w:val="HTML Definition"/>
    <w:qFormat/>
    <w:uiPriority w:val="0"/>
    <w:rPr>
      <w:i/>
      <w:color w:val="555555"/>
      <w:sz w:val="21"/>
      <w:szCs w:val="21"/>
      <w:bdr w:val="single" w:color="CCCCCC" w:sz="6" w:space="0"/>
      <w:shd w:val="clear" w:color="auto" w:fill="EEEEEE"/>
    </w:rPr>
  </w:style>
  <w:style w:type="character" w:styleId="54">
    <w:name w:val="HTML Acronym"/>
    <w:basedOn w:val="48"/>
    <w:qFormat/>
    <w:uiPriority w:val="0"/>
  </w:style>
  <w:style w:type="character" w:styleId="55">
    <w:name w:val="HTML Variable"/>
    <w:qFormat/>
    <w:uiPriority w:val="0"/>
  </w:style>
  <w:style w:type="character" w:styleId="56">
    <w:name w:val="Hyperlink"/>
    <w:qFormat/>
    <w:uiPriority w:val="99"/>
    <w:rPr>
      <w:color w:val="0000FF"/>
      <w:u w:val="none"/>
    </w:rPr>
  </w:style>
  <w:style w:type="character" w:styleId="57">
    <w:name w:val="HTML Code"/>
    <w:qFormat/>
    <w:uiPriority w:val="0"/>
    <w:rPr>
      <w:rFonts w:hint="default" w:ascii="Consolas" w:hAnsi="Consolas" w:eastAsia="Consolas" w:cs="Consolas"/>
      <w:color w:val="C7254E"/>
      <w:sz w:val="21"/>
      <w:szCs w:val="21"/>
      <w:shd w:val="clear" w:color="auto" w:fill="F9F2F4"/>
    </w:rPr>
  </w:style>
  <w:style w:type="character" w:styleId="58">
    <w:name w:val="annotation reference"/>
    <w:qFormat/>
    <w:uiPriority w:val="99"/>
    <w:rPr>
      <w:sz w:val="21"/>
      <w:szCs w:val="21"/>
    </w:rPr>
  </w:style>
  <w:style w:type="character" w:styleId="59">
    <w:name w:val="HTML Cite"/>
    <w:qFormat/>
    <w:uiPriority w:val="0"/>
  </w:style>
  <w:style w:type="character" w:styleId="60">
    <w:name w:val="HTML Keyboard"/>
    <w:qFormat/>
    <w:uiPriority w:val="0"/>
    <w:rPr>
      <w:rFonts w:ascii="Consolas" w:hAnsi="Consolas" w:eastAsia="Consolas" w:cs="Consolas"/>
      <w:color w:val="FFFFFF"/>
      <w:sz w:val="21"/>
      <w:szCs w:val="21"/>
      <w:shd w:val="clear" w:color="auto" w:fill="333333"/>
    </w:rPr>
  </w:style>
  <w:style w:type="character" w:styleId="61">
    <w:name w:val="HTML Sample"/>
    <w:qFormat/>
    <w:uiPriority w:val="0"/>
    <w:rPr>
      <w:rFonts w:hint="default" w:ascii="Consolas" w:hAnsi="Consolas" w:eastAsia="Consolas" w:cs="Consolas"/>
      <w:sz w:val="21"/>
      <w:szCs w:val="21"/>
    </w:rPr>
  </w:style>
  <w:style w:type="character" w:customStyle="1" w:styleId="62">
    <w:name w:val="标题 1 字符"/>
    <w:basedOn w:val="48"/>
    <w:link w:val="3"/>
    <w:qFormat/>
    <w:uiPriority w:val="0"/>
    <w:rPr>
      <w:rFonts w:asciiTheme="majorHAnsi" w:hAnsiTheme="majorHAnsi" w:eastAsiaTheme="majorEastAsia" w:cstheme="majorBidi"/>
      <w:caps/>
      <w:spacing w:val="10"/>
      <w:sz w:val="36"/>
      <w:szCs w:val="36"/>
    </w:rPr>
  </w:style>
  <w:style w:type="character" w:customStyle="1" w:styleId="63">
    <w:name w:val="标题 2 字符"/>
    <w:basedOn w:val="48"/>
    <w:link w:val="4"/>
    <w:qFormat/>
    <w:uiPriority w:val="0"/>
    <w:rPr>
      <w:rFonts w:asciiTheme="majorHAnsi" w:hAnsiTheme="majorHAnsi" w:eastAsiaTheme="majorEastAsia" w:cstheme="majorBidi"/>
      <w:sz w:val="36"/>
      <w:szCs w:val="36"/>
    </w:rPr>
  </w:style>
  <w:style w:type="character" w:customStyle="1" w:styleId="64">
    <w:name w:val="标题 3 字符"/>
    <w:basedOn w:val="48"/>
    <w:link w:val="5"/>
    <w:qFormat/>
    <w:uiPriority w:val="0"/>
    <w:rPr>
      <w:rFonts w:asciiTheme="majorHAnsi" w:hAnsiTheme="majorHAnsi" w:eastAsiaTheme="majorEastAsia" w:cstheme="majorBidi"/>
      <w:caps/>
      <w:sz w:val="28"/>
      <w:szCs w:val="28"/>
    </w:rPr>
  </w:style>
  <w:style w:type="character" w:customStyle="1" w:styleId="65">
    <w:name w:val="标题 4 字符"/>
    <w:basedOn w:val="48"/>
    <w:link w:val="6"/>
    <w:qFormat/>
    <w:uiPriority w:val="0"/>
    <w:rPr>
      <w:rFonts w:asciiTheme="majorHAnsi" w:hAnsiTheme="majorHAnsi" w:eastAsiaTheme="majorEastAsia" w:cstheme="majorBidi"/>
      <w:i/>
      <w:iCs/>
      <w:sz w:val="28"/>
      <w:szCs w:val="28"/>
    </w:rPr>
  </w:style>
  <w:style w:type="character" w:customStyle="1" w:styleId="66">
    <w:name w:val="标题 5 字符"/>
    <w:basedOn w:val="48"/>
    <w:link w:val="7"/>
    <w:qFormat/>
    <w:uiPriority w:val="0"/>
    <w:rPr>
      <w:rFonts w:asciiTheme="majorHAnsi" w:hAnsiTheme="majorHAnsi" w:eastAsiaTheme="majorEastAsia" w:cstheme="majorBidi"/>
      <w:sz w:val="24"/>
      <w:szCs w:val="24"/>
    </w:rPr>
  </w:style>
  <w:style w:type="character" w:customStyle="1" w:styleId="67">
    <w:name w:val="标题 6 字符"/>
    <w:basedOn w:val="48"/>
    <w:link w:val="8"/>
    <w:qFormat/>
    <w:uiPriority w:val="0"/>
    <w:rPr>
      <w:rFonts w:asciiTheme="majorHAnsi" w:hAnsiTheme="majorHAnsi" w:eastAsiaTheme="majorEastAsia" w:cstheme="majorBidi"/>
      <w:i/>
      <w:iCs/>
      <w:sz w:val="24"/>
      <w:szCs w:val="24"/>
    </w:rPr>
  </w:style>
  <w:style w:type="character" w:customStyle="1" w:styleId="68">
    <w:name w:val="标题 7 字符"/>
    <w:basedOn w:val="48"/>
    <w:link w:val="9"/>
    <w:qFormat/>
    <w:uiPriority w:val="0"/>
    <w:rPr>
      <w:rFonts w:asciiTheme="majorHAnsi" w:hAnsiTheme="majorHAnsi" w:eastAsiaTheme="majorEastAsia" w:cstheme="majorBidi"/>
      <w:color w:val="595959" w:themeColor="text1" w:themeTint="A6"/>
      <w:sz w:val="24"/>
      <w:szCs w:val="24"/>
      <w14:textFill>
        <w14:solidFill>
          <w14:schemeClr w14:val="tx1">
            <w14:lumMod w14:val="65000"/>
            <w14:lumOff w14:val="35000"/>
          </w14:schemeClr>
        </w14:solidFill>
      </w14:textFill>
    </w:rPr>
  </w:style>
  <w:style w:type="character" w:customStyle="1" w:styleId="69">
    <w:name w:val="标题 8 字符"/>
    <w:basedOn w:val="48"/>
    <w:link w:val="10"/>
    <w:qFormat/>
    <w:uiPriority w:val="0"/>
    <w:rPr>
      <w:rFonts w:asciiTheme="majorHAnsi" w:hAnsiTheme="majorHAnsi" w:eastAsiaTheme="majorEastAsia" w:cstheme="majorBidi"/>
      <w:caps/>
    </w:rPr>
  </w:style>
  <w:style w:type="character" w:customStyle="1" w:styleId="70">
    <w:name w:val="标题 9 字符"/>
    <w:basedOn w:val="48"/>
    <w:link w:val="11"/>
    <w:qFormat/>
    <w:uiPriority w:val="0"/>
    <w:rPr>
      <w:rFonts w:asciiTheme="majorHAnsi" w:hAnsiTheme="majorHAnsi" w:eastAsiaTheme="majorEastAsia" w:cstheme="majorBidi"/>
      <w:i/>
      <w:iCs/>
      <w:caps/>
    </w:rPr>
  </w:style>
  <w:style w:type="character" w:customStyle="1" w:styleId="71">
    <w:name w:val="标题 字符"/>
    <w:basedOn w:val="48"/>
    <w:link w:val="44"/>
    <w:qFormat/>
    <w:uiPriority w:val="0"/>
    <w:rPr>
      <w:rFonts w:asciiTheme="majorHAnsi" w:hAnsiTheme="majorHAnsi" w:eastAsiaTheme="majorEastAsia" w:cstheme="majorBidi"/>
      <w:caps/>
      <w:spacing w:val="40"/>
      <w:sz w:val="76"/>
      <w:szCs w:val="76"/>
    </w:rPr>
  </w:style>
  <w:style w:type="character" w:customStyle="1" w:styleId="72">
    <w:name w:val="副标题 字符"/>
    <w:basedOn w:val="48"/>
    <w:link w:val="33"/>
    <w:qFormat/>
    <w:uiPriority w:val="11"/>
    <w:rPr>
      <w:color w:val="000000" w:themeColor="text1"/>
      <w:sz w:val="24"/>
      <w:szCs w:val="24"/>
      <w14:textFill>
        <w14:solidFill>
          <w14:schemeClr w14:val="tx1"/>
        </w14:solidFill>
      </w14:textFill>
    </w:rPr>
  </w:style>
  <w:style w:type="paragraph" w:styleId="73">
    <w:name w:val="No Spacing"/>
    <w:qFormat/>
    <w:uiPriority w:val="1"/>
    <w:rPr>
      <w:rFonts w:asciiTheme="minorHAnsi" w:hAnsiTheme="minorHAnsi" w:eastAsiaTheme="minorEastAsia" w:cstheme="minorBidi"/>
      <w:sz w:val="21"/>
      <w:szCs w:val="21"/>
      <w:lang w:val="en-US" w:eastAsia="zh-CN" w:bidi="ar-SA"/>
    </w:rPr>
  </w:style>
  <w:style w:type="paragraph" w:styleId="74">
    <w:name w:val="Quote"/>
    <w:basedOn w:val="1"/>
    <w:next w:val="1"/>
    <w:link w:val="75"/>
    <w:qFormat/>
    <w:uiPriority w:val="29"/>
    <w:pPr>
      <w:spacing w:before="160"/>
      <w:ind w:left="720"/>
    </w:pPr>
    <w:rPr>
      <w:rFonts w:asciiTheme="majorHAnsi" w:hAnsiTheme="majorHAnsi" w:eastAsiaTheme="majorEastAsia" w:cstheme="majorBidi"/>
      <w:sz w:val="24"/>
      <w:szCs w:val="24"/>
    </w:rPr>
  </w:style>
  <w:style w:type="character" w:customStyle="1" w:styleId="75">
    <w:name w:val="引用 字符"/>
    <w:basedOn w:val="48"/>
    <w:link w:val="74"/>
    <w:qFormat/>
    <w:uiPriority w:val="29"/>
    <w:rPr>
      <w:rFonts w:asciiTheme="majorHAnsi" w:hAnsiTheme="majorHAnsi" w:eastAsiaTheme="majorEastAsia" w:cstheme="majorBidi"/>
      <w:sz w:val="24"/>
      <w:szCs w:val="24"/>
    </w:rPr>
  </w:style>
  <w:style w:type="paragraph" w:styleId="76">
    <w:name w:val="Intense Quote"/>
    <w:basedOn w:val="1"/>
    <w:next w:val="1"/>
    <w:link w:val="77"/>
    <w:qFormat/>
    <w:uiPriority w:val="30"/>
    <w:pPr>
      <w:spacing w:before="100" w:beforeAutospacing="1" w:after="240"/>
      <w:ind w:left="936" w:right="936"/>
      <w:jc w:val="center"/>
    </w:pPr>
    <w:rPr>
      <w:rFonts w:asciiTheme="majorHAnsi" w:hAnsiTheme="majorHAnsi" w:eastAsiaTheme="majorEastAsia" w:cstheme="majorBidi"/>
      <w:caps/>
      <w:color w:val="C55A11" w:themeColor="accent2" w:themeShade="BF"/>
      <w:spacing w:val="10"/>
      <w:sz w:val="28"/>
      <w:szCs w:val="28"/>
    </w:rPr>
  </w:style>
  <w:style w:type="character" w:customStyle="1" w:styleId="77">
    <w:name w:val="明显引用 字符"/>
    <w:basedOn w:val="48"/>
    <w:link w:val="76"/>
    <w:qFormat/>
    <w:uiPriority w:val="30"/>
    <w:rPr>
      <w:rFonts w:asciiTheme="majorHAnsi" w:hAnsiTheme="majorHAnsi" w:eastAsiaTheme="majorEastAsia" w:cstheme="majorBidi"/>
      <w:caps/>
      <w:color w:val="C55A11" w:themeColor="accent2" w:themeShade="BF"/>
      <w:spacing w:val="10"/>
      <w:sz w:val="28"/>
      <w:szCs w:val="28"/>
    </w:rPr>
  </w:style>
  <w:style w:type="character" w:customStyle="1" w:styleId="78">
    <w:name w:val="不明显强调1"/>
    <w:basedOn w:val="48"/>
    <w:qFormat/>
    <w:uiPriority w:val="19"/>
    <w:rPr>
      <w:i/>
      <w:iCs/>
      <w:color w:val="auto"/>
    </w:rPr>
  </w:style>
  <w:style w:type="character" w:customStyle="1" w:styleId="79">
    <w:name w:val="明显强调1"/>
    <w:basedOn w:val="48"/>
    <w:qFormat/>
    <w:uiPriority w:val="21"/>
    <w:rPr>
      <w:rFonts w:asciiTheme="minorHAnsi" w:hAnsiTheme="minorHAnsi" w:eastAsiaTheme="minorEastAsia" w:cstheme="minorBidi"/>
      <w:b/>
      <w:bCs/>
      <w:i/>
      <w:iCs/>
      <w:color w:val="C55A11" w:themeColor="accent2" w:themeShade="BF"/>
      <w:spacing w:val="0"/>
      <w:w w:val="100"/>
      <w:position w:val="0"/>
      <w:sz w:val="20"/>
      <w:szCs w:val="20"/>
    </w:rPr>
  </w:style>
  <w:style w:type="character" w:customStyle="1" w:styleId="80">
    <w:name w:val="不明显参考1"/>
    <w:basedOn w:val="48"/>
    <w:qFormat/>
    <w:uiPriority w:val="31"/>
    <w:rPr>
      <w:rFonts w:asciiTheme="minorHAnsi" w:hAnsiTheme="minorHAnsi" w:eastAsiaTheme="minorEastAsia" w:cstheme="minorBidi"/>
      <w:smallCaps/>
      <w:color w:val="auto"/>
      <w:spacing w:val="10"/>
      <w:w w:val="100"/>
      <w:sz w:val="20"/>
      <w:szCs w:val="20"/>
      <w:u w:val="single" w:color="7E7E7E" w:themeColor="text1" w:themeTint="80"/>
    </w:rPr>
  </w:style>
  <w:style w:type="character" w:customStyle="1" w:styleId="81">
    <w:name w:val="明显参考1"/>
    <w:basedOn w:val="48"/>
    <w:qFormat/>
    <w:uiPriority w:val="32"/>
    <w:rPr>
      <w:rFonts w:asciiTheme="minorHAnsi" w:hAnsiTheme="minorHAnsi" w:eastAsiaTheme="minorEastAsia" w:cstheme="minorBidi"/>
      <w:b/>
      <w:bCs/>
      <w:smallCaps/>
      <w:color w:val="1A1A1A" w:themeColor="text1" w:themeTint="E6"/>
      <w:spacing w:val="10"/>
      <w:w w:val="100"/>
      <w:position w:val="0"/>
      <w:sz w:val="20"/>
      <w:szCs w:val="20"/>
      <w:u w:val="single"/>
      <w14:textFill>
        <w14:solidFill>
          <w14:schemeClr w14:val="tx1">
            <w14:lumMod w14:val="90000"/>
            <w14:lumOff w14:val="10000"/>
          </w14:schemeClr>
        </w14:solidFill>
      </w14:textFill>
    </w:rPr>
  </w:style>
  <w:style w:type="character" w:customStyle="1" w:styleId="82">
    <w:name w:val="书籍标题1"/>
    <w:basedOn w:val="48"/>
    <w:qFormat/>
    <w:uiPriority w:val="33"/>
    <w:rPr>
      <w:rFonts w:asciiTheme="minorHAnsi" w:hAnsiTheme="minorHAnsi" w:eastAsiaTheme="minorEastAsia" w:cstheme="minorBidi"/>
      <w:b/>
      <w:bCs/>
      <w:i/>
      <w:iCs/>
      <w:color w:val="auto"/>
      <w:spacing w:val="10"/>
      <w:w w:val="100"/>
      <w:sz w:val="20"/>
      <w:szCs w:val="20"/>
    </w:rPr>
  </w:style>
  <w:style w:type="paragraph" w:customStyle="1" w:styleId="83">
    <w:name w:val="TOC 标题1"/>
    <w:basedOn w:val="3"/>
    <w:next w:val="1"/>
    <w:unhideWhenUsed/>
    <w:qFormat/>
    <w:uiPriority w:val="39"/>
    <w:pPr>
      <w:outlineLvl w:val="9"/>
    </w:pPr>
  </w:style>
  <w:style w:type="character" w:customStyle="1" w:styleId="84">
    <w:name w:val="页眉 字符"/>
    <w:basedOn w:val="48"/>
    <w:link w:val="30"/>
    <w:qFormat/>
    <w:uiPriority w:val="99"/>
    <w:rPr>
      <w:sz w:val="18"/>
      <w:szCs w:val="18"/>
    </w:rPr>
  </w:style>
  <w:style w:type="character" w:customStyle="1" w:styleId="85">
    <w:name w:val="页脚 字符"/>
    <w:basedOn w:val="48"/>
    <w:link w:val="29"/>
    <w:qFormat/>
    <w:uiPriority w:val="99"/>
    <w:rPr>
      <w:sz w:val="18"/>
      <w:szCs w:val="18"/>
    </w:rPr>
  </w:style>
  <w:style w:type="paragraph" w:customStyle="1" w:styleId="86">
    <w:name w:val="表格文字"/>
    <w:basedOn w:val="1"/>
    <w:link w:val="244"/>
    <w:qFormat/>
    <w:uiPriority w:val="0"/>
    <w:pPr>
      <w:widowControl w:val="0"/>
      <w:spacing w:after="0" w:line="240" w:lineRule="auto"/>
      <w:jc w:val="center"/>
    </w:pPr>
    <w:rPr>
      <w:rFonts w:ascii="Times New Roman" w:hAnsi="Times New Roman" w:eastAsia="宋体" w:cs="Times New Roman"/>
      <w:kern w:val="2"/>
      <w:sz w:val="24"/>
      <w:szCs w:val="24"/>
    </w:rPr>
  </w:style>
  <w:style w:type="character" w:customStyle="1" w:styleId="87">
    <w:name w:val="题注 字符"/>
    <w:link w:val="15"/>
    <w:qFormat/>
    <w:uiPriority w:val="0"/>
    <w:rPr>
      <w:b/>
      <w:bCs/>
      <w:color w:val="ED7D31" w:themeColor="accent2"/>
      <w:spacing w:val="10"/>
      <w:sz w:val="16"/>
      <w:szCs w:val="16"/>
      <w14:textFill>
        <w14:solidFill>
          <w14:schemeClr w14:val="accent2"/>
        </w14:solidFill>
      </w14:textFill>
    </w:rPr>
  </w:style>
  <w:style w:type="character" w:customStyle="1" w:styleId="88">
    <w:name w:val="批注文字 字符"/>
    <w:link w:val="18"/>
    <w:qFormat/>
    <w:uiPriority w:val="99"/>
    <w:rPr>
      <w:rFonts w:eastAsia="宋体"/>
      <w:sz w:val="28"/>
    </w:rPr>
  </w:style>
  <w:style w:type="character" w:customStyle="1" w:styleId="89">
    <w:name w:val="批注文字 Char1"/>
    <w:basedOn w:val="48"/>
    <w:qFormat/>
    <w:uiPriority w:val="99"/>
  </w:style>
  <w:style w:type="character" w:customStyle="1" w:styleId="90">
    <w:name w:val="批注框文本 字符"/>
    <w:basedOn w:val="48"/>
    <w:link w:val="28"/>
    <w:qFormat/>
    <w:uiPriority w:val="99"/>
    <w:rPr>
      <w:sz w:val="18"/>
      <w:szCs w:val="18"/>
    </w:rPr>
  </w:style>
  <w:style w:type="character" w:customStyle="1" w:styleId="91">
    <w:name w:val="批注主题 字符"/>
    <w:basedOn w:val="88"/>
    <w:link w:val="45"/>
    <w:qFormat/>
    <w:uiPriority w:val="0"/>
    <w:rPr>
      <w:rFonts w:ascii="Times New Roman" w:hAnsi="Times New Roman" w:eastAsia="宋体" w:cs="Times New Roman"/>
      <w:b/>
      <w:bCs/>
      <w:kern w:val="2"/>
      <w:sz w:val="24"/>
    </w:rPr>
  </w:style>
  <w:style w:type="character" w:customStyle="1" w:styleId="92">
    <w:name w:val="注释标题 字符"/>
    <w:basedOn w:val="48"/>
    <w:link w:val="13"/>
    <w:qFormat/>
    <w:uiPriority w:val="0"/>
    <w:rPr>
      <w:rFonts w:ascii="Times New Roman" w:hAnsi="Times New Roman" w:eastAsia="宋体" w:cs="Times New Roman"/>
      <w:szCs w:val="20"/>
    </w:rPr>
  </w:style>
  <w:style w:type="character" w:customStyle="1" w:styleId="93">
    <w:name w:val="文档结构图 字符"/>
    <w:basedOn w:val="48"/>
    <w:link w:val="17"/>
    <w:qFormat/>
    <w:uiPriority w:val="0"/>
    <w:rPr>
      <w:rFonts w:ascii="Times New Roman" w:hAnsi="Times New Roman" w:eastAsia="宋体" w:cs="Times New Roman"/>
      <w:kern w:val="2"/>
      <w:shd w:val="clear" w:color="auto" w:fill="000080"/>
    </w:rPr>
  </w:style>
  <w:style w:type="character" w:customStyle="1" w:styleId="94">
    <w:name w:val="正文文本 3 字符"/>
    <w:basedOn w:val="48"/>
    <w:link w:val="19"/>
    <w:qFormat/>
    <w:uiPriority w:val="0"/>
    <w:rPr>
      <w:rFonts w:ascii="Times New Roman" w:hAnsi="Times New Roman" w:eastAsia="宋体" w:cs="Times New Roman"/>
      <w:color w:val="000000"/>
      <w:kern w:val="2"/>
      <w:sz w:val="18"/>
      <w:szCs w:val="28"/>
    </w:rPr>
  </w:style>
  <w:style w:type="character" w:customStyle="1" w:styleId="95">
    <w:name w:val="正文文本 字符"/>
    <w:basedOn w:val="48"/>
    <w:link w:val="20"/>
    <w:qFormat/>
    <w:uiPriority w:val="0"/>
    <w:rPr>
      <w:rFonts w:ascii="Times New Roman" w:hAnsi="Times New Roman" w:eastAsia="宋体" w:cs="Times New Roman"/>
      <w:kern w:val="2"/>
      <w:sz w:val="24"/>
    </w:rPr>
  </w:style>
  <w:style w:type="character" w:customStyle="1" w:styleId="96">
    <w:name w:val="正文文本缩进 字符"/>
    <w:basedOn w:val="48"/>
    <w:link w:val="21"/>
    <w:qFormat/>
    <w:uiPriority w:val="0"/>
    <w:rPr>
      <w:rFonts w:ascii="宋体" w:hAnsi="宋体" w:eastAsia="宋体" w:cs="宋体"/>
      <w:color w:val="FF0000"/>
      <w:sz w:val="24"/>
    </w:rPr>
  </w:style>
  <w:style w:type="character" w:customStyle="1" w:styleId="97">
    <w:name w:val="纯文本 字符"/>
    <w:basedOn w:val="48"/>
    <w:link w:val="24"/>
    <w:qFormat/>
    <w:uiPriority w:val="0"/>
    <w:rPr>
      <w:rFonts w:ascii="MS Mincho" w:hAnsi="Courier New" w:eastAsia="MS Mincho" w:cs="Times New Roman"/>
      <w:kern w:val="2"/>
      <w:sz w:val="24"/>
    </w:rPr>
  </w:style>
  <w:style w:type="character" w:customStyle="1" w:styleId="98">
    <w:name w:val="日期 字符"/>
    <w:basedOn w:val="48"/>
    <w:link w:val="26"/>
    <w:qFormat/>
    <w:uiPriority w:val="0"/>
    <w:rPr>
      <w:rFonts w:ascii="Times New Roman" w:hAnsi="Times New Roman" w:eastAsia="黑体" w:cs="Times New Roman"/>
      <w:sz w:val="24"/>
      <w:szCs w:val="20"/>
    </w:rPr>
  </w:style>
  <w:style w:type="character" w:customStyle="1" w:styleId="99">
    <w:name w:val="正文文本缩进 2 Char"/>
    <w:basedOn w:val="48"/>
    <w:link w:val="100"/>
    <w:qFormat/>
    <w:uiPriority w:val="0"/>
  </w:style>
  <w:style w:type="paragraph" w:customStyle="1" w:styleId="100">
    <w:name w:val="正文文本缩进 21"/>
    <w:basedOn w:val="1"/>
    <w:link w:val="99"/>
    <w:qFormat/>
    <w:uiPriority w:val="0"/>
    <w:pPr>
      <w:widowControl w:val="0"/>
      <w:adjustRightInd w:val="0"/>
      <w:spacing w:after="0" w:line="312" w:lineRule="atLeast"/>
      <w:ind w:firstLine="570"/>
      <w:jc w:val="distribute"/>
      <w:textAlignment w:val="baseline"/>
    </w:pPr>
  </w:style>
  <w:style w:type="character" w:customStyle="1" w:styleId="101">
    <w:name w:val="正文文本缩进 3 字符"/>
    <w:basedOn w:val="48"/>
    <w:link w:val="35"/>
    <w:qFormat/>
    <w:uiPriority w:val="0"/>
    <w:rPr>
      <w:rFonts w:ascii="Times New Roman" w:hAnsi="Times New Roman" w:eastAsia="宋体" w:cs="Times New Roman"/>
      <w:color w:val="000000"/>
      <w:sz w:val="24"/>
      <w:szCs w:val="20"/>
    </w:rPr>
  </w:style>
  <w:style w:type="character" w:customStyle="1" w:styleId="102">
    <w:name w:val="正文文本 2 字符"/>
    <w:basedOn w:val="48"/>
    <w:link w:val="39"/>
    <w:qFormat/>
    <w:uiPriority w:val="0"/>
    <w:rPr>
      <w:rFonts w:ascii="Times New Roman" w:hAnsi="Times New Roman" w:eastAsia="宋体" w:cs="Times New Roman"/>
      <w:kern w:val="2"/>
      <w:sz w:val="18"/>
    </w:rPr>
  </w:style>
  <w:style w:type="character" w:customStyle="1" w:styleId="103">
    <w:name w:val="HTML 预设格式 字符"/>
    <w:basedOn w:val="48"/>
    <w:link w:val="40"/>
    <w:qFormat/>
    <w:uiPriority w:val="0"/>
    <w:rPr>
      <w:rFonts w:ascii="Times New Roman" w:hAnsi="宋体" w:eastAsia="宋体" w:cs="宋体"/>
      <w:sz w:val="24"/>
    </w:rPr>
  </w:style>
  <w:style w:type="character" w:customStyle="1" w:styleId="104">
    <w:name w:val="text2"/>
    <w:qFormat/>
    <w:uiPriority w:val="0"/>
    <w:rPr>
      <w:rFonts w:eastAsia="宋体"/>
      <w:kern w:val="2"/>
      <w:sz w:val="24"/>
      <w:szCs w:val="24"/>
      <w:u w:val="none"/>
      <w:lang w:val="en-US" w:eastAsia="zh-CN" w:bidi="ar-SA"/>
    </w:rPr>
  </w:style>
  <w:style w:type="character" w:customStyle="1" w:styleId="105">
    <w:name w:val="Char Char2"/>
    <w:qFormat/>
    <w:uiPriority w:val="0"/>
    <w:rPr>
      <w:rFonts w:ascii="宋体" w:hAnsi="Courier New" w:eastAsia="宋体"/>
      <w:kern w:val="2"/>
      <w:sz w:val="21"/>
      <w:lang w:val="en-US" w:eastAsia="zh-CN" w:bidi="ar-SA"/>
    </w:rPr>
  </w:style>
  <w:style w:type="character" w:customStyle="1" w:styleId="106">
    <w:name w:val="不明显强调11"/>
    <w:qFormat/>
    <w:uiPriority w:val="19"/>
    <w:rPr>
      <w:i/>
      <w:iCs/>
      <w:color w:val="808080"/>
    </w:rPr>
  </w:style>
  <w:style w:type="character" w:customStyle="1" w:styleId="107">
    <w:name w:val="注释标题 Char1"/>
    <w:qFormat/>
    <w:uiPriority w:val="0"/>
    <w:rPr>
      <w:kern w:val="2"/>
      <w:sz w:val="24"/>
      <w:szCs w:val="21"/>
    </w:rPr>
  </w:style>
  <w:style w:type="character" w:customStyle="1" w:styleId="108">
    <w:name w:val="z-窗体底端 Char"/>
    <w:link w:val="109"/>
    <w:qFormat/>
    <w:uiPriority w:val="0"/>
    <w:rPr>
      <w:rFonts w:ascii="Arial"/>
      <w:vanish/>
      <w:kern w:val="2"/>
      <w:sz w:val="16"/>
    </w:rPr>
  </w:style>
  <w:style w:type="paragraph" w:customStyle="1" w:styleId="109">
    <w:name w:val="z-窗体底端1"/>
    <w:basedOn w:val="1"/>
    <w:next w:val="1"/>
    <w:link w:val="108"/>
    <w:qFormat/>
    <w:uiPriority w:val="0"/>
    <w:pPr>
      <w:widowControl w:val="0"/>
      <w:pBdr>
        <w:top w:val="single" w:color="auto" w:sz="6" w:space="1"/>
      </w:pBdr>
      <w:adjustRightInd w:val="0"/>
      <w:spacing w:after="0" w:line="360" w:lineRule="auto"/>
      <w:jc w:val="center"/>
    </w:pPr>
    <w:rPr>
      <w:rFonts w:ascii="Arial"/>
      <w:vanish/>
      <w:kern w:val="2"/>
      <w:sz w:val="16"/>
    </w:rPr>
  </w:style>
  <w:style w:type="character" w:customStyle="1" w:styleId="110">
    <w:name w:val="Body text + MingLiU"/>
    <w:qFormat/>
    <w:uiPriority w:val="0"/>
    <w:rPr>
      <w:rFonts w:ascii="MingLiU" w:hAnsi="MingLiU" w:eastAsia="MingLiU" w:cs="MingLiU"/>
      <w:color w:val="000000"/>
      <w:spacing w:val="10"/>
      <w:w w:val="100"/>
      <w:position w:val="0"/>
      <w:sz w:val="18"/>
      <w:szCs w:val="18"/>
      <w:shd w:val="clear" w:color="auto" w:fill="FFFFFF"/>
      <w:lang w:val="zh-CN"/>
    </w:rPr>
  </w:style>
  <w:style w:type="character" w:customStyle="1" w:styleId="111">
    <w:name w:val="图标格式 Char"/>
    <w:link w:val="112"/>
    <w:qFormat/>
    <w:uiPriority w:val="0"/>
    <w:rPr>
      <w:rFonts w:cs="宋体"/>
      <w:sz w:val="24"/>
      <w:szCs w:val="24"/>
    </w:rPr>
  </w:style>
  <w:style w:type="paragraph" w:customStyle="1" w:styleId="112">
    <w:name w:val="图标格式"/>
    <w:basedOn w:val="1"/>
    <w:next w:val="1"/>
    <w:link w:val="111"/>
    <w:qFormat/>
    <w:uiPriority w:val="0"/>
    <w:pPr>
      <w:widowControl w:val="0"/>
      <w:adjustRightInd w:val="0"/>
      <w:snapToGrid w:val="0"/>
      <w:spacing w:after="0" w:line="240" w:lineRule="auto"/>
      <w:jc w:val="center"/>
    </w:pPr>
    <w:rPr>
      <w:rFonts w:cs="宋体"/>
      <w:sz w:val="24"/>
      <w:szCs w:val="24"/>
    </w:rPr>
  </w:style>
  <w:style w:type="character" w:customStyle="1" w:styleId="113">
    <w:name w:val="日期 Char1"/>
    <w:qFormat/>
    <w:uiPriority w:val="0"/>
    <w:rPr>
      <w:kern w:val="2"/>
      <w:sz w:val="24"/>
      <w:szCs w:val="21"/>
    </w:rPr>
  </w:style>
  <w:style w:type="character" w:customStyle="1" w:styleId="114">
    <w:name w:val="纯文本 Char1"/>
    <w:qFormat/>
    <w:uiPriority w:val="0"/>
    <w:rPr>
      <w:rFonts w:ascii="宋体" w:hAnsi="Courier New" w:cs="Courier New"/>
      <w:kern w:val="2"/>
      <w:sz w:val="21"/>
      <w:szCs w:val="21"/>
    </w:rPr>
  </w:style>
  <w:style w:type="character" w:customStyle="1" w:styleId="115">
    <w:name w:val="页码1"/>
    <w:qFormat/>
    <w:uiPriority w:val="0"/>
  </w:style>
  <w:style w:type="character" w:customStyle="1" w:styleId="116">
    <w:name w:val="Char Char21"/>
    <w:qFormat/>
    <w:uiPriority w:val="0"/>
    <w:rPr>
      <w:rFonts w:ascii="宋体" w:hAnsi="Courier New" w:eastAsia="宋体"/>
      <w:kern w:val="2"/>
      <w:sz w:val="21"/>
      <w:lang w:val="en-US" w:eastAsia="zh-CN" w:bidi="ar-SA"/>
    </w:rPr>
  </w:style>
  <w:style w:type="character" w:customStyle="1" w:styleId="117">
    <w:name w:val="15"/>
    <w:qFormat/>
    <w:uiPriority w:val="0"/>
    <w:rPr>
      <w:rFonts w:hint="default" w:ascii="Times New Roman" w:hAnsi="Times New Roman" w:cs="Times New Roman"/>
      <w:color w:val="0000FF"/>
      <w:u w:val="single"/>
    </w:rPr>
  </w:style>
  <w:style w:type="character" w:customStyle="1" w:styleId="118">
    <w:name w:val="文档结构图 Char1"/>
    <w:qFormat/>
    <w:uiPriority w:val="0"/>
    <w:rPr>
      <w:rFonts w:ascii="Microsoft YaHei UI" w:eastAsia="Microsoft YaHei UI"/>
      <w:kern w:val="2"/>
      <w:sz w:val="18"/>
      <w:szCs w:val="18"/>
    </w:rPr>
  </w:style>
  <w:style w:type="character" w:customStyle="1" w:styleId="119">
    <w:name w:val="正文文本缩进 2 字符"/>
    <w:link w:val="27"/>
    <w:qFormat/>
    <w:uiPriority w:val="0"/>
    <w:rPr>
      <w:rFonts w:ascii="Times New Roman" w:hAnsi="Times New Roman" w:eastAsia="宋体" w:cs="Times New Roman"/>
      <w:kern w:val="2"/>
      <w:sz w:val="24"/>
    </w:rPr>
  </w:style>
  <w:style w:type="character" w:customStyle="1" w:styleId="120">
    <w:name w:val="页码2"/>
    <w:basedOn w:val="48"/>
    <w:qFormat/>
    <w:uiPriority w:val="0"/>
  </w:style>
  <w:style w:type="character" w:customStyle="1" w:styleId="121">
    <w:name w:val="批注框文本 Char1"/>
    <w:qFormat/>
    <w:uiPriority w:val="0"/>
    <w:rPr>
      <w:kern w:val="2"/>
      <w:sz w:val="18"/>
      <w:szCs w:val="18"/>
    </w:rPr>
  </w:style>
  <w:style w:type="character" w:customStyle="1" w:styleId="122">
    <w:name w:val="正文缩进 字符"/>
    <w:link w:val="14"/>
    <w:qFormat/>
    <w:uiPriority w:val="0"/>
    <w:rPr>
      <w:rFonts w:ascii="宋体" w:hAnsi="宋体" w:eastAsia="宋体" w:cs="宋体"/>
      <w:color w:val="000000"/>
      <w:sz w:val="24"/>
    </w:rPr>
  </w:style>
  <w:style w:type="character" w:customStyle="1" w:styleId="123">
    <w:name w:val="font01"/>
    <w:qFormat/>
    <w:uiPriority w:val="0"/>
    <w:rPr>
      <w:rFonts w:hint="eastAsia" w:ascii="宋体" w:hAnsi="宋体" w:eastAsia="宋体"/>
      <w:color w:val="000000"/>
      <w:sz w:val="22"/>
      <w:szCs w:val="22"/>
      <w:u w:val="none"/>
    </w:rPr>
  </w:style>
  <w:style w:type="character" w:customStyle="1" w:styleId="124">
    <w:name w:val="标题 Char1"/>
    <w:qFormat/>
    <w:uiPriority w:val="0"/>
    <w:rPr>
      <w:rFonts w:ascii="Calibri Light" w:hAnsi="Calibri Light" w:cs="Times New Roman"/>
      <w:b/>
      <w:bCs/>
      <w:kern w:val="2"/>
      <w:sz w:val="32"/>
      <w:szCs w:val="32"/>
    </w:rPr>
  </w:style>
  <w:style w:type="character" w:customStyle="1" w:styleId="125">
    <w:name w:val="标题4 Char"/>
    <w:link w:val="126"/>
    <w:qFormat/>
    <w:uiPriority w:val="0"/>
    <w:rPr>
      <w:color w:val="000000"/>
      <w:kern w:val="2"/>
      <w:sz w:val="24"/>
      <w:szCs w:val="24"/>
    </w:rPr>
  </w:style>
  <w:style w:type="paragraph" w:customStyle="1" w:styleId="126">
    <w:name w:val="标题4"/>
    <w:basedOn w:val="1"/>
    <w:link w:val="125"/>
    <w:qFormat/>
    <w:uiPriority w:val="0"/>
    <w:pPr>
      <w:widowControl w:val="0"/>
      <w:adjustRightInd w:val="0"/>
      <w:snapToGrid w:val="0"/>
      <w:spacing w:after="0" w:line="360" w:lineRule="auto"/>
    </w:pPr>
    <w:rPr>
      <w:color w:val="000000"/>
      <w:kern w:val="2"/>
      <w:sz w:val="24"/>
      <w:szCs w:val="24"/>
    </w:rPr>
  </w:style>
  <w:style w:type="character" w:customStyle="1" w:styleId="127">
    <w:name w:val="正文格式 Char"/>
    <w:link w:val="128"/>
    <w:qFormat/>
    <w:uiPriority w:val="0"/>
    <w:rPr>
      <w:rFonts w:ascii="Arial" w:hAnsi="Arial"/>
      <w:kern w:val="2"/>
      <w:sz w:val="24"/>
    </w:rPr>
  </w:style>
  <w:style w:type="paragraph" w:customStyle="1" w:styleId="128">
    <w:name w:val="正文格式"/>
    <w:basedOn w:val="1"/>
    <w:link w:val="127"/>
    <w:qFormat/>
    <w:uiPriority w:val="0"/>
    <w:pPr>
      <w:widowControl w:val="0"/>
      <w:spacing w:before="60" w:after="60" w:line="400" w:lineRule="exact"/>
      <w:ind w:left="300" w:leftChars="300"/>
      <w:jc w:val="both"/>
    </w:pPr>
    <w:rPr>
      <w:rFonts w:ascii="Arial" w:hAnsi="Arial"/>
      <w:kern w:val="2"/>
      <w:sz w:val="24"/>
    </w:rPr>
  </w:style>
  <w:style w:type="character" w:customStyle="1" w:styleId="129">
    <w:name w:val="表头 Char Char"/>
    <w:link w:val="130"/>
    <w:qFormat/>
    <w:uiPriority w:val="0"/>
    <w:rPr>
      <w:rFonts w:eastAsia="黑体"/>
      <w:kern w:val="2"/>
      <w:sz w:val="24"/>
      <w:szCs w:val="24"/>
    </w:rPr>
  </w:style>
  <w:style w:type="paragraph" w:customStyle="1" w:styleId="130">
    <w:name w:val="表头"/>
    <w:basedOn w:val="1"/>
    <w:link w:val="129"/>
    <w:qFormat/>
    <w:uiPriority w:val="0"/>
    <w:pPr>
      <w:widowControl w:val="0"/>
      <w:adjustRightInd w:val="0"/>
      <w:snapToGrid w:val="0"/>
      <w:spacing w:after="0" w:line="360" w:lineRule="auto"/>
      <w:jc w:val="center"/>
    </w:pPr>
    <w:rPr>
      <w:rFonts w:eastAsia="黑体"/>
      <w:kern w:val="2"/>
      <w:sz w:val="24"/>
      <w:szCs w:val="24"/>
    </w:rPr>
  </w:style>
  <w:style w:type="character" w:customStyle="1" w:styleId="131">
    <w:name w:val="正文文本 3 Char1"/>
    <w:qFormat/>
    <w:uiPriority w:val="0"/>
    <w:rPr>
      <w:kern w:val="2"/>
      <w:sz w:val="16"/>
      <w:szCs w:val="16"/>
    </w:rPr>
  </w:style>
  <w:style w:type="character" w:customStyle="1" w:styleId="132">
    <w:name w:val="正文文本缩进 3 Char1"/>
    <w:qFormat/>
    <w:uiPriority w:val="0"/>
    <w:rPr>
      <w:kern w:val="2"/>
      <w:sz w:val="16"/>
      <w:szCs w:val="16"/>
    </w:rPr>
  </w:style>
  <w:style w:type="character" w:customStyle="1" w:styleId="133">
    <w:name w:val="正文文本 2 Char1"/>
    <w:qFormat/>
    <w:uiPriority w:val="0"/>
    <w:rPr>
      <w:kern w:val="2"/>
      <w:sz w:val="24"/>
      <w:szCs w:val="21"/>
    </w:rPr>
  </w:style>
  <w:style w:type="character" w:customStyle="1" w:styleId="134">
    <w:name w:val="正文2 Char"/>
    <w:link w:val="135"/>
    <w:qFormat/>
    <w:uiPriority w:val="0"/>
    <w:rPr>
      <w:kern w:val="2"/>
      <w:sz w:val="24"/>
      <w:szCs w:val="18"/>
    </w:rPr>
  </w:style>
  <w:style w:type="paragraph" w:customStyle="1" w:styleId="135">
    <w:name w:val="正文2"/>
    <w:basedOn w:val="1"/>
    <w:link w:val="134"/>
    <w:qFormat/>
    <w:uiPriority w:val="0"/>
    <w:pPr>
      <w:widowControl w:val="0"/>
      <w:adjustRightInd w:val="0"/>
      <w:spacing w:after="0" w:line="360" w:lineRule="auto"/>
      <w:ind w:firstLine="200" w:firstLineChars="200"/>
    </w:pPr>
    <w:rPr>
      <w:kern w:val="2"/>
      <w:sz w:val="24"/>
      <w:szCs w:val="18"/>
    </w:rPr>
  </w:style>
  <w:style w:type="character" w:customStyle="1" w:styleId="136">
    <w:name w:val="z-窗体顶端 Char"/>
    <w:link w:val="137"/>
    <w:qFormat/>
    <w:uiPriority w:val="0"/>
    <w:rPr>
      <w:rFonts w:ascii="Arial"/>
      <w:vanish/>
      <w:kern w:val="2"/>
      <w:sz w:val="16"/>
    </w:rPr>
  </w:style>
  <w:style w:type="paragraph" w:customStyle="1" w:styleId="137">
    <w:name w:val="z-窗体顶端1"/>
    <w:basedOn w:val="1"/>
    <w:next w:val="1"/>
    <w:link w:val="136"/>
    <w:qFormat/>
    <w:uiPriority w:val="0"/>
    <w:pPr>
      <w:widowControl w:val="0"/>
      <w:pBdr>
        <w:bottom w:val="single" w:color="auto" w:sz="6" w:space="1"/>
      </w:pBdr>
      <w:adjustRightInd w:val="0"/>
      <w:spacing w:after="0" w:line="360" w:lineRule="auto"/>
      <w:jc w:val="center"/>
    </w:pPr>
    <w:rPr>
      <w:rFonts w:ascii="Arial"/>
      <w:vanish/>
      <w:kern w:val="2"/>
      <w:sz w:val="16"/>
    </w:rPr>
  </w:style>
  <w:style w:type="character" w:customStyle="1" w:styleId="138">
    <w:name w:val="fontstyle01"/>
    <w:qFormat/>
    <w:uiPriority w:val="0"/>
    <w:rPr>
      <w:rFonts w:hint="eastAsia" w:ascii="宋体" w:hAnsi="宋体" w:eastAsia="宋体"/>
      <w:color w:val="000000"/>
      <w:sz w:val="24"/>
      <w:szCs w:val="24"/>
    </w:rPr>
  </w:style>
  <w:style w:type="character" w:customStyle="1" w:styleId="139">
    <w:name w:val="明显引用 Char1"/>
    <w:qFormat/>
    <w:uiPriority w:val="30"/>
    <w:rPr>
      <w:i/>
      <w:iCs/>
      <w:color w:val="5B9BD5"/>
      <w:kern w:val="2"/>
      <w:sz w:val="24"/>
      <w:szCs w:val="21"/>
    </w:rPr>
  </w:style>
  <w:style w:type="character" w:customStyle="1" w:styleId="140">
    <w:name w:val="HTML 预设格式 Char1"/>
    <w:qFormat/>
    <w:uiPriority w:val="0"/>
    <w:rPr>
      <w:rFonts w:ascii="Courier New" w:hAnsi="Courier New" w:cs="Courier New"/>
      <w:kern w:val="2"/>
    </w:rPr>
  </w:style>
  <w:style w:type="character" w:customStyle="1" w:styleId="141">
    <w:name w:val="17"/>
    <w:qFormat/>
    <w:uiPriority w:val="0"/>
    <w:rPr>
      <w:rFonts w:hint="default" w:ascii="Times New Roman" w:hAnsi="Times New Roman" w:cs="Times New Roman"/>
    </w:rPr>
  </w:style>
  <w:style w:type="character" w:customStyle="1" w:styleId="142">
    <w:name w:val="16"/>
    <w:qFormat/>
    <w:uiPriority w:val="0"/>
    <w:rPr>
      <w:rFonts w:hint="default" w:ascii="Times New Roman" w:hAnsi="Times New Roman" w:cs="Times New Roman"/>
      <w:b/>
      <w:bCs/>
    </w:rPr>
  </w:style>
  <w:style w:type="paragraph" w:customStyle="1" w:styleId="143">
    <w:name w:val="p15"/>
    <w:basedOn w:val="1"/>
    <w:qFormat/>
    <w:uiPriority w:val="0"/>
    <w:pPr>
      <w:spacing w:after="0" w:line="500" w:lineRule="atLeast"/>
      <w:jc w:val="center"/>
    </w:pPr>
    <w:rPr>
      <w:rFonts w:ascii="Times New Roman" w:hAnsi="Times New Roman" w:eastAsia="宋体" w:cs="Times New Roman"/>
      <w:b/>
      <w:bCs/>
      <w:sz w:val="24"/>
    </w:rPr>
  </w:style>
  <w:style w:type="paragraph" w:customStyle="1" w:styleId="144">
    <w:name w:val="项目符段"/>
    <w:basedOn w:val="26"/>
    <w:qFormat/>
    <w:uiPriority w:val="0"/>
    <w:pPr>
      <w:tabs>
        <w:tab w:val="left" w:pos="720"/>
      </w:tabs>
      <w:snapToGrid w:val="0"/>
      <w:spacing w:before="60" w:after="60" w:line="240" w:lineRule="auto"/>
      <w:ind w:left="720" w:right="567" w:hanging="720"/>
    </w:pPr>
    <w:rPr>
      <w:rFonts w:eastAsia="宋体"/>
    </w:rPr>
  </w:style>
  <w:style w:type="paragraph" w:customStyle="1" w:styleId="145">
    <w:name w:val="p0"/>
    <w:basedOn w:val="1"/>
    <w:qFormat/>
    <w:uiPriority w:val="0"/>
    <w:pPr>
      <w:adjustRightInd w:val="0"/>
      <w:spacing w:after="0" w:line="360" w:lineRule="auto"/>
    </w:pPr>
    <w:rPr>
      <w:rFonts w:ascii="宋体" w:hAnsi="宋体" w:eastAsia="宋体" w:cs="宋体"/>
      <w:sz w:val="24"/>
    </w:rPr>
  </w:style>
  <w:style w:type="paragraph" w:customStyle="1" w:styleId="146">
    <w:name w:val="样式 样式2 + 首行缩进:  2 字符"/>
    <w:basedOn w:val="1"/>
    <w:qFormat/>
    <w:uiPriority w:val="0"/>
    <w:pPr>
      <w:widowControl w:val="0"/>
      <w:snapToGrid w:val="0"/>
      <w:spacing w:after="0" w:line="240" w:lineRule="auto"/>
      <w:jc w:val="center"/>
    </w:pPr>
    <w:rPr>
      <w:rFonts w:ascii="Times New Roman" w:hAnsi="宋体" w:eastAsia="宋体" w:cs="Times New Roman"/>
      <w:snapToGrid w:val="0"/>
      <w:sz w:val="24"/>
      <w:lang w:val="de-DE"/>
    </w:rPr>
  </w:style>
  <w:style w:type="paragraph" w:customStyle="1" w:styleId="147">
    <w:name w:val="正文01"/>
    <w:basedOn w:val="1"/>
    <w:qFormat/>
    <w:uiPriority w:val="0"/>
    <w:pPr>
      <w:widowControl w:val="0"/>
      <w:spacing w:before="60" w:after="0" w:line="460" w:lineRule="exact"/>
      <w:ind w:firstLine="200" w:firstLineChars="200"/>
      <w:jc w:val="both"/>
    </w:pPr>
    <w:rPr>
      <w:rFonts w:ascii="Times New Roman" w:hAnsi="Times New Roman" w:eastAsia="宋体" w:cs="Times New Roman"/>
      <w:kern w:val="2"/>
      <w:sz w:val="24"/>
    </w:rPr>
  </w:style>
  <w:style w:type="paragraph" w:customStyle="1" w:styleId="148">
    <w:name w:val="EIR段落"/>
    <w:basedOn w:val="1"/>
    <w:qFormat/>
    <w:uiPriority w:val="0"/>
    <w:pPr>
      <w:widowControl w:val="0"/>
      <w:spacing w:after="0" w:line="460" w:lineRule="exact"/>
      <w:ind w:firstLine="480" w:firstLineChars="200"/>
      <w:jc w:val="both"/>
    </w:pPr>
    <w:rPr>
      <w:rFonts w:ascii="Times New Roman" w:hAnsi="Times New Roman" w:eastAsia="宋体" w:cs="Times New Roman"/>
      <w:kern w:val="2"/>
      <w:sz w:val="24"/>
      <w:szCs w:val="24"/>
    </w:rPr>
  </w:style>
  <w:style w:type="paragraph" w:customStyle="1" w:styleId="149">
    <w:name w:val="正文1"/>
    <w:qFormat/>
    <w:uiPriority w:val="0"/>
    <w:pPr>
      <w:jc w:val="both"/>
    </w:pPr>
    <w:rPr>
      <w:rFonts w:ascii="Times New Roman" w:hAnsi="Times New Roman" w:eastAsia="宋体" w:cs="Times New Roman"/>
      <w:kern w:val="2"/>
      <w:sz w:val="24"/>
      <w:szCs w:val="21"/>
      <w:lang w:val="en-US" w:eastAsia="zh-CN" w:bidi="ar-SA"/>
    </w:rPr>
  </w:style>
  <w:style w:type="paragraph" w:customStyle="1" w:styleId="150">
    <w:name w:val="正文文本1"/>
    <w:basedOn w:val="1"/>
    <w:qFormat/>
    <w:uiPriority w:val="0"/>
    <w:pPr>
      <w:widowControl w:val="0"/>
      <w:shd w:val="clear" w:color="auto" w:fill="FFFFFF"/>
      <w:adjustRightInd w:val="0"/>
      <w:spacing w:after="0" w:line="360" w:lineRule="auto"/>
    </w:pPr>
    <w:rPr>
      <w:rFonts w:ascii="Times New Roman" w:hAnsi="Times New Roman" w:eastAsia="Times New Roman" w:cs="Times New Roman"/>
      <w:kern w:val="2"/>
      <w:sz w:val="20"/>
      <w:szCs w:val="20"/>
    </w:rPr>
  </w:style>
  <w:style w:type="paragraph" w:customStyle="1" w:styleId="151">
    <w:name w:val="Char Char5 Char Char Char Char Char Char1 Char Char Char Char Char Char Char"/>
    <w:basedOn w:val="17"/>
    <w:qFormat/>
    <w:uiPriority w:val="0"/>
  </w:style>
  <w:style w:type="paragraph" w:customStyle="1" w:styleId="152">
    <w:name w:val="mtitle"/>
    <w:basedOn w:val="1"/>
    <w:qFormat/>
    <w:uiPriority w:val="0"/>
    <w:pPr>
      <w:adjustRightInd w:val="0"/>
      <w:spacing w:before="100" w:beforeAutospacing="1" w:after="100" w:afterAutospacing="1" w:line="360" w:lineRule="auto"/>
    </w:pPr>
    <w:rPr>
      <w:rFonts w:ascii="宋体" w:hAnsi="宋体" w:eastAsia="宋体" w:cs="宋体"/>
      <w:color w:val="000000"/>
      <w:sz w:val="24"/>
    </w:rPr>
  </w:style>
  <w:style w:type="paragraph" w:customStyle="1" w:styleId="153">
    <w:name w:val="列出段落1"/>
    <w:basedOn w:val="1"/>
    <w:qFormat/>
    <w:uiPriority w:val="0"/>
    <w:pPr>
      <w:widowControl w:val="0"/>
      <w:spacing w:after="0" w:line="240" w:lineRule="auto"/>
      <w:ind w:firstLine="420" w:firstLineChars="200"/>
      <w:jc w:val="both"/>
    </w:pPr>
    <w:rPr>
      <w:rFonts w:ascii="Calibri" w:hAnsi="Calibri" w:eastAsia="宋体" w:cs="Times New Roman"/>
      <w:kern w:val="2"/>
      <w:szCs w:val="22"/>
    </w:rPr>
  </w:style>
  <w:style w:type="paragraph" w:customStyle="1" w:styleId="154">
    <w:name w:val="tc"/>
    <w:basedOn w:val="1"/>
    <w:qFormat/>
    <w:uiPriority w:val="0"/>
    <w:pPr>
      <w:adjustRightInd w:val="0"/>
      <w:spacing w:before="100" w:beforeAutospacing="1" w:after="100" w:afterAutospacing="1" w:line="360" w:lineRule="auto"/>
    </w:pPr>
    <w:rPr>
      <w:rFonts w:ascii="宋体" w:hAnsi="宋体" w:eastAsia="宋体" w:cs="宋体"/>
      <w:color w:val="000000"/>
      <w:sz w:val="24"/>
    </w:rPr>
  </w:style>
  <w:style w:type="paragraph" w:customStyle="1" w:styleId="155">
    <w:name w:val="_Style 7"/>
    <w:basedOn w:val="1"/>
    <w:qFormat/>
    <w:uiPriority w:val="0"/>
    <w:pPr>
      <w:widowControl w:val="0"/>
      <w:adjustRightInd w:val="0"/>
      <w:spacing w:after="0" w:line="360" w:lineRule="atLeast"/>
    </w:pPr>
    <w:rPr>
      <w:rFonts w:ascii="宋体" w:hAnsi="Times New Roman" w:eastAsia="宋体" w:cs="Times New Roman"/>
      <w:color w:val="000000"/>
      <w:sz w:val="24"/>
      <w:szCs w:val="20"/>
    </w:rPr>
  </w:style>
  <w:style w:type="paragraph" w:customStyle="1" w:styleId="156">
    <w:name w:val="Char Char Char Char"/>
    <w:basedOn w:val="1"/>
    <w:qFormat/>
    <w:uiPriority w:val="0"/>
    <w:pPr>
      <w:widowControl w:val="0"/>
      <w:spacing w:after="0" w:line="240" w:lineRule="auto"/>
      <w:jc w:val="both"/>
    </w:pPr>
    <w:rPr>
      <w:rFonts w:ascii="Times New Roman" w:hAnsi="Times New Roman" w:eastAsia="宋体" w:cs="Times New Roman"/>
      <w:kern w:val="2"/>
    </w:rPr>
  </w:style>
  <w:style w:type="paragraph" w:customStyle="1" w:styleId="157">
    <w:name w:val="正文（居中）"/>
    <w:basedOn w:val="14"/>
    <w:next w:val="14"/>
    <w:qFormat/>
    <w:uiPriority w:val="0"/>
    <w:pPr>
      <w:adjustRightInd/>
      <w:spacing w:before="78" w:beforeLines="25" w:after="78" w:afterLines="25" w:line="480" w:lineRule="exact"/>
      <w:ind w:firstLine="0" w:firstLineChars="0"/>
      <w:jc w:val="center"/>
    </w:pPr>
    <w:rPr>
      <w:rFonts w:ascii="Times New Roman" w:hAnsi="Times New Roman" w:eastAsia="仿宋_GB2312" w:cs="Times New Roman"/>
      <w:snapToGrid w:val="0"/>
      <w:color w:val="auto"/>
      <w:kern w:val="2"/>
      <w:sz w:val="28"/>
      <w:szCs w:val="24"/>
    </w:rPr>
  </w:style>
  <w:style w:type="paragraph" w:customStyle="1" w:styleId="158">
    <w:name w:val="zw"/>
    <w:basedOn w:val="1"/>
    <w:qFormat/>
    <w:uiPriority w:val="0"/>
    <w:pPr>
      <w:adjustRightInd w:val="0"/>
      <w:spacing w:before="100" w:beforeAutospacing="1" w:after="100" w:afterAutospacing="1" w:line="360" w:lineRule="auto"/>
    </w:pPr>
    <w:rPr>
      <w:rFonts w:ascii="宋体" w:hAnsi="宋体" w:eastAsia="宋体" w:cs="宋体"/>
      <w:color w:val="000000"/>
      <w:sz w:val="24"/>
    </w:rPr>
  </w:style>
  <w:style w:type="paragraph" w:styleId="159">
    <w:name w:val="List Paragraph"/>
    <w:basedOn w:val="1"/>
    <w:qFormat/>
    <w:uiPriority w:val="34"/>
    <w:pPr>
      <w:widowControl w:val="0"/>
      <w:adjustRightInd w:val="0"/>
      <w:spacing w:after="0" w:line="360" w:lineRule="auto"/>
      <w:ind w:firstLine="420" w:firstLineChars="200"/>
    </w:pPr>
    <w:rPr>
      <w:rFonts w:ascii="Calibri" w:hAnsi="Calibri" w:eastAsia="宋体" w:cs="Times New Roman"/>
      <w:kern w:val="2"/>
      <w:sz w:val="24"/>
      <w:szCs w:val="22"/>
      <w:lang w:val="en-GB"/>
    </w:rPr>
  </w:style>
  <w:style w:type="paragraph" w:customStyle="1" w:styleId="160">
    <w:name w:val="列出段落2"/>
    <w:basedOn w:val="1"/>
    <w:qFormat/>
    <w:uiPriority w:val="99"/>
    <w:pPr>
      <w:adjustRightInd w:val="0"/>
      <w:snapToGrid w:val="0"/>
      <w:spacing w:after="200" w:line="240" w:lineRule="auto"/>
      <w:ind w:firstLine="420" w:firstLineChars="200"/>
    </w:pPr>
    <w:rPr>
      <w:rFonts w:ascii="Tahoma" w:hAnsi="Tahoma" w:eastAsia="微软雅黑" w:cs="Tahoma"/>
      <w:sz w:val="22"/>
      <w:szCs w:val="22"/>
    </w:rPr>
  </w:style>
  <w:style w:type="paragraph" w:customStyle="1" w:styleId="161">
    <w:name w:val="Char Char Char Char Char Char Char Char Char Char Char Char1 Char Char Char Char Char Char Char Char Char Char Char Char Char Char Char Char Char"/>
    <w:basedOn w:val="1"/>
    <w:qFormat/>
    <w:uiPriority w:val="0"/>
    <w:pPr>
      <w:widowControl w:val="0"/>
      <w:adjustRightInd w:val="0"/>
      <w:spacing w:after="0" w:line="360" w:lineRule="auto"/>
    </w:pPr>
    <w:rPr>
      <w:rFonts w:ascii="Times New Roman" w:hAnsi="Times New Roman" w:eastAsia="宋体" w:cs="Times New Roman"/>
      <w:kern w:val="2"/>
      <w:sz w:val="24"/>
    </w:rPr>
  </w:style>
  <w:style w:type="paragraph" w:customStyle="1" w:styleId="162">
    <w:name w:val="font9"/>
    <w:basedOn w:val="1"/>
    <w:qFormat/>
    <w:uiPriority w:val="0"/>
    <w:pPr>
      <w:spacing w:before="100" w:beforeAutospacing="1" w:after="100" w:afterAutospacing="1" w:line="240" w:lineRule="auto"/>
    </w:pPr>
    <w:rPr>
      <w:rFonts w:hint="eastAsia" w:ascii="Times New Roman" w:hAnsi="宋体" w:eastAsia="宋体" w:cs="Times New Roman"/>
      <w:color w:val="993300"/>
      <w:sz w:val="15"/>
      <w:szCs w:val="15"/>
    </w:rPr>
  </w:style>
  <w:style w:type="paragraph" w:customStyle="1" w:styleId="163">
    <w:name w:val="顺序单项编号"/>
    <w:basedOn w:val="144"/>
    <w:qFormat/>
    <w:uiPriority w:val="0"/>
    <w:pPr>
      <w:tabs>
        <w:tab w:val="left" w:pos="735"/>
        <w:tab w:val="clear" w:pos="720"/>
      </w:tabs>
      <w:ind w:left="735" w:hanging="735"/>
    </w:pPr>
  </w:style>
  <w:style w:type="paragraph" w:customStyle="1" w:styleId="164">
    <w:name w:val="TOC 标题11"/>
    <w:basedOn w:val="3"/>
    <w:next w:val="1"/>
    <w:qFormat/>
    <w:uiPriority w:val="39"/>
    <w:pPr>
      <w:pBdr>
        <w:left w:val="none" w:color="auto" w:sz="0" w:space="0"/>
      </w:pBdr>
      <w:spacing w:before="480" w:after="0" w:line="276" w:lineRule="auto"/>
      <w:outlineLvl w:val="9"/>
    </w:pPr>
    <w:rPr>
      <w:rFonts w:ascii="Cambria" w:hAnsi="Cambria" w:eastAsia="宋体" w:cs="Times New Roman"/>
      <w:b/>
      <w:bCs/>
      <w:caps w:val="0"/>
      <w:color w:val="365F91"/>
      <w:spacing w:val="0"/>
      <w:sz w:val="28"/>
      <w:szCs w:val="28"/>
    </w:rPr>
  </w:style>
  <w:style w:type="paragraph" w:customStyle="1" w:styleId="165">
    <w:name w:val="Char Char Char Char1"/>
    <w:basedOn w:val="1"/>
    <w:qFormat/>
    <w:uiPriority w:val="0"/>
    <w:pPr>
      <w:widowControl w:val="0"/>
      <w:spacing w:after="0" w:line="240" w:lineRule="auto"/>
      <w:jc w:val="both"/>
    </w:pPr>
    <w:rPr>
      <w:rFonts w:ascii="Times New Roman" w:hAnsi="Times New Roman" w:eastAsia="宋体" w:cs="Times New Roman"/>
      <w:kern w:val="2"/>
    </w:rPr>
  </w:style>
  <w:style w:type="paragraph" w:customStyle="1" w:styleId="166">
    <w:name w:val="题注1"/>
    <w:basedOn w:val="1"/>
    <w:next w:val="1"/>
    <w:qFormat/>
    <w:uiPriority w:val="0"/>
    <w:pPr>
      <w:widowControl w:val="0"/>
      <w:adjustRightInd w:val="0"/>
      <w:spacing w:after="0" w:line="500" w:lineRule="exact"/>
      <w:jc w:val="center"/>
    </w:pPr>
    <w:rPr>
      <w:rFonts w:ascii="Times New Roman" w:hAnsi="Times New Roman" w:eastAsia="宋体" w:cs="Times New Roman"/>
      <w:b/>
      <w:bCs/>
      <w:kern w:val="2"/>
      <w:sz w:val="24"/>
    </w:rPr>
  </w:style>
  <w:style w:type="paragraph" w:customStyle="1" w:styleId="167">
    <w:name w:val="正文文本缩进 211"/>
    <w:basedOn w:val="1"/>
    <w:qFormat/>
    <w:uiPriority w:val="0"/>
    <w:pPr>
      <w:widowControl w:val="0"/>
      <w:adjustRightInd w:val="0"/>
      <w:spacing w:after="0" w:line="312" w:lineRule="atLeast"/>
      <w:ind w:firstLine="570"/>
      <w:jc w:val="distribute"/>
      <w:textAlignment w:val="baseline"/>
    </w:pPr>
    <w:rPr>
      <w:rFonts w:ascii="Times New Roman" w:hAnsi="Times New Roman" w:eastAsia="仿宋_GB2312" w:cs="Times New Roman"/>
      <w:sz w:val="28"/>
      <w:szCs w:val="20"/>
    </w:rPr>
  </w:style>
  <w:style w:type="paragraph" w:customStyle="1" w:styleId="168">
    <w:name w:val="1表格"/>
    <w:basedOn w:val="1"/>
    <w:qFormat/>
    <w:uiPriority w:val="0"/>
    <w:pPr>
      <w:widowControl w:val="0"/>
      <w:adjustRightInd w:val="0"/>
      <w:snapToGrid w:val="0"/>
      <w:spacing w:after="0" w:line="360" w:lineRule="auto"/>
      <w:jc w:val="center"/>
      <w:outlineLvl w:val="4"/>
    </w:pPr>
    <w:rPr>
      <w:rFonts w:ascii="Times New Roman" w:hAnsi="Times New Roman" w:eastAsia="宋体" w:cs="Times New Roman"/>
      <w:spacing w:val="4"/>
      <w:kern w:val="2"/>
      <w:sz w:val="24"/>
    </w:rPr>
  </w:style>
  <w:style w:type="paragraph" w:customStyle="1" w:styleId="169">
    <w:name w:val="p19"/>
    <w:basedOn w:val="1"/>
    <w:qFormat/>
    <w:uiPriority w:val="0"/>
    <w:pPr>
      <w:spacing w:after="0" w:line="500" w:lineRule="atLeast"/>
      <w:jc w:val="center"/>
    </w:pPr>
    <w:rPr>
      <w:rFonts w:ascii="Times New Roman" w:hAnsi="Times New Roman" w:eastAsia="宋体" w:cs="Times New Roman"/>
      <w:b/>
      <w:bCs/>
      <w:sz w:val="24"/>
    </w:rPr>
  </w:style>
  <w:style w:type="paragraph" w:customStyle="1" w:styleId="170">
    <w:name w:val="Char Char Char Char Char Char Char Char Char Char Char Char1 Char Char Char Char Char Char Char Char Char Char Char Char Char Char Char Char Char1"/>
    <w:basedOn w:val="1"/>
    <w:qFormat/>
    <w:uiPriority w:val="0"/>
    <w:pPr>
      <w:widowControl w:val="0"/>
      <w:adjustRightInd w:val="0"/>
      <w:spacing w:after="0" w:line="360" w:lineRule="auto"/>
    </w:pPr>
    <w:rPr>
      <w:rFonts w:ascii="Times New Roman" w:hAnsi="Times New Roman" w:eastAsia="宋体" w:cs="Times New Roman"/>
      <w:kern w:val="2"/>
      <w:sz w:val="24"/>
    </w:rPr>
  </w:style>
  <w:style w:type="paragraph" w:customStyle="1" w:styleId="171">
    <w:name w:val="表格"/>
    <w:basedOn w:val="15"/>
    <w:qFormat/>
    <w:uiPriority w:val="0"/>
    <w:pPr>
      <w:widowControl w:val="0"/>
      <w:adjustRightInd w:val="0"/>
      <w:snapToGrid w:val="0"/>
      <w:spacing w:before="100" w:beforeAutospacing="1" w:after="100" w:afterAutospacing="1" w:line="240" w:lineRule="atLeast"/>
      <w:jc w:val="center"/>
    </w:pPr>
    <w:rPr>
      <w:rFonts w:ascii="Arial" w:hAnsi="Arial" w:eastAsia="宋体" w:cs="Arial"/>
      <w:b w:val="0"/>
      <w:bCs w:val="0"/>
      <w:snapToGrid w:val="0"/>
      <w:color w:val="auto"/>
      <w:spacing w:val="0"/>
      <w:sz w:val="21"/>
      <w:szCs w:val="21"/>
    </w:rPr>
  </w:style>
  <w:style w:type="paragraph" w:customStyle="1" w:styleId="172">
    <w:name w:val="列出段落11"/>
    <w:basedOn w:val="1"/>
    <w:qFormat/>
    <w:uiPriority w:val="0"/>
    <w:pPr>
      <w:widowControl w:val="0"/>
      <w:spacing w:after="0" w:line="240" w:lineRule="auto"/>
      <w:ind w:firstLine="420" w:firstLineChars="200"/>
      <w:jc w:val="both"/>
    </w:pPr>
    <w:rPr>
      <w:rFonts w:ascii="Calibri" w:hAnsi="Calibri" w:eastAsia="宋体" w:cs="Times New Roman"/>
      <w:kern w:val="2"/>
      <w:szCs w:val="22"/>
    </w:rPr>
  </w:style>
  <w:style w:type="paragraph" w:customStyle="1" w:styleId="173">
    <w:name w:val="Char Char5 Char Char Char Char Char Char1 Char Char Char Char Char Char Char1"/>
    <w:basedOn w:val="17"/>
    <w:qFormat/>
    <w:uiPriority w:val="0"/>
    <w:rPr>
      <w:szCs w:val="24"/>
    </w:rPr>
  </w:style>
  <w:style w:type="paragraph" w:customStyle="1" w:styleId="174">
    <w:name w:val="p18"/>
    <w:basedOn w:val="1"/>
    <w:qFormat/>
    <w:uiPriority w:val="0"/>
    <w:pPr>
      <w:adjustRightInd w:val="0"/>
      <w:spacing w:after="0" w:line="360" w:lineRule="auto"/>
      <w:ind w:firstLine="420"/>
    </w:pPr>
    <w:rPr>
      <w:rFonts w:ascii="Calibri" w:hAnsi="Calibri" w:eastAsia="宋体" w:cs="宋体"/>
      <w:sz w:val="24"/>
    </w:rPr>
  </w:style>
  <w:style w:type="paragraph" w:customStyle="1" w:styleId="175">
    <w:name w:val="正文3"/>
    <w:qFormat/>
    <w:uiPriority w:val="0"/>
    <w:pPr>
      <w:jc w:val="both"/>
    </w:pPr>
    <w:rPr>
      <w:rFonts w:ascii="Times New Roman" w:hAnsi="Times New Roman" w:eastAsia="宋体" w:cs="Times New Roman"/>
      <w:kern w:val="2"/>
      <w:sz w:val="24"/>
      <w:szCs w:val="21"/>
      <w:lang w:val="en-US" w:eastAsia="zh-CN" w:bidi="ar-SA"/>
    </w:rPr>
  </w:style>
  <w:style w:type="table" w:customStyle="1" w:styleId="176">
    <w:name w:val="网格型4"/>
    <w:basedOn w:val="46"/>
    <w:qFormat/>
    <w:uiPriority w:val="0"/>
    <w:rPr>
      <w:rFonts w:ascii="Calibri" w:hAnsi="Calibri" w:eastAsia="宋体" w:cs="Times New Roman"/>
      <w:kern w:val="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
    <w:name w:val="网格型1"/>
    <w:basedOn w:val="46"/>
    <w:qFormat/>
    <w:uiPriority w:val="0"/>
    <w:rPr>
      <w:rFonts w:ascii="Calibri" w:hAnsi="Calibri" w:eastAsia="宋体" w:cs="Times New Roman"/>
      <w:kern w:val="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
    <w:name w:val="网格型2"/>
    <w:basedOn w:val="46"/>
    <w:qFormat/>
    <w:uiPriority w:val="0"/>
    <w:rPr>
      <w:rFonts w:ascii="Calibri" w:hAnsi="Calibri" w:eastAsia="宋体" w:cs="Times New Roman"/>
      <w:kern w:val="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
    <w:name w:val="网格型21"/>
    <w:basedOn w:val="46"/>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
    <w:name w:val="网格型3"/>
    <w:basedOn w:val="46"/>
    <w:qFormat/>
    <w:uiPriority w:val="0"/>
    <w:rPr>
      <w:rFonts w:ascii="Calibri" w:hAnsi="Calibri" w:eastAsia="宋体" w:cs="Times New Roman"/>
      <w:kern w:val="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
    <w:name w:val="网格型12"/>
    <w:basedOn w:val="46"/>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82">
    <w:name w:val="页码21"/>
    <w:qFormat/>
    <w:uiPriority w:val="0"/>
  </w:style>
  <w:style w:type="character" w:customStyle="1" w:styleId="183">
    <w:name w:val="注释标题 Char2"/>
    <w:qFormat/>
    <w:uiPriority w:val="0"/>
    <w:rPr>
      <w:kern w:val="2"/>
      <w:sz w:val="24"/>
      <w:szCs w:val="21"/>
    </w:rPr>
  </w:style>
  <w:style w:type="character" w:customStyle="1" w:styleId="184">
    <w:name w:val="批注框文本 Char2"/>
    <w:qFormat/>
    <w:uiPriority w:val="0"/>
    <w:rPr>
      <w:kern w:val="2"/>
      <w:sz w:val="18"/>
      <w:szCs w:val="18"/>
    </w:rPr>
  </w:style>
  <w:style w:type="character" w:customStyle="1" w:styleId="185">
    <w:name w:val="日期 Char2"/>
    <w:qFormat/>
    <w:uiPriority w:val="0"/>
    <w:rPr>
      <w:kern w:val="2"/>
      <w:sz w:val="24"/>
      <w:szCs w:val="21"/>
    </w:rPr>
  </w:style>
  <w:style w:type="character" w:customStyle="1" w:styleId="186">
    <w:name w:val="正文文本缩进 3 Char2"/>
    <w:qFormat/>
    <w:uiPriority w:val="0"/>
    <w:rPr>
      <w:kern w:val="2"/>
      <w:sz w:val="16"/>
      <w:szCs w:val="16"/>
    </w:rPr>
  </w:style>
  <w:style w:type="character" w:customStyle="1" w:styleId="187">
    <w:name w:val="文档结构图 Char2"/>
    <w:qFormat/>
    <w:uiPriority w:val="0"/>
    <w:rPr>
      <w:rFonts w:ascii="Microsoft YaHei UI" w:eastAsia="Microsoft YaHei UI"/>
      <w:kern w:val="2"/>
      <w:sz w:val="18"/>
      <w:szCs w:val="18"/>
    </w:rPr>
  </w:style>
  <w:style w:type="character" w:customStyle="1" w:styleId="188">
    <w:name w:val="正文文本 Char1"/>
    <w:qFormat/>
    <w:uiPriority w:val="0"/>
    <w:rPr>
      <w:kern w:val="2"/>
      <w:sz w:val="24"/>
      <w:szCs w:val="21"/>
    </w:rPr>
  </w:style>
  <w:style w:type="character" w:customStyle="1" w:styleId="189">
    <w:name w:val="批注文字 Char2"/>
    <w:qFormat/>
    <w:uiPriority w:val="0"/>
    <w:rPr>
      <w:kern w:val="2"/>
      <w:sz w:val="24"/>
      <w:szCs w:val="21"/>
    </w:rPr>
  </w:style>
  <w:style w:type="character" w:customStyle="1" w:styleId="190">
    <w:name w:val="HTML 预设格式 Char2"/>
    <w:qFormat/>
    <w:uiPriority w:val="0"/>
    <w:rPr>
      <w:rFonts w:ascii="Courier New" w:hAnsi="Courier New" w:cs="Courier New"/>
      <w:kern w:val="2"/>
    </w:rPr>
  </w:style>
  <w:style w:type="character" w:customStyle="1" w:styleId="191">
    <w:name w:val="正文文本 2 Char2"/>
    <w:qFormat/>
    <w:uiPriority w:val="0"/>
    <w:rPr>
      <w:kern w:val="2"/>
      <w:sz w:val="24"/>
      <w:szCs w:val="21"/>
    </w:rPr>
  </w:style>
  <w:style w:type="character" w:customStyle="1" w:styleId="192">
    <w:name w:val="正文文本缩进 2 Char2"/>
    <w:qFormat/>
    <w:uiPriority w:val="0"/>
    <w:rPr>
      <w:kern w:val="2"/>
      <w:sz w:val="24"/>
      <w:szCs w:val="21"/>
    </w:rPr>
  </w:style>
  <w:style w:type="character" w:customStyle="1" w:styleId="193">
    <w:name w:val="正文文本缩进 Char1"/>
    <w:qFormat/>
    <w:uiPriority w:val="0"/>
    <w:rPr>
      <w:kern w:val="2"/>
      <w:sz w:val="24"/>
      <w:szCs w:val="21"/>
    </w:rPr>
  </w:style>
  <w:style w:type="character" w:customStyle="1" w:styleId="194">
    <w:name w:val="正文文本 3 Char2"/>
    <w:qFormat/>
    <w:uiPriority w:val="0"/>
    <w:rPr>
      <w:kern w:val="2"/>
      <w:sz w:val="16"/>
      <w:szCs w:val="16"/>
    </w:rPr>
  </w:style>
  <w:style w:type="character" w:customStyle="1" w:styleId="195">
    <w:name w:val="标题 Char2"/>
    <w:qFormat/>
    <w:uiPriority w:val="0"/>
    <w:rPr>
      <w:rFonts w:ascii="Calibri Light" w:hAnsi="Calibri Light" w:cs="Times New Roman"/>
      <w:b/>
      <w:bCs/>
      <w:kern w:val="2"/>
      <w:sz w:val="32"/>
      <w:szCs w:val="32"/>
    </w:rPr>
  </w:style>
  <w:style w:type="character" w:customStyle="1" w:styleId="196">
    <w:name w:val="纯文本 Char2"/>
    <w:qFormat/>
    <w:uiPriority w:val="0"/>
    <w:rPr>
      <w:rFonts w:ascii="宋体" w:hAnsi="Courier New" w:cs="Courier New"/>
      <w:kern w:val="2"/>
      <w:sz w:val="21"/>
      <w:szCs w:val="21"/>
    </w:rPr>
  </w:style>
  <w:style w:type="character" w:customStyle="1" w:styleId="197">
    <w:name w:val="z-窗体顶端 Char1"/>
    <w:qFormat/>
    <w:uiPriority w:val="0"/>
    <w:rPr>
      <w:rFonts w:ascii="Arial" w:hAnsi="Arial" w:cs="Arial"/>
      <w:vanish/>
      <w:kern w:val="2"/>
      <w:sz w:val="16"/>
      <w:szCs w:val="16"/>
    </w:rPr>
  </w:style>
  <w:style w:type="character" w:customStyle="1" w:styleId="198">
    <w:name w:val="明显引用 Char2"/>
    <w:qFormat/>
    <w:uiPriority w:val="30"/>
    <w:rPr>
      <w:i/>
      <w:iCs/>
      <w:color w:val="5B9BD5"/>
      <w:kern w:val="2"/>
      <w:sz w:val="24"/>
      <w:szCs w:val="21"/>
    </w:rPr>
  </w:style>
  <w:style w:type="character" w:customStyle="1" w:styleId="199">
    <w:name w:val="z-窗体底端 Char1"/>
    <w:qFormat/>
    <w:uiPriority w:val="0"/>
    <w:rPr>
      <w:rFonts w:ascii="Arial" w:hAnsi="Arial" w:cs="Arial"/>
      <w:vanish/>
      <w:kern w:val="2"/>
      <w:sz w:val="16"/>
      <w:szCs w:val="16"/>
    </w:rPr>
  </w:style>
  <w:style w:type="paragraph" w:customStyle="1" w:styleId="200">
    <w:name w:val="正文31"/>
    <w:qFormat/>
    <w:uiPriority w:val="0"/>
    <w:pPr>
      <w:jc w:val="both"/>
    </w:pPr>
    <w:rPr>
      <w:rFonts w:ascii="Times New Roman" w:hAnsi="Times New Roman" w:eastAsia="宋体" w:cs="Times New Roman"/>
      <w:kern w:val="2"/>
      <w:sz w:val="24"/>
      <w:szCs w:val="21"/>
      <w:lang w:val="en-US" w:eastAsia="zh-CN" w:bidi="ar-SA"/>
    </w:rPr>
  </w:style>
  <w:style w:type="paragraph" w:customStyle="1" w:styleId="201">
    <w:name w:val="表文"/>
    <w:basedOn w:val="1"/>
    <w:qFormat/>
    <w:uiPriority w:val="0"/>
    <w:pPr>
      <w:overflowPunct w:val="0"/>
      <w:spacing w:after="0" w:line="360" w:lineRule="auto"/>
      <w:jc w:val="center"/>
      <w:textAlignment w:val="baseline"/>
    </w:pPr>
    <w:rPr>
      <w:rFonts w:ascii="Arial" w:hAnsi="Arial" w:eastAsia="宋体" w:cs="Times New Roman"/>
      <w:kern w:val="2"/>
      <w:szCs w:val="20"/>
    </w:rPr>
  </w:style>
  <w:style w:type="paragraph" w:customStyle="1" w:styleId="202">
    <w:name w:val="普通(网站)1"/>
    <w:basedOn w:val="1"/>
    <w:qFormat/>
    <w:uiPriority w:val="0"/>
    <w:pPr>
      <w:widowControl w:val="0"/>
      <w:spacing w:before="100" w:beforeAutospacing="1" w:after="100" w:afterAutospacing="1" w:line="360" w:lineRule="auto"/>
    </w:pPr>
    <w:rPr>
      <w:rFonts w:ascii="宋体" w:hAnsi="宋体" w:eastAsia="宋体" w:cs="宋体"/>
      <w:kern w:val="2"/>
      <w:sz w:val="24"/>
      <w:szCs w:val="24"/>
    </w:rPr>
  </w:style>
  <w:style w:type="character" w:styleId="203">
    <w:name w:val="Placeholder Text"/>
    <w:basedOn w:val="48"/>
    <w:semiHidden/>
    <w:qFormat/>
    <w:uiPriority w:val="99"/>
    <w:rPr>
      <w:color w:val="808080"/>
    </w:rPr>
  </w:style>
  <w:style w:type="paragraph" w:customStyle="1" w:styleId="204">
    <w:name w:val="我的正文"/>
    <w:basedOn w:val="1"/>
    <w:link w:val="235"/>
    <w:qFormat/>
    <w:uiPriority w:val="0"/>
    <w:pPr>
      <w:widowControl w:val="0"/>
      <w:spacing w:after="0" w:line="240" w:lineRule="auto"/>
      <w:ind w:firstLine="192" w:firstLineChars="192"/>
      <w:jc w:val="both"/>
    </w:pPr>
    <w:rPr>
      <w:rFonts w:ascii="Times New Roman" w:hAnsi="Times New Roman" w:eastAsia="宋体" w:cs="Times New Roman"/>
      <w:kern w:val="2"/>
      <w:sz w:val="28"/>
      <w:szCs w:val="24"/>
    </w:rPr>
  </w:style>
  <w:style w:type="paragraph" w:customStyle="1" w:styleId="205">
    <w:name w:val="Char Char3 Char Char"/>
    <w:basedOn w:val="17"/>
    <w:qFormat/>
    <w:uiPriority w:val="0"/>
    <w:rPr>
      <w:rFonts w:ascii="Tahoma" w:hAnsi="Tahoma"/>
      <w:sz w:val="24"/>
      <w:szCs w:val="24"/>
    </w:rPr>
  </w:style>
  <w:style w:type="paragraph" w:customStyle="1" w:styleId="206">
    <w:name w:val="我的标题1"/>
    <w:basedOn w:val="1"/>
    <w:qFormat/>
    <w:uiPriority w:val="0"/>
    <w:pPr>
      <w:widowControl w:val="0"/>
      <w:spacing w:after="0" w:line="240" w:lineRule="auto"/>
      <w:jc w:val="both"/>
      <w:outlineLvl w:val="0"/>
    </w:pPr>
    <w:rPr>
      <w:rFonts w:ascii="Times New Roman" w:hAnsi="Times New Roman" w:eastAsia="宋体" w:cs="Times New Roman"/>
      <w:b/>
      <w:kern w:val="2"/>
      <w:sz w:val="32"/>
      <w:szCs w:val="24"/>
    </w:rPr>
  </w:style>
  <w:style w:type="paragraph" w:customStyle="1" w:styleId="207">
    <w:name w:val="正文 + 首行缩进:  2 字符"/>
    <w:basedOn w:val="1"/>
    <w:qFormat/>
    <w:uiPriority w:val="0"/>
    <w:pPr>
      <w:widowControl w:val="0"/>
      <w:spacing w:after="0" w:line="360" w:lineRule="auto"/>
      <w:ind w:firstLine="480" w:firstLineChars="200"/>
      <w:jc w:val="both"/>
    </w:pPr>
    <w:rPr>
      <w:rFonts w:ascii="Times New Roman" w:hAnsi="Times New Roman" w:eastAsia="宋体" w:cs="宋体"/>
      <w:kern w:val="2"/>
      <w:sz w:val="24"/>
      <w:szCs w:val="20"/>
    </w:rPr>
  </w:style>
  <w:style w:type="paragraph" w:customStyle="1" w:styleId="208">
    <w:name w:val="Char Char3 Char Char2"/>
    <w:basedOn w:val="17"/>
    <w:qFormat/>
    <w:uiPriority w:val="0"/>
    <w:rPr>
      <w:rFonts w:ascii="Tahoma" w:hAnsi="Tahoma"/>
      <w:sz w:val="24"/>
      <w:szCs w:val="24"/>
    </w:rPr>
  </w:style>
  <w:style w:type="paragraph" w:customStyle="1" w:styleId="209">
    <w:name w:val="Char Char3 Char Char1"/>
    <w:basedOn w:val="17"/>
    <w:qFormat/>
    <w:uiPriority w:val="0"/>
    <w:rPr>
      <w:rFonts w:ascii="Tahoma" w:hAnsi="Tahoma"/>
      <w:sz w:val="24"/>
      <w:szCs w:val="24"/>
    </w:rPr>
  </w:style>
  <w:style w:type="paragraph" w:customStyle="1" w:styleId="210">
    <w:name w:val="Char"/>
    <w:basedOn w:val="17"/>
    <w:qFormat/>
    <w:uiPriority w:val="0"/>
    <w:rPr>
      <w:rFonts w:ascii="Tahoma" w:hAnsi="Tahoma"/>
      <w:sz w:val="24"/>
      <w:szCs w:val="24"/>
    </w:rPr>
  </w:style>
  <w:style w:type="paragraph" w:customStyle="1" w:styleId="211">
    <w:name w:val="Char Char3 Char Char15"/>
    <w:basedOn w:val="17"/>
    <w:qFormat/>
    <w:uiPriority w:val="0"/>
    <w:rPr>
      <w:rFonts w:ascii="Tahoma" w:hAnsi="Tahoma"/>
      <w:sz w:val="24"/>
      <w:szCs w:val="24"/>
    </w:rPr>
  </w:style>
  <w:style w:type="paragraph" w:customStyle="1" w:styleId="212">
    <w:name w:val="Char Char3 Char Char14"/>
    <w:basedOn w:val="17"/>
    <w:qFormat/>
    <w:uiPriority w:val="0"/>
    <w:rPr>
      <w:rFonts w:ascii="Tahoma" w:hAnsi="Tahoma"/>
      <w:sz w:val="24"/>
      <w:szCs w:val="24"/>
    </w:rPr>
  </w:style>
  <w:style w:type="paragraph" w:customStyle="1" w:styleId="213">
    <w:name w:val="Char Char3 Char Char13"/>
    <w:basedOn w:val="17"/>
    <w:qFormat/>
    <w:uiPriority w:val="0"/>
    <w:rPr>
      <w:rFonts w:ascii="Tahoma" w:hAnsi="Tahoma"/>
      <w:sz w:val="24"/>
      <w:szCs w:val="24"/>
    </w:rPr>
  </w:style>
  <w:style w:type="paragraph" w:customStyle="1" w:styleId="214">
    <w:name w:val="正文文本缩进 22"/>
    <w:basedOn w:val="1"/>
    <w:qFormat/>
    <w:uiPriority w:val="0"/>
    <w:pPr>
      <w:widowControl w:val="0"/>
      <w:adjustRightInd w:val="0"/>
      <w:spacing w:after="0" w:line="312" w:lineRule="atLeast"/>
      <w:ind w:firstLine="570"/>
      <w:jc w:val="distribute"/>
      <w:textAlignment w:val="baseline"/>
    </w:pPr>
    <w:rPr>
      <w:rFonts w:ascii="Times New Roman" w:hAnsi="Times New Roman" w:eastAsia="仿宋_GB2312" w:cs="Times New Roman"/>
      <w:sz w:val="28"/>
      <w:szCs w:val="20"/>
    </w:rPr>
  </w:style>
  <w:style w:type="paragraph" w:customStyle="1" w:styleId="215">
    <w:name w:val="Char Char3 Char Char12"/>
    <w:basedOn w:val="17"/>
    <w:qFormat/>
    <w:uiPriority w:val="0"/>
    <w:rPr>
      <w:rFonts w:ascii="Tahoma" w:hAnsi="Tahoma"/>
      <w:sz w:val="24"/>
      <w:szCs w:val="24"/>
    </w:rPr>
  </w:style>
  <w:style w:type="paragraph" w:customStyle="1" w:styleId="216">
    <w:name w:val="Char Char3 Char Char11"/>
    <w:basedOn w:val="17"/>
    <w:qFormat/>
    <w:uiPriority w:val="0"/>
    <w:rPr>
      <w:rFonts w:ascii="Tahoma" w:hAnsi="Tahoma"/>
      <w:sz w:val="24"/>
      <w:szCs w:val="24"/>
    </w:rPr>
  </w:style>
  <w:style w:type="paragraph" w:customStyle="1" w:styleId="217">
    <w:name w:val="我的标题3"/>
    <w:basedOn w:val="1"/>
    <w:qFormat/>
    <w:uiPriority w:val="0"/>
    <w:pPr>
      <w:widowControl w:val="0"/>
      <w:spacing w:after="0" w:line="240" w:lineRule="auto"/>
      <w:jc w:val="both"/>
      <w:outlineLvl w:val="2"/>
    </w:pPr>
    <w:rPr>
      <w:rFonts w:ascii="Times New Roman" w:hAnsi="Times New Roman" w:eastAsia="宋体" w:cs="Times New Roman"/>
      <w:b/>
      <w:kern w:val="2"/>
      <w:sz w:val="28"/>
      <w:szCs w:val="24"/>
    </w:rPr>
  </w:style>
  <w:style w:type="paragraph" w:customStyle="1" w:styleId="218">
    <w:name w:val="正文文本缩进1"/>
    <w:basedOn w:val="1"/>
    <w:qFormat/>
    <w:uiPriority w:val="0"/>
    <w:pPr>
      <w:widowControl w:val="0"/>
      <w:adjustRightInd w:val="0"/>
      <w:spacing w:after="0" w:line="233" w:lineRule="auto"/>
      <w:ind w:firstLine="570"/>
      <w:jc w:val="both"/>
      <w:textAlignment w:val="baseline"/>
    </w:pPr>
    <w:rPr>
      <w:rFonts w:ascii="仿宋_GB2312" w:hAnsi="Times New Roman" w:eastAsia="仿宋_GB2312" w:cs="Times New Roman"/>
      <w:sz w:val="28"/>
      <w:szCs w:val="20"/>
    </w:rPr>
  </w:style>
  <w:style w:type="paragraph" w:customStyle="1" w:styleId="219">
    <w:name w:val="Char Char3 Char Char10"/>
    <w:basedOn w:val="17"/>
    <w:qFormat/>
    <w:uiPriority w:val="0"/>
    <w:rPr>
      <w:rFonts w:ascii="Tahoma" w:hAnsi="Tahoma"/>
      <w:sz w:val="24"/>
      <w:szCs w:val="24"/>
    </w:rPr>
  </w:style>
  <w:style w:type="character" w:customStyle="1" w:styleId="220">
    <w:name w:val="fontstyle21"/>
    <w:qFormat/>
    <w:uiPriority w:val="0"/>
    <w:rPr>
      <w:rFonts w:hint="default" w:ascii="TimesNewRomanPSMT" w:hAnsi="TimesNewRomanPSMT"/>
      <w:color w:val="000000"/>
      <w:sz w:val="24"/>
      <w:szCs w:val="24"/>
    </w:rPr>
  </w:style>
  <w:style w:type="paragraph" w:customStyle="1" w:styleId="221">
    <w:name w:val="Char Char3 Char Char9"/>
    <w:basedOn w:val="17"/>
    <w:qFormat/>
    <w:uiPriority w:val="0"/>
    <w:rPr>
      <w:rFonts w:ascii="Tahoma" w:hAnsi="Tahoma"/>
      <w:sz w:val="24"/>
      <w:szCs w:val="24"/>
    </w:rPr>
  </w:style>
  <w:style w:type="paragraph" w:customStyle="1" w:styleId="222">
    <w:name w:val="我的标题2"/>
    <w:basedOn w:val="1"/>
    <w:qFormat/>
    <w:uiPriority w:val="0"/>
    <w:pPr>
      <w:widowControl w:val="0"/>
      <w:spacing w:after="0" w:line="240" w:lineRule="auto"/>
      <w:jc w:val="both"/>
      <w:outlineLvl w:val="1"/>
    </w:pPr>
    <w:rPr>
      <w:rFonts w:ascii="Times New Roman" w:hAnsi="Times New Roman" w:eastAsia="宋体" w:cs="Times New Roman"/>
      <w:b/>
      <w:kern w:val="2"/>
      <w:sz w:val="30"/>
      <w:szCs w:val="24"/>
    </w:rPr>
  </w:style>
  <w:style w:type="paragraph" w:customStyle="1" w:styleId="223">
    <w:name w:val="普通(网站)2"/>
    <w:basedOn w:val="1"/>
    <w:qFormat/>
    <w:uiPriority w:val="0"/>
    <w:pPr>
      <w:spacing w:before="100" w:beforeAutospacing="1" w:after="100" w:afterAutospacing="1" w:line="240" w:lineRule="auto"/>
    </w:pPr>
    <w:rPr>
      <w:rFonts w:ascii="宋体" w:hAnsi="宋体" w:eastAsia="宋体" w:cs="宋体"/>
      <w:sz w:val="24"/>
      <w:szCs w:val="24"/>
    </w:rPr>
  </w:style>
  <w:style w:type="paragraph" w:customStyle="1" w:styleId="224">
    <w:name w:val="Char Char3 Char Char8"/>
    <w:basedOn w:val="17"/>
    <w:qFormat/>
    <w:uiPriority w:val="0"/>
    <w:rPr>
      <w:rFonts w:ascii="Tahoma" w:hAnsi="Tahoma"/>
      <w:sz w:val="24"/>
      <w:szCs w:val="24"/>
    </w:rPr>
  </w:style>
  <w:style w:type="paragraph" w:customStyle="1" w:styleId="225">
    <w:name w:val="Char Char3 Char Char7"/>
    <w:basedOn w:val="17"/>
    <w:qFormat/>
    <w:uiPriority w:val="0"/>
    <w:rPr>
      <w:rFonts w:ascii="Tahoma" w:hAnsi="Tahoma"/>
      <w:sz w:val="24"/>
      <w:szCs w:val="24"/>
    </w:rPr>
  </w:style>
  <w:style w:type="paragraph" w:customStyle="1" w:styleId="226">
    <w:name w:val="Char Char3 Char Char6"/>
    <w:basedOn w:val="17"/>
    <w:qFormat/>
    <w:uiPriority w:val="0"/>
    <w:rPr>
      <w:rFonts w:ascii="Tahoma" w:hAnsi="Tahoma"/>
      <w:sz w:val="24"/>
      <w:szCs w:val="24"/>
    </w:rPr>
  </w:style>
  <w:style w:type="paragraph" w:customStyle="1" w:styleId="227">
    <w:name w:val="xl24"/>
    <w:basedOn w:val="1"/>
    <w:qFormat/>
    <w:uiPriority w:val="0"/>
    <w:pPr>
      <w:spacing w:before="100" w:beforeAutospacing="1" w:after="100" w:afterAutospacing="1" w:line="240" w:lineRule="auto"/>
      <w:jc w:val="center"/>
    </w:pPr>
    <w:rPr>
      <w:rFonts w:ascii="宋体" w:hAnsi="宋体" w:eastAsia="宋体" w:cs="Times New Roman"/>
      <w:sz w:val="24"/>
      <w:szCs w:val="24"/>
    </w:rPr>
  </w:style>
  <w:style w:type="paragraph" w:customStyle="1" w:styleId="228">
    <w:name w:val="表标题"/>
    <w:basedOn w:val="1"/>
    <w:qFormat/>
    <w:uiPriority w:val="0"/>
    <w:pPr>
      <w:keepNext/>
      <w:widowControl w:val="0"/>
      <w:adjustRightInd w:val="0"/>
      <w:spacing w:before="180" w:after="120" w:line="440" w:lineRule="atLeast"/>
      <w:ind w:right="238" w:firstLine="510"/>
      <w:jc w:val="center"/>
      <w:textAlignment w:val="baseline"/>
    </w:pPr>
    <w:rPr>
      <w:rFonts w:ascii="宋体" w:hAnsi="宋体" w:eastAsia="宋体" w:cs="Times New Roman"/>
      <w:b/>
      <w:color w:val="0000FF"/>
      <w:sz w:val="24"/>
      <w:szCs w:val="20"/>
    </w:rPr>
  </w:style>
  <w:style w:type="paragraph" w:customStyle="1" w:styleId="229">
    <w:name w:val="样式2"/>
    <w:basedOn w:val="1"/>
    <w:qFormat/>
    <w:uiPriority w:val="0"/>
    <w:pPr>
      <w:widowControl w:val="0"/>
      <w:spacing w:after="0" w:line="360" w:lineRule="auto"/>
      <w:ind w:firstLine="584" w:firstLineChars="200"/>
    </w:pPr>
    <w:rPr>
      <w:rFonts w:ascii="宋体" w:hAnsi="宋体" w:eastAsia="宋体" w:cs="宋体"/>
      <w:spacing w:val="6"/>
      <w:sz w:val="28"/>
      <w:szCs w:val="28"/>
    </w:rPr>
  </w:style>
  <w:style w:type="paragraph" w:customStyle="1" w:styleId="230">
    <w:name w:val="Char Char Char Char2"/>
    <w:basedOn w:val="1"/>
    <w:qFormat/>
    <w:uiPriority w:val="0"/>
    <w:pPr>
      <w:widowControl w:val="0"/>
      <w:spacing w:after="0" w:line="360" w:lineRule="auto"/>
      <w:ind w:firstLine="200" w:firstLineChars="200"/>
      <w:jc w:val="both"/>
    </w:pPr>
    <w:rPr>
      <w:rFonts w:ascii="宋体" w:hAnsi="宋体" w:eastAsia="宋体" w:cs="宋体"/>
      <w:kern w:val="2"/>
      <w:sz w:val="24"/>
      <w:szCs w:val="24"/>
    </w:rPr>
  </w:style>
  <w:style w:type="paragraph" w:customStyle="1" w:styleId="231">
    <w:name w:val="Char Char Char Char Char Char1 Char Char Char Char Char Char Char Char Char Char Char Char Char Char Char Char Char Char Char Char Char Char Char"/>
    <w:basedOn w:val="1"/>
    <w:qFormat/>
    <w:uiPriority w:val="0"/>
    <w:pPr>
      <w:spacing w:line="240" w:lineRule="exact"/>
    </w:pPr>
    <w:rPr>
      <w:rFonts w:ascii="Verdana" w:hAnsi="Verdana" w:eastAsia="Batang" w:cs="Times New Roman"/>
      <w:sz w:val="20"/>
      <w:szCs w:val="20"/>
      <w:lang w:eastAsia="en-US"/>
    </w:rPr>
  </w:style>
  <w:style w:type="paragraph" w:customStyle="1" w:styleId="232">
    <w:name w:val="Char Char3 Char Char5"/>
    <w:basedOn w:val="17"/>
    <w:qFormat/>
    <w:uiPriority w:val="0"/>
    <w:rPr>
      <w:rFonts w:ascii="Tahoma" w:hAnsi="Tahoma"/>
      <w:sz w:val="24"/>
      <w:szCs w:val="24"/>
    </w:rPr>
  </w:style>
  <w:style w:type="paragraph" w:customStyle="1" w:styleId="233">
    <w:name w:val="Char Char3 Char Char4"/>
    <w:basedOn w:val="17"/>
    <w:qFormat/>
    <w:uiPriority w:val="0"/>
    <w:rPr>
      <w:rFonts w:ascii="Tahoma" w:hAnsi="Tahoma"/>
      <w:sz w:val="24"/>
      <w:szCs w:val="24"/>
    </w:rPr>
  </w:style>
  <w:style w:type="paragraph" w:customStyle="1" w:styleId="234">
    <w:name w:val="Char Char3 Char Char3"/>
    <w:basedOn w:val="17"/>
    <w:qFormat/>
    <w:uiPriority w:val="0"/>
    <w:rPr>
      <w:rFonts w:ascii="Tahoma" w:hAnsi="Tahoma"/>
      <w:sz w:val="24"/>
      <w:szCs w:val="24"/>
    </w:rPr>
  </w:style>
  <w:style w:type="character" w:customStyle="1" w:styleId="235">
    <w:name w:val="我的正文 Char1"/>
    <w:link w:val="204"/>
    <w:qFormat/>
    <w:uiPriority w:val="0"/>
    <w:rPr>
      <w:rFonts w:ascii="Times New Roman" w:hAnsi="Times New Roman" w:eastAsia="宋体" w:cs="Times New Roman"/>
      <w:kern w:val="2"/>
      <w:sz w:val="28"/>
      <w:szCs w:val="24"/>
    </w:rPr>
  </w:style>
  <w:style w:type="character" w:customStyle="1" w:styleId="236">
    <w:name w:val="!正文_ALT+Z Char Char"/>
    <w:link w:val="237"/>
    <w:qFormat/>
    <w:locked/>
    <w:uiPriority w:val="0"/>
    <w:rPr>
      <w:rFonts w:ascii="仿宋_GB2312" w:eastAsia="仿宋_GB2312"/>
      <w:kern w:val="2"/>
      <w:sz w:val="28"/>
      <w:szCs w:val="28"/>
    </w:rPr>
  </w:style>
  <w:style w:type="paragraph" w:customStyle="1" w:styleId="237">
    <w:name w:val="!正文_ALT+Z"/>
    <w:basedOn w:val="1"/>
    <w:link w:val="236"/>
    <w:qFormat/>
    <w:uiPriority w:val="0"/>
    <w:pPr>
      <w:widowControl w:val="0"/>
      <w:spacing w:after="0" w:line="520" w:lineRule="exact"/>
      <w:ind w:firstLine="200" w:firstLineChars="200"/>
      <w:jc w:val="both"/>
    </w:pPr>
    <w:rPr>
      <w:rFonts w:ascii="仿宋_GB2312" w:eastAsia="仿宋_GB2312"/>
      <w:kern w:val="2"/>
      <w:sz w:val="28"/>
      <w:szCs w:val="28"/>
    </w:rPr>
  </w:style>
  <w:style w:type="character" w:customStyle="1" w:styleId="238">
    <w:name w:val="报告正文 Char"/>
    <w:link w:val="239"/>
    <w:qFormat/>
    <w:uiPriority w:val="0"/>
    <w:rPr>
      <w:sz w:val="24"/>
      <w:szCs w:val="24"/>
    </w:rPr>
  </w:style>
  <w:style w:type="paragraph" w:customStyle="1" w:styleId="239">
    <w:name w:val="报告正文"/>
    <w:next w:val="1"/>
    <w:link w:val="238"/>
    <w:qFormat/>
    <w:uiPriority w:val="0"/>
    <w:pPr>
      <w:spacing w:line="360" w:lineRule="auto"/>
      <w:ind w:firstLine="200" w:firstLineChars="200"/>
    </w:pPr>
    <w:rPr>
      <w:rFonts w:asciiTheme="minorHAnsi" w:hAnsiTheme="minorHAnsi" w:eastAsiaTheme="minorEastAsia" w:cstheme="minorBidi"/>
      <w:sz w:val="24"/>
      <w:szCs w:val="24"/>
      <w:lang w:val="en-US" w:eastAsia="zh-CN" w:bidi="ar-SA"/>
    </w:rPr>
  </w:style>
  <w:style w:type="character" w:customStyle="1" w:styleId="240">
    <w:name w:val="表头 Char"/>
    <w:qFormat/>
    <w:uiPriority w:val="0"/>
    <w:rPr>
      <w:rFonts w:ascii="Arial" w:hAnsi="Arial" w:eastAsia="黑体"/>
      <w:b/>
      <w:kern w:val="2"/>
      <w:sz w:val="24"/>
      <w:szCs w:val="24"/>
    </w:rPr>
  </w:style>
  <w:style w:type="character" w:customStyle="1" w:styleId="241">
    <w:name w:val="表格(张曦) Char"/>
    <w:link w:val="242"/>
    <w:qFormat/>
    <w:uiPriority w:val="0"/>
    <w:rPr>
      <w:rFonts w:ascii="Arial" w:hAnsi="Arial"/>
      <w:kern w:val="2"/>
      <w:szCs w:val="24"/>
    </w:rPr>
  </w:style>
  <w:style w:type="paragraph" w:customStyle="1" w:styleId="242">
    <w:name w:val="表格(张曦)"/>
    <w:basedOn w:val="1"/>
    <w:link w:val="241"/>
    <w:qFormat/>
    <w:uiPriority w:val="0"/>
    <w:pPr>
      <w:widowControl w:val="0"/>
      <w:snapToGrid w:val="0"/>
      <w:spacing w:after="0" w:line="240" w:lineRule="auto"/>
      <w:jc w:val="center"/>
    </w:pPr>
    <w:rPr>
      <w:rFonts w:ascii="Arial" w:hAnsi="Arial"/>
      <w:kern w:val="2"/>
      <w:szCs w:val="24"/>
    </w:rPr>
  </w:style>
  <w:style w:type="character" w:customStyle="1" w:styleId="243">
    <w:name w:val="页脚 Char1"/>
    <w:qFormat/>
    <w:uiPriority w:val="99"/>
    <w:rPr>
      <w:rFonts w:ascii="Arial" w:hAnsi="Arial"/>
      <w:kern w:val="2"/>
      <w:sz w:val="18"/>
      <w:szCs w:val="18"/>
    </w:rPr>
  </w:style>
  <w:style w:type="character" w:customStyle="1" w:styleId="244">
    <w:name w:val="表格文字 Char"/>
    <w:link w:val="86"/>
    <w:qFormat/>
    <w:uiPriority w:val="0"/>
    <w:rPr>
      <w:rFonts w:ascii="Times New Roman" w:hAnsi="Times New Roman" w:eastAsia="宋体" w:cs="Times New Roman"/>
      <w:kern w:val="2"/>
      <w:sz w:val="24"/>
      <w:szCs w:val="24"/>
    </w:rPr>
  </w:style>
  <w:style w:type="paragraph" w:customStyle="1" w:styleId="245">
    <w:name w:val="表字居中"/>
    <w:basedOn w:val="1"/>
    <w:qFormat/>
    <w:uiPriority w:val="0"/>
    <w:pPr>
      <w:widowControl w:val="0"/>
      <w:tabs>
        <w:tab w:val="left" w:pos="3626"/>
      </w:tabs>
      <w:spacing w:after="0" w:line="240" w:lineRule="exact"/>
      <w:jc w:val="center"/>
    </w:pPr>
    <w:rPr>
      <w:rFonts w:ascii="Arial" w:hAnsi="Arial" w:eastAsia="宋体" w:cs="Times New Roman"/>
      <w:kern w:val="2"/>
      <w:szCs w:val="18"/>
    </w:rPr>
  </w:style>
  <w:style w:type="paragraph" w:customStyle="1" w:styleId="246">
    <w:name w:val="表中文字"/>
    <w:basedOn w:val="1"/>
    <w:qFormat/>
    <w:uiPriority w:val="0"/>
    <w:pPr>
      <w:widowControl w:val="0"/>
      <w:tabs>
        <w:tab w:val="left" w:pos="2700"/>
      </w:tabs>
      <w:spacing w:after="0" w:line="360" w:lineRule="exact"/>
      <w:jc w:val="center"/>
    </w:pPr>
    <w:rPr>
      <w:rFonts w:ascii="Arial" w:hAnsi="Arial" w:eastAsia="宋体" w:cs="Times New Roman"/>
    </w:rPr>
  </w:style>
  <w:style w:type="character" w:customStyle="1" w:styleId="247">
    <w:name w:val="样式11111 Char Char"/>
    <w:link w:val="248"/>
    <w:qFormat/>
    <w:uiPriority w:val="0"/>
    <w:rPr>
      <w:color w:val="000000"/>
      <w:sz w:val="24"/>
      <w:szCs w:val="24"/>
    </w:rPr>
  </w:style>
  <w:style w:type="paragraph" w:customStyle="1" w:styleId="248">
    <w:name w:val="样式11111"/>
    <w:basedOn w:val="1"/>
    <w:link w:val="247"/>
    <w:qFormat/>
    <w:uiPriority w:val="0"/>
    <w:pPr>
      <w:widowControl w:val="0"/>
      <w:spacing w:beforeLines="50" w:after="0" w:afterLines="50" w:line="360" w:lineRule="auto"/>
      <w:ind w:firstLine="480" w:firstLineChars="200"/>
      <w:jc w:val="both"/>
    </w:pPr>
    <w:rPr>
      <w:color w:val="000000"/>
      <w:sz w:val="24"/>
      <w:szCs w:val="24"/>
    </w:rPr>
  </w:style>
  <w:style w:type="paragraph" w:customStyle="1" w:styleId="249">
    <w:name w:val="表表表表"/>
    <w:basedOn w:val="1"/>
    <w:link w:val="250"/>
    <w:qFormat/>
    <w:uiPriority w:val="0"/>
    <w:pPr>
      <w:widowControl w:val="0"/>
      <w:spacing w:after="0" w:line="280" w:lineRule="exact"/>
      <w:jc w:val="center"/>
    </w:pPr>
    <w:rPr>
      <w:rFonts w:ascii="Arial" w:hAnsi="Arial" w:eastAsia="宋体" w:cs="Times New Roman"/>
      <w:kern w:val="2"/>
      <w:szCs w:val="20"/>
    </w:rPr>
  </w:style>
  <w:style w:type="character" w:customStyle="1" w:styleId="250">
    <w:name w:val="表表表表 字符"/>
    <w:link w:val="249"/>
    <w:qFormat/>
    <w:uiPriority w:val="0"/>
    <w:rPr>
      <w:rFonts w:ascii="Arial" w:hAnsi="Arial" w:eastAsia="宋体" w:cs="Times New Roman"/>
      <w:kern w:val="2"/>
      <w:szCs w:val="20"/>
    </w:rPr>
  </w:style>
  <w:style w:type="character" w:customStyle="1" w:styleId="251">
    <w:name w:val="1正文段落 Char Char"/>
    <w:link w:val="252"/>
    <w:qFormat/>
    <w:uiPriority w:val="0"/>
    <w:rPr>
      <w:sz w:val="24"/>
      <w:szCs w:val="24"/>
    </w:rPr>
  </w:style>
  <w:style w:type="paragraph" w:customStyle="1" w:styleId="252">
    <w:name w:val="1正文段落 Char"/>
    <w:basedOn w:val="1"/>
    <w:link w:val="251"/>
    <w:qFormat/>
    <w:uiPriority w:val="0"/>
    <w:pPr>
      <w:widowControl w:val="0"/>
      <w:spacing w:after="0" w:line="360" w:lineRule="auto"/>
      <w:ind w:firstLine="200" w:firstLineChars="200"/>
    </w:pPr>
    <w:rPr>
      <w:sz w:val="24"/>
      <w:szCs w:val="24"/>
    </w:rPr>
  </w:style>
  <w:style w:type="paragraph" w:customStyle="1" w:styleId="253">
    <w:name w:val="Char Char3 Char Char16"/>
    <w:basedOn w:val="17"/>
    <w:qFormat/>
    <w:uiPriority w:val="0"/>
    <w:rPr>
      <w:rFonts w:ascii="Tahoma" w:hAnsi="Tahoma"/>
      <w:sz w:val="24"/>
      <w:szCs w:val="24"/>
    </w:rPr>
  </w:style>
  <w:style w:type="paragraph" w:customStyle="1" w:styleId="254">
    <w:name w:val="普通(网站)3"/>
    <w:basedOn w:val="1"/>
    <w:qFormat/>
    <w:uiPriority w:val="0"/>
    <w:pPr>
      <w:spacing w:before="100" w:beforeAutospacing="1" w:after="100" w:afterAutospacing="1" w:line="240" w:lineRule="auto"/>
    </w:pPr>
    <w:rPr>
      <w:rFonts w:hint="eastAsia" w:ascii="宋体" w:hAnsi="宋体" w:eastAsia="宋体"/>
      <w:sz w:val="24"/>
    </w:rPr>
  </w:style>
  <w:style w:type="character" w:customStyle="1" w:styleId="255">
    <w:name w:val="标题 2 字符1"/>
    <w:qFormat/>
    <w:uiPriority w:val="0"/>
    <w:rPr>
      <w:rFonts w:ascii="Times New Roman" w:hAnsi="Times New Roman" w:eastAsia="黑体"/>
      <w:b/>
      <w:bCs/>
      <w:kern w:val="2"/>
      <w:sz w:val="28"/>
      <w:szCs w:val="32"/>
    </w:rPr>
  </w:style>
  <w:style w:type="character" w:customStyle="1" w:styleId="256">
    <w:name w:val="标题 3 字符1"/>
    <w:qFormat/>
    <w:uiPriority w:val="0"/>
    <w:rPr>
      <w:rFonts w:ascii="Times New Roman" w:hAnsi="Times New Roman" w:eastAsia="黑体"/>
      <w:b/>
      <w:bCs/>
      <w:kern w:val="2"/>
      <w:sz w:val="24"/>
      <w:szCs w:val="32"/>
    </w:rPr>
  </w:style>
  <w:style w:type="character" w:customStyle="1" w:styleId="257">
    <w:name w:val="标题 4 字符1"/>
    <w:qFormat/>
    <w:uiPriority w:val="0"/>
    <w:rPr>
      <w:rFonts w:ascii="Times New Roman" w:hAnsi="Times New Roman" w:eastAsia="黑体"/>
      <w:bCs/>
      <w:kern w:val="2"/>
      <w:sz w:val="24"/>
      <w:szCs w:val="28"/>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3.jpeg"/><Relationship Id="rId3" Type="http://schemas.openxmlformats.org/officeDocument/2006/relationships/footnotes" Target="footnotes.xml"/><Relationship Id="rId29" Type="http://schemas.openxmlformats.org/officeDocument/2006/relationships/image" Target="media/image12.wmf"/><Relationship Id="rId28" Type="http://schemas.openxmlformats.org/officeDocument/2006/relationships/image" Target="media/image11.wmf"/><Relationship Id="rId27" Type="http://schemas.openxmlformats.org/officeDocument/2006/relationships/image" Target="media/image10.wmf"/><Relationship Id="rId26" Type="http://schemas.openxmlformats.org/officeDocument/2006/relationships/image" Target="media/image9.wmf"/><Relationship Id="rId25" Type="http://schemas.openxmlformats.org/officeDocument/2006/relationships/image" Target="media/image8.wmf"/><Relationship Id="rId24" Type="http://schemas.openxmlformats.org/officeDocument/2006/relationships/oleObject" Target="embeddings/oleObject2.bin"/><Relationship Id="rId23" Type="http://schemas.openxmlformats.org/officeDocument/2006/relationships/image" Target="media/image7.wmf"/><Relationship Id="rId22" Type="http://schemas.openxmlformats.org/officeDocument/2006/relationships/oleObject" Target="embeddings/oleObject1.bin"/><Relationship Id="rId21" Type="http://schemas.openxmlformats.org/officeDocument/2006/relationships/image" Target="media/image6.jpeg"/><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jpeg"/><Relationship Id="rId17" Type="http://schemas.openxmlformats.org/officeDocument/2006/relationships/image" Target="media/image2.jpe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8D40A24-6A42-4444-BC59-468706CC71C3}">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71</Pages>
  <Words>6389</Words>
  <Characters>7455</Characters>
  <Lines>354</Lines>
  <Paragraphs>99</Paragraphs>
  <TotalTime>17</TotalTime>
  <ScaleCrop>false</ScaleCrop>
  <LinksUpToDate>false</LinksUpToDate>
  <CharactersWithSpaces>7710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2025-04-02T02:24:00Z</dcterms:created>
  <dc:creator>Administrator</dc:creator>
  <cp:lastModifiedBy>岁月如歌</cp:lastModifiedBy>
  <cp:lastPrinted>2025-04-02T02:25:00Z</cp:lastPrinted>
  <dcterms:modified xsi:type="dcterms:W3CDTF">2025-04-02T06:36:51Z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AB836ADBB75746E9AE990C52118C8BAD</vt:lpwstr>
  </property>
  <property fmtid="{D5CDD505-2E9C-101B-9397-08002B2CF9AE}" pid="4" name="KSOTemplateDocerSaveRecord">
    <vt:lpwstr>eyJoZGlkIjoiN2I4YzVlMmUyMjc0YjZhY2E1YmJiMWRiMWI0YzAwNTIiLCJ1c2VySWQiOiIxMDM3NjMxMjY0In0=</vt:lpwstr>
  </property>
</Properties>
</file>